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交银施罗德中证互联网金融指数分级证券投资基金</w:t>
      </w: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2020</w:t>
      </w:r>
      <w:r w:rsidRPr="005E324A">
        <w:rPr>
          <w:rFonts w:eastAsiaTheme="minorEastAsia"/>
          <w:b/>
          <w:sz w:val="36"/>
          <w:szCs w:val="36"/>
        </w:rPr>
        <w:t>年第</w:t>
      </w:r>
      <w:r w:rsidRPr="005E324A">
        <w:rPr>
          <w:rFonts w:eastAsiaTheme="minorEastAsia"/>
          <w:b/>
          <w:sz w:val="36"/>
          <w:szCs w:val="36"/>
        </w:rPr>
        <w:t>2</w:t>
      </w:r>
      <w:r w:rsidRPr="005E324A">
        <w:rPr>
          <w:rFonts w:eastAsiaTheme="minorEastAsia"/>
          <w:b/>
          <w:sz w:val="36"/>
          <w:szCs w:val="36"/>
        </w:rPr>
        <w:t>季度报告</w:t>
      </w:r>
    </w:p>
    <w:p w:rsidR="00074E9F" w:rsidRPr="005E324A" w:rsidRDefault="001B64E7" w:rsidP="007951F3">
      <w:pPr>
        <w:spacing w:line="360" w:lineRule="auto"/>
        <w:jc w:val="center"/>
        <w:rPr>
          <w:rFonts w:eastAsiaTheme="minorEastAsia"/>
          <w:b/>
          <w:sz w:val="36"/>
          <w:szCs w:val="36"/>
        </w:rPr>
      </w:pPr>
      <w:r w:rsidRPr="005E324A">
        <w:rPr>
          <w:rFonts w:eastAsiaTheme="minorEastAsia"/>
          <w:b/>
          <w:sz w:val="36"/>
          <w:szCs w:val="36"/>
        </w:rPr>
        <w:t>2020</w:t>
      </w:r>
      <w:r w:rsidRPr="005E324A">
        <w:rPr>
          <w:rFonts w:eastAsiaTheme="minorEastAsia"/>
          <w:b/>
          <w:sz w:val="36"/>
          <w:szCs w:val="36"/>
        </w:rPr>
        <w:t>年</w:t>
      </w:r>
      <w:r w:rsidRPr="005E324A">
        <w:rPr>
          <w:rFonts w:eastAsiaTheme="minorEastAsia"/>
          <w:b/>
          <w:sz w:val="36"/>
          <w:szCs w:val="36"/>
        </w:rPr>
        <w:t>6</w:t>
      </w:r>
      <w:r w:rsidRPr="005E324A">
        <w:rPr>
          <w:rFonts w:eastAsiaTheme="minorEastAsia"/>
          <w:b/>
          <w:sz w:val="36"/>
          <w:szCs w:val="36"/>
        </w:rPr>
        <w:t>月</w:t>
      </w:r>
      <w:r w:rsidRPr="005E324A">
        <w:rPr>
          <w:rFonts w:eastAsiaTheme="minorEastAsia"/>
          <w:b/>
          <w:sz w:val="36"/>
          <w:szCs w:val="36"/>
        </w:rPr>
        <w:t>30</w:t>
      </w:r>
      <w:r w:rsidRPr="005E324A">
        <w:rPr>
          <w:rFonts w:eastAsiaTheme="minorEastAsia"/>
          <w:b/>
          <w:sz w:val="36"/>
          <w:szCs w:val="36"/>
        </w:rPr>
        <w:t>日</w:t>
      </w: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rPr>
          <w:rFonts w:eastAsiaTheme="minorEastAsia"/>
          <w:b/>
          <w:color w:val="000000"/>
          <w:sz w:val="24"/>
        </w:rPr>
      </w:pP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基金管理人：</w:t>
      </w:r>
      <w:r w:rsidR="008A4909" w:rsidRPr="005E324A">
        <w:rPr>
          <w:rFonts w:eastAsiaTheme="minorEastAsia"/>
          <w:b/>
          <w:color w:val="000000"/>
          <w:sz w:val="24"/>
        </w:rPr>
        <w:t>交银施罗德基金管理有限公司</w:t>
      </w: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基金托管人：</w:t>
      </w:r>
      <w:r w:rsidR="008A4909" w:rsidRPr="005E324A">
        <w:rPr>
          <w:rFonts w:eastAsiaTheme="minorEastAsia"/>
          <w:b/>
          <w:color w:val="000000"/>
          <w:sz w:val="24"/>
        </w:rPr>
        <w:t>中国建设银行股份有限公司</w:t>
      </w:r>
    </w:p>
    <w:p w:rsidR="00074E9F" w:rsidRPr="005E324A" w:rsidRDefault="00074E9F" w:rsidP="007951F3">
      <w:pPr>
        <w:spacing w:line="360" w:lineRule="auto"/>
        <w:ind w:firstLineChars="900" w:firstLine="2168"/>
        <w:rPr>
          <w:rFonts w:eastAsiaTheme="minorEastAsia"/>
          <w:b/>
          <w:color w:val="000000"/>
          <w:sz w:val="24"/>
        </w:rPr>
        <w:sectPr w:rsidR="00074E9F" w:rsidRPr="005E324A" w:rsidSect="00527866">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noEndnote/>
          <w:titlePg/>
          <w:docGrid w:linePitch="286"/>
        </w:sectPr>
      </w:pPr>
      <w:r w:rsidRPr="005E324A">
        <w:rPr>
          <w:rFonts w:eastAsiaTheme="minorEastAsia"/>
          <w:b/>
          <w:color w:val="000000"/>
          <w:sz w:val="24"/>
        </w:rPr>
        <w:t>报告送出日期：</w:t>
      </w:r>
      <w:r w:rsidR="007D1C16" w:rsidRPr="005E324A">
        <w:rPr>
          <w:rFonts w:eastAsiaTheme="minorEastAsia"/>
          <w:b/>
          <w:color w:val="000000"/>
          <w:sz w:val="24"/>
        </w:rPr>
        <w:t>二〇二〇年七月二十一日</w:t>
      </w:r>
    </w:p>
    <w:p w:rsidR="00220542" w:rsidRPr="005E324A" w:rsidRDefault="00220542" w:rsidP="00707017">
      <w:pPr>
        <w:pStyle w:val="1"/>
        <w:spacing w:beforeLines="100" w:before="312" w:afterLines="100" w:after="312" w:line="360" w:lineRule="auto"/>
        <w:jc w:val="center"/>
        <w:rPr>
          <w:rFonts w:eastAsiaTheme="minorEastAsia"/>
          <w:b w:val="0"/>
          <w:color w:val="000000"/>
          <w:kern w:val="0"/>
          <w:sz w:val="24"/>
          <w:szCs w:val="24"/>
        </w:rPr>
      </w:pPr>
      <w:r w:rsidRPr="005E324A">
        <w:rPr>
          <w:rFonts w:eastAsiaTheme="minorEastAsia"/>
          <w:color w:val="000000"/>
          <w:kern w:val="0"/>
          <w:sz w:val="24"/>
          <w:szCs w:val="24"/>
        </w:rPr>
        <w:lastRenderedPageBreak/>
        <w:t xml:space="preserve">§1  </w:t>
      </w:r>
      <w:r w:rsidRPr="005E324A">
        <w:rPr>
          <w:rFonts w:eastAsiaTheme="minorEastAsia"/>
          <w:color w:val="000000"/>
          <w:kern w:val="0"/>
          <w:sz w:val="24"/>
          <w:szCs w:val="24"/>
        </w:rPr>
        <w:t>重要提示</w:t>
      </w:r>
    </w:p>
    <w:p w:rsidR="0046285D" w:rsidRDefault="00E078E0">
      <w:pPr>
        <w:spacing w:line="360"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46285D" w:rsidRDefault="00E078E0">
      <w:pPr>
        <w:spacing w:line="360"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46285D" w:rsidRDefault="00E078E0">
      <w:pPr>
        <w:spacing w:line="360"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46285D" w:rsidRDefault="00E078E0">
      <w:pPr>
        <w:spacing w:line="360"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46285D" w:rsidRDefault="00E078E0">
      <w:pPr>
        <w:spacing w:line="360" w:lineRule="auto"/>
        <w:ind w:firstLineChars="200" w:firstLine="480"/>
        <w:rPr>
          <w:rFonts w:eastAsiaTheme="minorEastAsia"/>
          <w:color w:val="000000"/>
          <w:sz w:val="24"/>
        </w:rPr>
      </w:pPr>
      <w:r>
        <w:rPr>
          <w:rFonts w:eastAsiaTheme="minorEastAsia"/>
          <w:color w:val="000000"/>
          <w:sz w:val="24"/>
        </w:rPr>
        <w:t>本报告中财务资料未经审计。</w:t>
      </w:r>
    </w:p>
    <w:p w:rsidR="00220542" w:rsidRPr="005E324A" w:rsidRDefault="008A4909" w:rsidP="007951F3">
      <w:pPr>
        <w:spacing w:line="360" w:lineRule="auto"/>
        <w:ind w:firstLineChars="200" w:firstLine="480"/>
        <w:rPr>
          <w:rFonts w:eastAsiaTheme="minorEastAsia"/>
          <w:color w:val="000000"/>
          <w:sz w:val="24"/>
        </w:rPr>
      </w:pPr>
      <w:r w:rsidRPr="005E324A">
        <w:rPr>
          <w:rFonts w:eastAsiaTheme="minorEastAsia"/>
          <w:color w:val="000000"/>
          <w:sz w:val="24"/>
        </w:rPr>
        <w:t>本报告期自</w:t>
      </w:r>
      <w:r w:rsidRPr="005E324A">
        <w:rPr>
          <w:rFonts w:eastAsiaTheme="minorEastAsia"/>
          <w:color w:val="000000"/>
          <w:sz w:val="24"/>
        </w:rPr>
        <w:t>2020</w:t>
      </w:r>
      <w:r w:rsidRPr="005E324A">
        <w:rPr>
          <w:rFonts w:eastAsiaTheme="minorEastAsia"/>
          <w:color w:val="000000"/>
          <w:sz w:val="24"/>
        </w:rPr>
        <w:t>年</w:t>
      </w:r>
      <w:r w:rsidRPr="005E324A">
        <w:rPr>
          <w:rFonts w:eastAsiaTheme="minorEastAsia"/>
          <w:color w:val="000000"/>
          <w:sz w:val="24"/>
        </w:rPr>
        <w:t>4</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日起至</w:t>
      </w:r>
      <w:r w:rsidRPr="005E324A">
        <w:rPr>
          <w:rFonts w:eastAsiaTheme="minorEastAsia"/>
          <w:color w:val="000000"/>
          <w:sz w:val="24"/>
        </w:rPr>
        <w:t>6</w:t>
      </w:r>
      <w:r w:rsidRPr="005E324A">
        <w:rPr>
          <w:rFonts w:eastAsiaTheme="minorEastAsia"/>
          <w:color w:val="000000"/>
          <w:sz w:val="24"/>
        </w:rPr>
        <w:t>月</w:t>
      </w:r>
      <w:r w:rsidRPr="005E324A">
        <w:rPr>
          <w:rFonts w:eastAsiaTheme="minorEastAsia"/>
          <w:color w:val="000000"/>
          <w:sz w:val="24"/>
        </w:rPr>
        <w:t>30</w:t>
      </w:r>
      <w:r w:rsidRPr="005E324A">
        <w:rPr>
          <w:rFonts w:eastAsiaTheme="minorEastAsia"/>
          <w:color w:val="000000"/>
          <w:sz w:val="24"/>
        </w:rPr>
        <w:t>日止。</w:t>
      </w: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§2  </w:t>
      </w:r>
      <w:r w:rsidRPr="005E324A">
        <w:rPr>
          <w:rFonts w:eastAsiaTheme="minor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826"/>
        <w:gridCol w:w="1826"/>
        <w:gridCol w:w="1827"/>
      </w:tblGrid>
      <w:tr w:rsidR="008A4909" w:rsidRPr="005E324A" w:rsidTr="007A6BEA">
        <w:tc>
          <w:tcPr>
            <w:tcW w:w="2835" w:type="dxa"/>
          </w:tcPr>
          <w:p w:rsidR="008A4909" w:rsidRPr="005E324A" w:rsidRDefault="008A4909" w:rsidP="007A6BEA">
            <w:pPr>
              <w:adjustRightInd w:val="0"/>
              <w:spacing w:before="29" w:line="360" w:lineRule="auto"/>
              <w:ind w:left="17"/>
              <w:jc w:val="left"/>
              <w:rPr>
                <w:rFonts w:eastAsiaTheme="minorEastAsia"/>
                <w:kern w:val="0"/>
                <w:sz w:val="24"/>
              </w:rPr>
            </w:pPr>
            <w:r w:rsidRPr="005E324A">
              <w:rPr>
                <w:rFonts w:eastAsiaTheme="minorEastAsia"/>
                <w:kern w:val="0"/>
                <w:sz w:val="24"/>
              </w:rPr>
              <w:t>基金简称</w:t>
            </w:r>
          </w:p>
        </w:tc>
        <w:tc>
          <w:tcPr>
            <w:tcW w:w="5479" w:type="dxa"/>
            <w:gridSpan w:val="3"/>
          </w:tcPr>
          <w:p w:rsidR="008A4909" w:rsidRPr="005E324A" w:rsidRDefault="008A4909"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交银中证互联网金融指数分级</w:t>
            </w:r>
          </w:p>
        </w:tc>
      </w:tr>
      <w:tr w:rsidR="00161BBC" w:rsidRPr="005E324A" w:rsidTr="00161BBC">
        <w:tc>
          <w:tcPr>
            <w:tcW w:w="2835" w:type="dxa"/>
            <w:vAlign w:val="center"/>
          </w:tcPr>
          <w:p w:rsidR="00161BBC" w:rsidRPr="005E324A" w:rsidRDefault="00161BBC" w:rsidP="00161BBC">
            <w:pPr>
              <w:rPr>
                <w:sz w:val="24"/>
              </w:rPr>
            </w:pPr>
            <w:r w:rsidRPr="005E324A">
              <w:rPr>
                <w:sz w:val="24"/>
              </w:rPr>
              <w:t>场内简称</w:t>
            </w:r>
          </w:p>
        </w:tc>
        <w:tc>
          <w:tcPr>
            <w:tcW w:w="5479" w:type="dxa"/>
            <w:gridSpan w:val="3"/>
            <w:vAlign w:val="center"/>
          </w:tcPr>
          <w:p w:rsidR="00161BBC" w:rsidRPr="005E324A" w:rsidRDefault="00161BBC" w:rsidP="00161BBC">
            <w:pPr>
              <w:rPr>
                <w:sz w:val="24"/>
              </w:rPr>
            </w:pPr>
            <w:r w:rsidRPr="005E324A">
              <w:rPr>
                <w:sz w:val="24"/>
              </w:rPr>
              <w:t>E</w:t>
            </w:r>
            <w:r w:rsidRPr="005E324A">
              <w:rPr>
                <w:sz w:val="24"/>
              </w:rPr>
              <w:t>金融</w:t>
            </w:r>
          </w:p>
        </w:tc>
      </w:tr>
      <w:tr w:rsidR="002A44F9" w:rsidRPr="005E324A" w:rsidTr="002A44F9">
        <w:tc>
          <w:tcPr>
            <w:tcW w:w="2835" w:type="dxa"/>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kern w:val="0"/>
                <w:sz w:val="24"/>
              </w:rPr>
            </w:pPr>
            <w:r w:rsidRPr="005E324A">
              <w:rPr>
                <w:rFonts w:eastAsiaTheme="minorEastAsia"/>
                <w:kern w:val="0"/>
                <w:sz w:val="24"/>
              </w:rPr>
              <w:t>基金主代码</w:t>
            </w:r>
          </w:p>
        </w:tc>
        <w:tc>
          <w:tcPr>
            <w:tcW w:w="5479" w:type="dxa"/>
            <w:gridSpan w:val="3"/>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164907</w:t>
            </w:r>
          </w:p>
        </w:tc>
      </w:tr>
      <w:tr w:rsidR="00134868" w:rsidRPr="005E324A" w:rsidTr="002A44F9">
        <w:tc>
          <w:tcPr>
            <w:tcW w:w="2835" w:type="dxa"/>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kern w:val="0"/>
                <w:sz w:val="24"/>
              </w:rPr>
            </w:pPr>
            <w:r w:rsidRPr="005E324A">
              <w:rPr>
                <w:rFonts w:eastAsiaTheme="minorEastAsia"/>
                <w:kern w:val="0"/>
                <w:sz w:val="24"/>
              </w:rPr>
              <w:t>交易代码</w:t>
            </w:r>
          </w:p>
        </w:tc>
        <w:tc>
          <w:tcPr>
            <w:tcW w:w="5479" w:type="dxa"/>
            <w:gridSpan w:val="3"/>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164907</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基金运作方式</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契约型开放式</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基金合同生效日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6</w:t>
            </w:r>
            <w:r w:rsidRPr="005E324A">
              <w:rPr>
                <w:rFonts w:eastAsiaTheme="minorEastAsia"/>
                <w:color w:val="000000"/>
                <w:kern w:val="0"/>
                <w:sz w:val="24"/>
              </w:rPr>
              <w:t>月</w:t>
            </w:r>
            <w:r w:rsidRPr="005E324A">
              <w:rPr>
                <w:rFonts w:eastAsiaTheme="minorEastAsia"/>
                <w:color w:val="000000"/>
                <w:kern w:val="0"/>
                <w:sz w:val="24"/>
              </w:rPr>
              <w:t>26</w:t>
            </w:r>
            <w:r w:rsidRPr="005E324A">
              <w:rPr>
                <w:rFonts w:eastAsiaTheme="minorEastAsia"/>
                <w:color w:val="000000"/>
                <w:kern w:val="0"/>
                <w:sz w:val="24"/>
              </w:rPr>
              <w:t>日</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报告期末基金份额总额</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86,181,488.22</w:t>
            </w:r>
            <w:r w:rsidRPr="005E324A">
              <w:rPr>
                <w:rFonts w:eastAsiaTheme="minorEastAsia"/>
                <w:color w:val="000000"/>
                <w:kern w:val="0"/>
                <w:sz w:val="24"/>
              </w:rPr>
              <w:t>份</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投资目标</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本基金采用指数化投资，紧密跟踪标的指数，追求跟踪偏离度与跟踪误差最小化。本基金力争控制本基金日均跟踪偏离度的绝对值不超过</w:t>
            </w:r>
            <w:r w:rsidRPr="005E324A">
              <w:rPr>
                <w:rFonts w:eastAsiaTheme="minorEastAsia"/>
                <w:color w:val="000000"/>
                <w:kern w:val="0"/>
                <w:sz w:val="24"/>
              </w:rPr>
              <w:t>0.35%</w:t>
            </w:r>
            <w:r w:rsidRPr="005E324A">
              <w:rPr>
                <w:rFonts w:eastAsiaTheme="minorEastAsia"/>
                <w:color w:val="000000"/>
                <w:kern w:val="0"/>
                <w:sz w:val="24"/>
              </w:rPr>
              <w:t>，年跟踪误差不超过</w:t>
            </w:r>
            <w:r w:rsidRPr="005E324A">
              <w:rPr>
                <w:rFonts w:eastAsiaTheme="minorEastAsia"/>
                <w:color w:val="000000"/>
                <w:kern w:val="0"/>
                <w:sz w:val="24"/>
              </w:rPr>
              <w:t>4%</w:t>
            </w:r>
            <w:r w:rsidRPr="005E324A">
              <w:rPr>
                <w:rFonts w:eastAsiaTheme="minorEastAsia"/>
                <w:color w:val="000000"/>
                <w:kern w:val="0"/>
                <w:sz w:val="24"/>
              </w:rPr>
              <w:t>。</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投资策略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本基金为指数型基金，绝大部分资产采用完全复制标的指数的方法跟踪标的指数，即按照中证互联网</w:t>
            </w:r>
            <w:r w:rsidRPr="005E324A">
              <w:rPr>
                <w:rFonts w:eastAsiaTheme="minorEastAsia"/>
                <w:color w:val="000000"/>
                <w:kern w:val="0"/>
                <w:sz w:val="24"/>
              </w:rPr>
              <w:lastRenderedPageBreak/>
              <w:t>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lastRenderedPageBreak/>
              <w:t>业绩比较基准</w:t>
            </w:r>
          </w:p>
        </w:tc>
        <w:tc>
          <w:tcPr>
            <w:tcW w:w="5479" w:type="dxa"/>
            <w:gridSpan w:val="3"/>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中证互联网金融指数收益率</w:t>
            </w:r>
            <w:r w:rsidRPr="005E324A">
              <w:rPr>
                <w:rFonts w:eastAsiaTheme="minorEastAsia"/>
                <w:color w:val="000000"/>
                <w:kern w:val="0"/>
                <w:sz w:val="24"/>
              </w:rPr>
              <w:t>×95%</w:t>
            </w:r>
            <w:r w:rsidRPr="005E324A">
              <w:rPr>
                <w:rFonts w:eastAsiaTheme="minorEastAsia"/>
                <w:color w:val="000000"/>
                <w:kern w:val="0"/>
                <w:sz w:val="24"/>
              </w:rPr>
              <w:t>＋银行活期存款利率（税后）</w:t>
            </w:r>
            <w:r w:rsidRPr="005E324A">
              <w:rPr>
                <w:rFonts w:eastAsiaTheme="minorEastAsia"/>
                <w:color w:val="000000"/>
                <w:kern w:val="0"/>
                <w:sz w:val="24"/>
              </w:rPr>
              <w:t>×5%</w:t>
            </w:r>
            <w:r w:rsidRPr="005E324A">
              <w:rPr>
                <w:rFonts w:eastAsiaTheme="minorEastAsia"/>
                <w:color w:val="000000"/>
                <w:kern w:val="0"/>
                <w:sz w:val="24"/>
              </w:rPr>
              <w:t>。</w:t>
            </w:r>
          </w:p>
        </w:tc>
      </w:tr>
      <w:tr w:rsidR="00134868" w:rsidRPr="005E324A" w:rsidTr="00A008DA">
        <w:tc>
          <w:tcPr>
            <w:tcW w:w="2835" w:type="dxa"/>
          </w:tcPr>
          <w:p w:rsidR="00134868" w:rsidRPr="005E324A" w:rsidRDefault="00134868" w:rsidP="00A008DA">
            <w:pPr>
              <w:adjustRightInd w:val="0"/>
              <w:spacing w:before="29" w:line="360" w:lineRule="auto"/>
              <w:ind w:left="17"/>
              <w:jc w:val="left"/>
              <w:rPr>
                <w:rFonts w:eastAsiaTheme="minorEastAsia"/>
                <w:sz w:val="24"/>
              </w:rPr>
            </w:pPr>
            <w:r w:rsidRPr="005E324A">
              <w:rPr>
                <w:rFonts w:eastAsiaTheme="minorEastAsia"/>
                <w:kern w:val="0"/>
                <w:sz w:val="24"/>
              </w:rPr>
              <w:t>风险收益特征</w:t>
            </w:r>
          </w:p>
        </w:tc>
        <w:tc>
          <w:tcPr>
            <w:tcW w:w="5479" w:type="dxa"/>
            <w:gridSpan w:val="3"/>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互联网金融份额具有与标的指数、以及标的指数所代表的股票市场相似的风险收益特征；交银互联网金融</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份额具有低预期风险、预期收益相对稳定的特征；交银互联网金融</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基金管理人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交银施罗德基金管理有限公司</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基金托管人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中国建设银行股份有限公司</w:t>
            </w:r>
          </w:p>
        </w:tc>
      </w:tr>
      <w:tr w:rsidR="00134868" w:rsidRPr="005E324A" w:rsidTr="000B5208">
        <w:tc>
          <w:tcPr>
            <w:tcW w:w="2835" w:type="dxa"/>
          </w:tcPr>
          <w:p w:rsidR="00134868" w:rsidRPr="005E324A" w:rsidRDefault="00134868" w:rsidP="005F621F">
            <w:pPr>
              <w:adjustRightInd w:val="0"/>
              <w:spacing w:before="29" w:line="360" w:lineRule="auto"/>
              <w:ind w:left="17"/>
              <w:jc w:val="left"/>
              <w:rPr>
                <w:rFonts w:eastAsiaTheme="minorEastAsia"/>
                <w:kern w:val="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级基金的基金简称</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r w:rsidRPr="005E324A">
              <w:rPr>
                <w:rFonts w:eastAsiaTheme="minorEastAsia"/>
                <w:sz w:val="24"/>
              </w:rPr>
              <w:t>A</w:t>
            </w:r>
          </w:p>
        </w:tc>
        <w:tc>
          <w:tcPr>
            <w:tcW w:w="1827"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r w:rsidRPr="005E324A">
              <w:rPr>
                <w:rFonts w:eastAsiaTheme="minorEastAsia"/>
                <w:sz w:val="24"/>
              </w:rPr>
              <w:t>B</w:t>
            </w:r>
          </w:p>
        </w:tc>
      </w:tr>
      <w:tr w:rsidR="00C136F5" w:rsidRPr="005E324A" w:rsidTr="000B5208">
        <w:tc>
          <w:tcPr>
            <w:tcW w:w="2835" w:type="dxa"/>
          </w:tcPr>
          <w:p w:rsidR="00C136F5" w:rsidRPr="005E324A" w:rsidRDefault="00C136F5"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级基金的场内简称</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r w:rsidRPr="005E324A">
              <w:rPr>
                <w:sz w:val="24"/>
              </w:rPr>
              <w:t>A</w:t>
            </w:r>
          </w:p>
        </w:tc>
        <w:tc>
          <w:tcPr>
            <w:tcW w:w="1827"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r w:rsidRPr="005E324A">
              <w:rPr>
                <w:sz w:val="24"/>
              </w:rPr>
              <w:t>B</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级基金的交易代码</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164907</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150317</w:t>
            </w:r>
          </w:p>
        </w:tc>
        <w:tc>
          <w:tcPr>
            <w:tcW w:w="1827"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150318</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报告期末下属</w:t>
            </w:r>
            <w:r w:rsidR="005F621F" w:rsidRPr="005E324A">
              <w:rPr>
                <w:rFonts w:eastAsiaTheme="minorEastAsia"/>
                <w:color w:val="000000"/>
                <w:sz w:val="24"/>
              </w:rPr>
              <w:t>分</w:t>
            </w:r>
            <w:r w:rsidRPr="005E324A">
              <w:rPr>
                <w:rFonts w:eastAsiaTheme="minorEastAsia"/>
                <w:color w:val="000000"/>
                <w:sz w:val="24"/>
              </w:rPr>
              <w:t>级基金的份额总额</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85,041,042.22</w:t>
            </w:r>
            <w:r w:rsidRPr="005E324A">
              <w:rPr>
                <w:rFonts w:eastAsiaTheme="minorEastAsia"/>
                <w:color w:val="000000"/>
                <w:kern w:val="0"/>
                <w:sz w:val="24"/>
              </w:rPr>
              <w:t>份</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570,223.00</w:t>
            </w:r>
            <w:r w:rsidRPr="005E324A">
              <w:rPr>
                <w:rFonts w:eastAsiaTheme="minorEastAsia"/>
                <w:color w:val="000000"/>
                <w:kern w:val="0"/>
                <w:sz w:val="24"/>
              </w:rPr>
              <w:t>份</w:t>
            </w:r>
          </w:p>
        </w:tc>
        <w:tc>
          <w:tcPr>
            <w:tcW w:w="1827"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570,223.00</w:t>
            </w:r>
            <w:r w:rsidRPr="005E324A">
              <w:rPr>
                <w:rFonts w:eastAsiaTheme="minorEastAsia"/>
                <w:color w:val="000000"/>
                <w:kern w:val="0"/>
                <w:sz w:val="24"/>
              </w:rPr>
              <w:t>份</w:t>
            </w:r>
          </w:p>
        </w:tc>
      </w:tr>
      <w:tr w:rsidR="00134868" w:rsidRPr="005E324A" w:rsidTr="00EB3E72">
        <w:tc>
          <w:tcPr>
            <w:tcW w:w="2835" w:type="dxa"/>
          </w:tcPr>
          <w:p w:rsidR="00134868" w:rsidRPr="005E324A" w:rsidRDefault="00307735" w:rsidP="00A008DA">
            <w:pPr>
              <w:adjustRightInd w:val="0"/>
              <w:spacing w:before="29" w:line="360" w:lineRule="auto"/>
              <w:ind w:left="17"/>
              <w:jc w:val="left"/>
              <w:rPr>
                <w:rFonts w:eastAsiaTheme="minorEastAsia"/>
                <w:sz w:val="24"/>
              </w:rPr>
            </w:pPr>
            <w:r w:rsidRPr="005E324A">
              <w:rPr>
                <w:sz w:val="24"/>
              </w:rPr>
              <w:t>下属分级基金的</w:t>
            </w:r>
            <w:r w:rsidR="00134868" w:rsidRPr="005E324A">
              <w:rPr>
                <w:rFonts w:eastAsiaTheme="minorEastAsia"/>
                <w:kern w:val="0"/>
                <w:sz w:val="24"/>
              </w:rPr>
              <w:t>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金融份额具有与标的指数、以及标的指数所代表的股票市场相似的风险收益特征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w:t>
            </w:r>
          </w:p>
        </w:tc>
        <w:tc>
          <w:tcPr>
            <w:tcW w:w="1827"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bl>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§3  </w:t>
      </w:r>
      <w:r w:rsidRPr="005E324A">
        <w:rPr>
          <w:rFonts w:eastAsiaTheme="minorEastAsia"/>
          <w:color w:val="000000"/>
          <w:kern w:val="0"/>
          <w:sz w:val="24"/>
          <w:szCs w:val="24"/>
        </w:rPr>
        <w:t>主要财务指标和基金净值表现</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3.1 </w:t>
      </w:r>
      <w:r w:rsidRPr="005E324A">
        <w:rPr>
          <w:rFonts w:eastAsiaTheme="minorEastAsia"/>
          <w:b/>
          <w:color w:val="000000"/>
          <w:kern w:val="0"/>
          <w:sz w:val="24"/>
        </w:rPr>
        <w:t>主要财务指标</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51160A" w:rsidRPr="005E324A" w:rsidTr="0051160A">
        <w:tc>
          <w:tcPr>
            <w:tcW w:w="3402" w:type="dxa"/>
            <w:vAlign w:val="center"/>
          </w:tcPr>
          <w:p w:rsidR="00FC219C" w:rsidRPr="005E324A" w:rsidRDefault="00FC219C" w:rsidP="004D67E0">
            <w:pPr>
              <w:adjustRightInd w:val="0"/>
              <w:spacing w:before="29" w:line="360" w:lineRule="auto"/>
              <w:ind w:left="17"/>
              <w:jc w:val="center"/>
              <w:rPr>
                <w:rFonts w:eastAsiaTheme="minorEastAsia"/>
                <w:kern w:val="0"/>
                <w:sz w:val="24"/>
              </w:rPr>
            </w:pPr>
            <w:r w:rsidRPr="005E324A">
              <w:rPr>
                <w:rFonts w:eastAsiaTheme="minorEastAsia"/>
                <w:kern w:val="0"/>
                <w:sz w:val="24"/>
              </w:rPr>
              <w:t>主要财务指标</w:t>
            </w:r>
          </w:p>
        </w:tc>
        <w:tc>
          <w:tcPr>
            <w:tcW w:w="4962" w:type="dxa"/>
            <w:vAlign w:val="center"/>
          </w:tcPr>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报告期</w:t>
            </w:r>
          </w:p>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(2020</w:t>
            </w:r>
            <w:r w:rsidRPr="005E324A">
              <w:rPr>
                <w:rFonts w:eastAsiaTheme="minorEastAsia"/>
                <w:color w:val="000000"/>
                <w:sz w:val="24"/>
              </w:rPr>
              <w:t>年</w:t>
            </w:r>
            <w:r w:rsidRPr="005E324A">
              <w:rPr>
                <w:rFonts w:eastAsiaTheme="minorEastAsia"/>
                <w:color w:val="000000"/>
                <w:sz w:val="24"/>
              </w:rPr>
              <w:t>4</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w:t>
            </w:r>
            <w:r w:rsidRPr="005E324A">
              <w:rPr>
                <w:rFonts w:eastAsiaTheme="minorEastAsia"/>
                <w:color w:val="000000"/>
                <w:sz w:val="24"/>
              </w:rPr>
              <w:t>-2020</w:t>
            </w:r>
            <w:r w:rsidRPr="005E324A">
              <w:rPr>
                <w:rFonts w:eastAsiaTheme="minorEastAsia"/>
                <w:color w:val="000000"/>
                <w:sz w:val="24"/>
              </w:rPr>
              <w:t>年</w:t>
            </w:r>
            <w:r w:rsidRPr="005E324A">
              <w:rPr>
                <w:rFonts w:eastAsiaTheme="minorEastAsia"/>
                <w:color w:val="000000"/>
                <w:sz w:val="24"/>
              </w:rPr>
              <w:t>6</w:t>
            </w:r>
            <w:r w:rsidRPr="005E324A">
              <w:rPr>
                <w:rFonts w:eastAsiaTheme="minorEastAsia"/>
                <w:color w:val="000000"/>
                <w:sz w:val="24"/>
              </w:rPr>
              <w:t>月</w:t>
            </w:r>
            <w:r w:rsidRPr="005E324A">
              <w:rPr>
                <w:rFonts w:eastAsiaTheme="minorEastAsia"/>
                <w:color w:val="000000"/>
                <w:sz w:val="24"/>
              </w:rPr>
              <w:t>30</w:t>
            </w:r>
            <w:r w:rsidRPr="005E324A">
              <w:rPr>
                <w:rFonts w:eastAsiaTheme="minorEastAsia"/>
                <w:color w:val="000000"/>
                <w:sz w:val="24"/>
              </w:rPr>
              <w:t>日</w:t>
            </w:r>
            <w:r w:rsidRPr="005E324A">
              <w:rPr>
                <w:rFonts w:eastAsiaTheme="minorEastAsia"/>
                <w:color w:val="000000"/>
                <w:sz w:val="24"/>
              </w:rPr>
              <w:t>)</w:t>
            </w:r>
          </w:p>
        </w:tc>
      </w:tr>
      <w:tr w:rsidR="0051160A" w:rsidRPr="005E324A" w:rsidTr="0051160A">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1.</w:t>
            </w:r>
            <w:r w:rsidRPr="005E324A">
              <w:rPr>
                <w:rFonts w:eastAsiaTheme="minorEastAsia"/>
                <w:kern w:val="0"/>
                <w:sz w:val="24"/>
              </w:rPr>
              <w:t>本期已实现收益</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-7,143,419.84</w:t>
            </w:r>
          </w:p>
        </w:tc>
      </w:tr>
      <w:tr w:rsidR="0051160A" w:rsidRPr="005E324A" w:rsidTr="0051160A">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2.</w:t>
            </w:r>
            <w:r w:rsidRPr="005E324A">
              <w:rPr>
                <w:rFonts w:eastAsiaTheme="minorEastAsia"/>
                <w:kern w:val="0"/>
                <w:sz w:val="24"/>
              </w:rPr>
              <w:t>本期利润</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8,907,073.28</w:t>
            </w:r>
          </w:p>
        </w:tc>
      </w:tr>
      <w:tr w:rsidR="0051160A" w:rsidRPr="005E324A" w:rsidTr="0051160A">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3.</w:t>
            </w:r>
            <w:r w:rsidRPr="005E324A">
              <w:rPr>
                <w:rFonts w:eastAsiaTheme="minorEastAsia"/>
                <w:kern w:val="0"/>
                <w:sz w:val="24"/>
              </w:rPr>
              <w:t>加权平均基金份额本期利润</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0.1003</w:t>
            </w:r>
          </w:p>
        </w:tc>
      </w:tr>
      <w:tr w:rsidR="0051160A" w:rsidRPr="005E324A" w:rsidTr="0051160A">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4.</w:t>
            </w:r>
            <w:r w:rsidRPr="005E324A">
              <w:rPr>
                <w:rFonts w:eastAsiaTheme="minorEastAsia"/>
                <w:kern w:val="0"/>
                <w:sz w:val="24"/>
              </w:rPr>
              <w:t>期末基金资产净值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77,528,525.78</w:t>
            </w:r>
          </w:p>
        </w:tc>
      </w:tr>
      <w:tr w:rsidR="0051160A" w:rsidRPr="005E324A" w:rsidTr="0051160A">
        <w:trPr>
          <w:trHeight w:val="158"/>
        </w:trPr>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5.</w:t>
            </w:r>
            <w:r w:rsidRPr="005E324A">
              <w:rPr>
                <w:rFonts w:eastAsiaTheme="minorEastAsia"/>
                <w:kern w:val="0"/>
                <w:sz w:val="24"/>
              </w:rPr>
              <w:t>期末基金份额净值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0.900</w:t>
            </w:r>
          </w:p>
        </w:tc>
      </w:tr>
    </w:tbl>
    <w:p w:rsidR="0046285D" w:rsidRDefault="00E078E0">
      <w:pPr>
        <w:autoSpaceDE w:val="0"/>
        <w:autoSpaceDN w:val="0"/>
        <w:adjustRightInd w:val="0"/>
        <w:spacing w:line="360"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220542" w:rsidRPr="005E324A" w:rsidRDefault="006D676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 xml:space="preserve">    2</w:t>
      </w:r>
      <w:r w:rsidRPr="005E324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3.2 </w:t>
      </w:r>
      <w:r w:rsidRPr="005E324A">
        <w:rPr>
          <w:rFonts w:eastAsiaTheme="minorEastAsia"/>
          <w:b/>
          <w:color w:val="000000"/>
          <w:kern w:val="0"/>
          <w:sz w:val="24"/>
        </w:rPr>
        <w:t>基金净值表现</w:t>
      </w:r>
    </w:p>
    <w:p w:rsidR="007622F6" w:rsidRPr="005E324A" w:rsidRDefault="00220542"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3.2.1</w:t>
        </w:r>
      </w:smartTag>
      <w:r w:rsidRPr="005E324A">
        <w:rPr>
          <w:rFonts w:eastAsiaTheme="minorEastAsia"/>
          <w:b/>
          <w:color w:val="000000"/>
          <w:kern w:val="0"/>
          <w:sz w:val="24"/>
        </w:rPr>
        <w:t>本报告期基金份额净值增长率及其与同期业绩比较基准收益率的比较</w:t>
      </w:r>
    </w:p>
    <w:tbl>
      <w:tblPr>
        <w:tblStyle w:val="af7"/>
        <w:tblW w:w="0" w:type="auto"/>
        <w:tblInd w:w="15" w:type="dxa"/>
        <w:tblLayout w:type="fixed"/>
        <w:tblLook w:val="04A0" w:firstRow="1" w:lastRow="0" w:firstColumn="1" w:lastColumn="0" w:noHBand="0" w:noVBand="1"/>
      </w:tblPr>
      <w:tblGrid>
        <w:gridCol w:w="1215"/>
        <w:gridCol w:w="1216"/>
        <w:gridCol w:w="1216"/>
        <w:gridCol w:w="1216"/>
        <w:gridCol w:w="1216"/>
        <w:gridCol w:w="1217"/>
        <w:gridCol w:w="1217"/>
      </w:tblGrid>
      <w:tr w:rsidR="00E27A14" w:rsidRPr="005E324A" w:rsidTr="00E34CDF">
        <w:tc>
          <w:tcPr>
            <w:tcW w:w="1215"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阶段</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w:t>
            </w:r>
            <w:r w:rsidRPr="005E324A">
              <w:rPr>
                <w:rFonts w:ascii="宋体" w:hAnsi="宋体" w:cs="宋体" w:hint="eastAsia"/>
                <w:color w:val="000000"/>
                <w:sz w:val="24"/>
              </w:rPr>
              <w:t>①</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净值增长率标准差</w:t>
            </w:r>
            <w:r w:rsidRPr="005E324A">
              <w:rPr>
                <w:rFonts w:ascii="宋体" w:hAnsi="宋体" w:cs="宋体" w:hint="eastAsia"/>
                <w:color w:val="000000"/>
                <w:sz w:val="24"/>
              </w:rPr>
              <w:t>②</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w:t>
            </w:r>
            <w:r w:rsidRPr="005E324A">
              <w:rPr>
                <w:rFonts w:ascii="宋体" w:hAnsi="宋体" w:cs="宋体" w:hint="eastAsia"/>
                <w:color w:val="000000"/>
                <w:sz w:val="24"/>
              </w:rPr>
              <w:t>③</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业绩比较基准收益率标准差</w:t>
            </w:r>
            <w:r w:rsidRPr="005E324A">
              <w:rPr>
                <w:rFonts w:ascii="宋体" w:hAnsi="宋体" w:cs="宋体" w:hint="eastAsia"/>
                <w:color w:val="000000"/>
                <w:sz w:val="24"/>
              </w:rPr>
              <w:t>④</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①</w:t>
            </w:r>
            <w:r w:rsidRPr="005E324A">
              <w:rPr>
                <w:rFonts w:eastAsiaTheme="minorEastAsia"/>
                <w:color w:val="000000"/>
                <w:sz w:val="24"/>
              </w:rPr>
              <w:t>－</w:t>
            </w:r>
            <w:r w:rsidRPr="005E324A">
              <w:rPr>
                <w:rFonts w:ascii="宋体" w:hAnsi="宋体" w:cs="宋体" w:hint="eastAsia"/>
                <w:color w:val="000000"/>
                <w:sz w:val="24"/>
              </w:rPr>
              <w:t>③</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②</w:t>
            </w:r>
            <w:r w:rsidRPr="005E324A">
              <w:rPr>
                <w:rFonts w:eastAsiaTheme="minorEastAsia"/>
                <w:color w:val="000000"/>
                <w:sz w:val="24"/>
              </w:rPr>
              <w:t>－</w:t>
            </w:r>
            <w:r w:rsidRPr="005E324A">
              <w:rPr>
                <w:rFonts w:ascii="宋体" w:hAnsi="宋体" w:cs="宋体" w:hint="eastAsia"/>
                <w:color w:val="000000"/>
                <w:sz w:val="24"/>
              </w:rPr>
              <w:t>④</w:t>
            </w:r>
          </w:p>
        </w:tc>
      </w:tr>
      <w:tr w:rsidR="0046285D">
        <w:tc>
          <w:tcPr>
            <w:tcW w:w="1215" w:type="dxa"/>
            <w:vAlign w:val="center"/>
          </w:tcPr>
          <w:p w:rsidR="0046285D" w:rsidRDefault="00E078E0">
            <w:pPr>
              <w:jc w:val="left"/>
            </w:pPr>
            <w:r>
              <w:rPr>
                <w:rFonts w:eastAsiaTheme="minorEastAsia"/>
                <w:color w:val="000000"/>
                <w:kern w:val="0"/>
                <w:sz w:val="24"/>
              </w:rPr>
              <w:t>过去三个月</w:t>
            </w:r>
          </w:p>
        </w:tc>
        <w:tc>
          <w:tcPr>
            <w:tcW w:w="1216" w:type="dxa"/>
            <w:vAlign w:val="center"/>
          </w:tcPr>
          <w:p w:rsidR="0046285D" w:rsidRDefault="00E078E0">
            <w:pPr>
              <w:jc w:val="center"/>
            </w:pPr>
            <w:r>
              <w:rPr>
                <w:rFonts w:eastAsiaTheme="minorEastAsia"/>
                <w:color w:val="000000"/>
                <w:kern w:val="0"/>
                <w:sz w:val="24"/>
              </w:rPr>
              <w:t>12.78%</w:t>
            </w:r>
          </w:p>
        </w:tc>
        <w:tc>
          <w:tcPr>
            <w:tcW w:w="1216" w:type="dxa"/>
            <w:vAlign w:val="center"/>
          </w:tcPr>
          <w:p w:rsidR="0046285D" w:rsidRDefault="00E078E0">
            <w:pPr>
              <w:jc w:val="center"/>
            </w:pPr>
            <w:r>
              <w:rPr>
                <w:rFonts w:eastAsiaTheme="minorEastAsia"/>
                <w:color w:val="000000"/>
                <w:kern w:val="0"/>
                <w:sz w:val="24"/>
              </w:rPr>
              <w:t>1.36%</w:t>
            </w:r>
          </w:p>
        </w:tc>
        <w:tc>
          <w:tcPr>
            <w:tcW w:w="1216" w:type="dxa"/>
            <w:vAlign w:val="center"/>
          </w:tcPr>
          <w:p w:rsidR="0046285D" w:rsidRDefault="00E078E0">
            <w:pPr>
              <w:jc w:val="center"/>
            </w:pPr>
            <w:r>
              <w:rPr>
                <w:rFonts w:eastAsiaTheme="minorEastAsia"/>
                <w:color w:val="000000"/>
                <w:kern w:val="0"/>
                <w:sz w:val="24"/>
              </w:rPr>
              <w:t>12.42%</w:t>
            </w:r>
          </w:p>
        </w:tc>
        <w:tc>
          <w:tcPr>
            <w:tcW w:w="1216" w:type="dxa"/>
            <w:vAlign w:val="center"/>
          </w:tcPr>
          <w:p w:rsidR="0046285D" w:rsidRDefault="00E078E0">
            <w:pPr>
              <w:jc w:val="center"/>
            </w:pPr>
            <w:r>
              <w:rPr>
                <w:rFonts w:eastAsiaTheme="minorEastAsia"/>
                <w:color w:val="000000"/>
                <w:kern w:val="0"/>
                <w:sz w:val="24"/>
              </w:rPr>
              <w:t>1.39%</w:t>
            </w:r>
          </w:p>
        </w:tc>
        <w:tc>
          <w:tcPr>
            <w:tcW w:w="1217" w:type="dxa"/>
            <w:vAlign w:val="center"/>
          </w:tcPr>
          <w:p w:rsidR="0046285D" w:rsidRDefault="00E078E0">
            <w:pPr>
              <w:jc w:val="center"/>
            </w:pPr>
            <w:r>
              <w:rPr>
                <w:rFonts w:eastAsiaTheme="minorEastAsia"/>
                <w:color w:val="000000"/>
                <w:kern w:val="0"/>
                <w:sz w:val="24"/>
              </w:rPr>
              <w:t>0.36%</w:t>
            </w:r>
          </w:p>
        </w:tc>
        <w:tc>
          <w:tcPr>
            <w:tcW w:w="1217" w:type="dxa"/>
            <w:vAlign w:val="center"/>
          </w:tcPr>
          <w:p w:rsidR="0046285D" w:rsidRDefault="00E078E0">
            <w:pPr>
              <w:jc w:val="center"/>
            </w:pPr>
            <w:r>
              <w:rPr>
                <w:rFonts w:eastAsiaTheme="minorEastAsia"/>
                <w:color w:val="000000"/>
                <w:kern w:val="0"/>
                <w:sz w:val="24"/>
              </w:rPr>
              <w:t>-0.03%</w:t>
            </w:r>
          </w:p>
        </w:tc>
      </w:tr>
      <w:tr w:rsidR="0046285D">
        <w:tc>
          <w:tcPr>
            <w:tcW w:w="1215" w:type="dxa"/>
            <w:vAlign w:val="center"/>
          </w:tcPr>
          <w:p w:rsidR="0046285D" w:rsidRDefault="00E078E0">
            <w:pPr>
              <w:jc w:val="left"/>
            </w:pPr>
            <w:r>
              <w:rPr>
                <w:rFonts w:eastAsiaTheme="minorEastAsia"/>
                <w:color w:val="000000"/>
                <w:kern w:val="0"/>
                <w:sz w:val="24"/>
              </w:rPr>
              <w:t>过去六个月</w:t>
            </w:r>
          </w:p>
        </w:tc>
        <w:tc>
          <w:tcPr>
            <w:tcW w:w="1216" w:type="dxa"/>
            <w:vAlign w:val="center"/>
          </w:tcPr>
          <w:p w:rsidR="0046285D" w:rsidRDefault="00E078E0">
            <w:pPr>
              <w:jc w:val="center"/>
            </w:pPr>
            <w:r>
              <w:rPr>
                <w:rFonts w:eastAsiaTheme="minorEastAsia"/>
                <w:color w:val="000000"/>
                <w:kern w:val="0"/>
                <w:sz w:val="24"/>
              </w:rPr>
              <w:t>3.99%</w:t>
            </w:r>
          </w:p>
        </w:tc>
        <w:tc>
          <w:tcPr>
            <w:tcW w:w="1216" w:type="dxa"/>
            <w:vAlign w:val="center"/>
          </w:tcPr>
          <w:p w:rsidR="0046285D" w:rsidRDefault="00E078E0">
            <w:pPr>
              <w:jc w:val="center"/>
            </w:pPr>
            <w:r>
              <w:rPr>
                <w:rFonts w:eastAsiaTheme="minorEastAsia"/>
                <w:color w:val="000000"/>
                <w:kern w:val="0"/>
                <w:sz w:val="24"/>
              </w:rPr>
              <w:t>2.05%</w:t>
            </w:r>
          </w:p>
        </w:tc>
        <w:tc>
          <w:tcPr>
            <w:tcW w:w="1216" w:type="dxa"/>
            <w:vAlign w:val="center"/>
          </w:tcPr>
          <w:p w:rsidR="0046285D" w:rsidRDefault="00E078E0">
            <w:pPr>
              <w:jc w:val="center"/>
            </w:pPr>
            <w:r>
              <w:rPr>
                <w:rFonts w:eastAsiaTheme="minorEastAsia"/>
                <w:color w:val="000000"/>
                <w:kern w:val="0"/>
                <w:sz w:val="24"/>
              </w:rPr>
              <w:t>4.06%</w:t>
            </w:r>
          </w:p>
        </w:tc>
        <w:tc>
          <w:tcPr>
            <w:tcW w:w="1216" w:type="dxa"/>
            <w:vAlign w:val="center"/>
          </w:tcPr>
          <w:p w:rsidR="0046285D" w:rsidRDefault="00E078E0">
            <w:pPr>
              <w:jc w:val="center"/>
            </w:pPr>
            <w:r>
              <w:rPr>
                <w:rFonts w:eastAsiaTheme="minorEastAsia"/>
                <w:color w:val="000000"/>
                <w:kern w:val="0"/>
                <w:sz w:val="24"/>
              </w:rPr>
              <w:t>2.07%</w:t>
            </w:r>
          </w:p>
        </w:tc>
        <w:tc>
          <w:tcPr>
            <w:tcW w:w="1217" w:type="dxa"/>
            <w:vAlign w:val="center"/>
          </w:tcPr>
          <w:p w:rsidR="0046285D" w:rsidRDefault="00E078E0">
            <w:pPr>
              <w:jc w:val="center"/>
            </w:pPr>
            <w:r>
              <w:rPr>
                <w:rFonts w:eastAsiaTheme="minorEastAsia"/>
                <w:color w:val="000000"/>
                <w:kern w:val="0"/>
                <w:sz w:val="24"/>
              </w:rPr>
              <w:t>-0.07%</w:t>
            </w:r>
          </w:p>
        </w:tc>
        <w:tc>
          <w:tcPr>
            <w:tcW w:w="1217" w:type="dxa"/>
            <w:vAlign w:val="center"/>
          </w:tcPr>
          <w:p w:rsidR="0046285D" w:rsidRDefault="00E078E0">
            <w:pPr>
              <w:jc w:val="center"/>
            </w:pPr>
            <w:r>
              <w:rPr>
                <w:rFonts w:eastAsiaTheme="minorEastAsia"/>
                <w:color w:val="000000"/>
                <w:kern w:val="0"/>
                <w:sz w:val="24"/>
              </w:rPr>
              <w:t>-0.02%</w:t>
            </w:r>
          </w:p>
        </w:tc>
      </w:tr>
      <w:tr w:rsidR="0046285D">
        <w:tc>
          <w:tcPr>
            <w:tcW w:w="1215" w:type="dxa"/>
            <w:vAlign w:val="center"/>
          </w:tcPr>
          <w:p w:rsidR="0046285D" w:rsidRDefault="00E078E0">
            <w:pPr>
              <w:jc w:val="left"/>
            </w:pPr>
            <w:r>
              <w:rPr>
                <w:rFonts w:eastAsiaTheme="minorEastAsia"/>
                <w:color w:val="000000"/>
                <w:kern w:val="0"/>
                <w:sz w:val="24"/>
              </w:rPr>
              <w:t>过去一年</w:t>
            </w:r>
          </w:p>
        </w:tc>
        <w:tc>
          <w:tcPr>
            <w:tcW w:w="1216" w:type="dxa"/>
            <w:vAlign w:val="center"/>
          </w:tcPr>
          <w:p w:rsidR="0046285D" w:rsidRDefault="00E078E0">
            <w:pPr>
              <w:jc w:val="center"/>
            </w:pPr>
            <w:r>
              <w:rPr>
                <w:rFonts w:eastAsiaTheme="minorEastAsia"/>
                <w:color w:val="000000"/>
                <w:kern w:val="0"/>
                <w:sz w:val="24"/>
              </w:rPr>
              <w:t>8.28%</w:t>
            </w:r>
          </w:p>
        </w:tc>
        <w:tc>
          <w:tcPr>
            <w:tcW w:w="1216" w:type="dxa"/>
            <w:vAlign w:val="center"/>
          </w:tcPr>
          <w:p w:rsidR="0046285D" w:rsidRDefault="00E078E0">
            <w:pPr>
              <w:jc w:val="center"/>
            </w:pPr>
            <w:r>
              <w:rPr>
                <w:rFonts w:eastAsiaTheme="minorEastAsia"/>
                <w:color w:val="000000"/>
                <w:kern w:val="0"/>
                <w:sz w:val="24"/>
              </w:rPr>
              <w:t>1.73%</w:t>
            </w:r>
          </w:p>
        </w:tc>
        <w:tc>
          <w:tcPr>
            <w:tcW w:w="1216" w:type="dxa"/>
            <w:vAlign w:val="center"/>
          </w:tcPr>
          <w:p w:rsidR="0046285D" w:rsidRDefault="00E078E0">
            <w:pPr>
              <w:jc w:val="center"/>
            </w:pPr>
            <w:r>
              <w:rPr>
                <w:rFonts w:eastAsiaTheme="minorEastAsia"/>
                <w:color w:val="000000"/>
                <w:kern w:val="0"/>
                <w:sz w:val="24"/>
              </w:rPr>
              <w:t>9.09%</w:t>
            </w:r>
          </w:p>
        </w:tc>
        <w:tc>
          <w:tcPr>
            <w:tcW w:w="1216" w:type="dxa"/>
            <w:vAlign w:val="center"/>
          </w:tcPr>
          <w:p w:rsidR="0046285D" w:rsidRDefault="00E078E0">
            <w:pPr>
              <w:jc w:val="center"/>
            </w:pPr>
            <w:r>
              <w:rPr>
                <w:rFonts w:eastAsiaTheme="minorEastAsia"/>
                <w:color w:val="000000"/>
                <w:kern w:val="0"/>
                <w:sz w:val="24"/>
              </w:rPr>
              <w:t>1.75%</w:t>
            </w:r>
          </w:p>
        </w:tc>
        <w:tc>
          <w:tcPr>
            <w:tcW w:w="1217" w:type="dxa"/>
            <w:vAlign w:val="center"/>
          </w:tcPr>
          <w:p w:rsidR="0046285D" w:rsidRDefault="00E078E0">
            <w:pPr>
              <w:jc w:val="center"/>
            </w:pPr>
            <w:r>
              <w:rPr>
                <w:rFonts w:eastAsiaTheme="minorEastAsia"/>
                <w:color w:val="000000"/>
                <w:kern w:val="0"/>
                <w:sz w:val="24"/>
              </w:rPr>
              <w:t>-0.81%</w:t>
            </w:r>
          </w:p>
        </w:tc>
        <w:tc>
          <w:tcPr>
            <w:tcW w:w="1217" w:type="dxa"/>
            <w:vAlign w:val="center"/>
          </w:tcPr>
          <w:p w:rsidR="0046285D" w:rsidRDefault="00E078E0">
            <w:pPr>
              <w:jc w:val="center"/>
            </w:pPr>
            <w:r>
              <w:rPr>
                <w:rFonts w:eastAsiaTheme="minorEastAsia"/>
                <w:color w:val="000000"/>
                <w:kern w:val="0"/>
                <w:sz w:val="24"/>
              </w:rPr>
              <w:t>-0.02%</w:t>
            </w:r>
          </w:p>
        </w:tc>
      </w:tr>
      <w:tr w:rsidR="0046285D">
        <w:tc>
          <w:tcPr>
            <w:tcW w:w="1215" w:type="dxa"/>
            <w:vAlign w:val="center"/>
          </w:tcPr>
          <w:p w:rsidR="0046285D" w:rsidRDefault="00E078E0">
            <w:pPr>
              <w:jc w:val="left"/>
            </w:pPr>
            <w:r>
              <w:rPr>
                <w:rFonts w:eastAsiaTheme="minorEastAsia"/>
                <w:color w:val="000000"/>
                <w:kern w:val="0"/>
                <w:sz w:val="24"/>
              </w:rPr>
              <w:t>过去三年</w:t>
            </w:r>
          </w:p>
        </w:tc>
        <w:tc>
          <w:tcPr>
            <w:tcW w:w="1216" w:type="dxa"/>
            <w:vAlign w:val="center"/>
          </w:tcPr>
          <w:p w:rsidR="0046285D" w:rsidRDefault="00E078E0">
            <w:pPr>
              <w:jc w:val="center"/>
            </w:pPr>
            <w:r>
              <w:rPr>
                <w:rFonts w:eastAsiaTheme="minorEastAsia"/>
                <w:color w:val="000000"/>
                <w:kern w:val="0"/>
                <w:sz w:val="24"/>
              </w:rPr>
              <w:t>1.20%</w:t>
            </w:r>
          </w:p>
        </w:tc>
        <w:tc>
          <w:tcPr>
            <w:tcW w:w="1216" w:type="dxa"/>
            <w:vAlign w:val="center"/>
          </w:tcPr>
          <w:p w:rsidR="0046285D" w:rsidRDefault="00E078E0">
            <w:pPr>
              <w:jc w:val="center"/>
            </w:pPr>
            <w:r>
              <w:rPr>
                <w:rFonts w:eastAsiaTheme="minorEastAsia"/>
                <w:color w:val="000000"/>
                <w:kern w:val="0"/>
                <w:sz w:val="24"/>
              </w:rPr>
              <w:t>1.67%</w:t>
            </w:r>
          </w:p>
        </w:tc>
        <w:tc>
          <w:tcPr>
            <w:tcW w:w="1216" w:type="dxa"/>
            <w:vAlign w:val="center"/>
          </w:tcPr>
          <w:p w:rsidR="0046285D" w:rsidRDefault="00E078E0">
            <w:pPr>
              <w:jc w:val="center"/>
            </w:pPr>
            <w:r>
              <w:rPr>
                <w:rFonts w:eastAsiaTheme="minorEastAsia"/>
                <w:color w:val="000000"/>
                <w:kern w:val="0"/>
                <w:sz w:val="24"/>
              </w:rPr>
              <w:t>4.14%</w:t>
            </w:r>
          </w:p>
        </w:tc>
        <w:tc>
          <w:tcPr>
            <w:tcW w:w="1216" w:type="dxa"/>
            <w:vAlign w:val="center"/>
          </w:tcPr>
          <w:p w:rsidR="0046285D" w:rsidRDefault="00E078E0">
            <w:pPr>
              <w:jc w:val="center"/>
            </w:pPr>
            <w:r>
              <w:rPr>
                <w:rFonts w:eastAsiaTheme="minorEastAsia"/>
                <w:color w:val="000000"/>
                <w:kern w:val="0"/>
                <w:sz w:val="24"/>
              </w:rPr>
              <w:t>1.66%</w:t>
            </w:r>
          </w:p>
        </w:tc>
        <w:tc>
          <w:tcPr>
            <w:tcW w:w="1217" w:type="dxa"/>
            <w:vAlign w:val="center"/>
          </w:tcPr>
          <w:p w:rsidR="0046285D" w:rsidRDefault="00E078E0">
            <w:pPr>
              <w:jc w:val="center"/>
            </w:pPr>
            <w:r>
              <w:rPr>
                <w:rFonts w:eastAsiaTheme="minorEastAsia"/>
                <w:color w:val="000000"/>
                <w:kern w:val="0"/>
                <w:sz w:val="24"/>
              </w:rPr>
              <w:t>-2.94%</w:t>
            </w:r>
          </w:p>
        </w:tc>
        <w:tc>
          <w:tcPr>
            <w:tcW w:w="1217" w:type="dxa"/>
            <w:vAlign w:val="center"/>
          </w:tcPr>
          <w:p w:rsidR="0046285D" w:rsidRDefault="00E078E0">
            <w:pPr>
              <w:jc w:val="center"/>
            </w:pPr>
            <w:r>
              <w:rPr>
                <w:rFonts w:eastAsiaTheme="minorEastAsia"/>
                <w:color w:val="000000"/>
                <w:kern w:val="0"/>
                <w:sz w:val="24"/>
              </w:rPr>
              <w:t>0.01%</w:t>
            </w:r>
          </w:p>
        </w:tc>
      </w:tr>
      <w:tr w:rsidR="0046285D">
        <w:tc>
          <w:tcPr>
            <w:tcW w:w="1215" w:type="dxa"/>
            <w:vAlign w:val="center"/>
          </w:tcPr>
          <w:p w:rsidR="0046285D" w:rsidRDefault="00E078E0">
            <w:pPr>
              <w:jc w:val="left"/>
            </w:pPr>
            <w:r>
              <w:rPr>
                <w:rFonts w:eastAsiaTheme="minorEastAsia"/>
                <w:color w:val="000000"/>
                <w:kern w:val="0"/>
                <w:sz w:val="24"/>
              </w:rPr>
              <w:t>过去五年</w:t>
            </w:r>
          </w:p>
        </w:tc>
        <w:tc>
          <w:tcPr>
            <w:tcW w:w="1216" w:type="dxa"/>
            <w:vAlign w:val="center"/>
          </w:tcPr>
          <w:p w:rsidR="0046285D" w:rsidRDefault="00E078E0">
            <w:pPr>
              <w:jc w:val="center"/>
            </w:pPr>
            <w:r>
              <w:rPr>
                <w:rFonts w:eastAsiaTheme="minorEastAsia"/>
                <w:color w:val="000000"/>
                <w:kern w:val="0"/>
                <w:sz w:val="24"/>
              </w:rPr>
              <w:t>-36.21%</w:t>
            </w:r>
          </w:p>
        </w:tc>
        <w:tc>
          <w:tcPr>
            <w:tcW w:w="1216" w:type="dxa"/>
            <w:vAlign w:val="center"/>
          </w:tcPr>
          <w:p w:rsidR="0046285D" w:rsidRDefault="00E078E0">
            <w:pPr>
              <w:jc w:val="center"/>
            </w:pPr>
            <w:r>
              <w:rPr>
                <w:rFonts w:eastAsiaTheme="minorEastAsia"/>
                <w:color w:val="000000"/>
                <w:kern w:val="0"/>
                <w:sz w:val="24"/>
              </w:rPr>
              <w:t>1.90%</w:t>
            </w:r>
          </w:p>
        </w:tc>
        <w:tc>
          <w:tcPr>
            <w:tcW w:w="1216" w:type="dxa"/>
            <w:vAlign w:val="center"/>
          </w:tcPr>
          <w:p w:rsidR="0046285D" w:rsidRDefault="00E078E0">
            <w:pPr>
              <w:jc w:val="center"/>
            </w:pPr>
            <w:r>
              <w:rPr>
                <w:rFonts w:eastAsiaTheme="minorEastAsia"/>
                <w:color w:val="000000"/>
                <w:kern w:val="0"/>
                <w:sz w:val="24"/>
              </w:rPr>
              <w:t>-37.07%</w:t>
            </w:r>
          </w:p>
        </w:tc>
        <w:tc>
          <w:tcPr>
            <w:tcW w:w="1216" w:type="dxa"/>
            <w:vAlign w:val="center"/>
          </w:tcPr>
          <w:p w:rsidR="0046285D" w:rsidRDefault="00E078E0">
            <w:pPr>
              <w:jc w:val="center"/>
            </w:pPr>
            <w:r>
              <w:rPr>
                <w:rFonts w:eastAsiaTheme="minorEastAsia"/>
                <w:color w:val="000000"/>
                <w:kern w:val="0"/>
                <w:sz w:val="24"/>
              </w:rPr>
              <w:t>1.87%</w:t>
            </w:r>
          </w:p>
        </w:tc>
        <w:tc>
          <w:tcPr>
            <w:tcW w:w="1217" w:type="dxa"/>
            <w:vAlign w:val="center"/>
          </w:tcPr>
          <w:p w:rsidR="0046285D" w:rsidRDefault="00E078E0">
            <w:pPr>
              <w:jc w:val="center"/>
            </w:pPr>
            <w:r>
              <w:rPr>
                <w:rFonts w:eastAsiaTheme="minorEastAsia"/>
                <w:color w:val="000000"/>
                <w:kern w:val="0"/>
                <w:sz w:val="24"/>
              </w:rPr>
              <w:t>0.86%</w:t>
            </w:r>
          </w:p>
        </w:tc>
        <w:tc>
          <w:tcPr>
            <w:tcW w:w="1217" w:type="dxa"/>
            <w:vAlign w:val="center"/>
          </w:tcPr>
          <w:p w:rsidR="0046285D" w:rsidRDefault="00E078E0">
            <w:pPr>
              <w:jc w:val="center"/>
            </w:pPr>
            <w:r>
              <w:rPr>
                <w:rFonts w:eastAsiaTheme="minorEastAsia"/>
                <w:color w:val="000000"/>
                <w:kern w:val="0"/>
                <w:sz w:val="24"/>
              </w:rPr>
              <w:t>0.03%</w:t>
            </w:r>
          </w:p>
        </w:tc>
      </w:tr>
      <w:tr w:rsidR="0046285D">
        <w:tc>
          <w:tcPr>
            <w:tcW w:w="1215" w:type="dxa"/>
            <w:vAlign w:val="center"/>
          </w:tcPr>
          <w:p w:rsidR="0046285D" w:rsidRDefault="00E078E0">
            <w:pPr>
              <w:jc w:val="left"/>
            </w:pPr>
            <w:r>
              <w:rPr>
                <w:rFonts w:eastAsiaTheme="minorEastAsia"/>
                <w:color w:val="000000"/>
                <w:kern w:val="0"/>
                <w:sz w:val="24"/>
              </w:rPr>
              <w:t>自基金合同生效起至今</w:t>
            </w:r>
          </w:p>
        </w:tc>
        <w:tc>
          <w:tcPr>
            <w:tcW w:w="1216" w:type="dxa"/>
            <w:vAlign w:val="center"/>
          </w:tcPr>
          <w:p w:rsidR="0046285D" w:rsidRDefault="00E078E0">
            <w:pPr>
              <w:jc w:val="center"/>
            </w:pPr>
            <w:r>
              <w:rPr>
                <w:rFonts w:eastAsiaTheme="minorEastAsia"/>
                <w:color w:val="000000"/>
                <w:kern w:val="0"/>
                <w:sz w:val="24"/>
              </w:rPr>
              <w:t>-36.21%</w:t>
            </w:r>
          </w:p>
        </w:tc>
        <w:tc>
          <w:tcPr>
            <w:tcW w:w="1216" w:type="dxa"/>
            <w:vAlign w:val="center"/>
          </w:tcPr>
          <w:p w:rsidR="0046285D" w:rsidRDefault="00E078E0">
            <w:pPr>
              <w:jc w:val="center"/>
            </w:pPr>
            <w:r>
              <w:rPr>
                <w:rFonts w:eastAsiaTheme="minorEastAsia"/>
                <w:color w:val="000000"/>
                <w:kern w:val="0"/>
                <w:sz w:val="24"/>
              </w:rPr>
              <w:t>1.90%</w:t>
            </w:r>
          </w:p>
        </w:tc>
        <w:tc>
          <w:tcPr>
            <w:tcW w:w="1216" w:type="dxa"/>
            <w:vAlign w:val="center"/>
          </w:tcPr>
          <w:p w:rsidR="0046285D" w:rsidRDefault="00E078E0">
            <w:pPr>
              <w:jc w:val="center"/>
            </w:pPr>
            <w:r>
              <w:rPr>
                <w:rFonts w:eastAsiaTheme="minorEastAsia"/>
                <w:color w:val="000000"/>
                <w:kern w:val="0"/>
                <w:sz w:val="24"/>
              </w:rPr>
              <w:t>-43.15%</w:t>
            </w:r>
          </w:p>
        </w:tc>
        <w:tc>
          <w:tcPr>
            <w:tcW w:w="1216" w:type="dxa"/>
            <w:vAlign w:val="center"/>
          </w:tcPr>
          <w:p w:rsidR="0046285D" w:rsidRDefault="00E078E0">
            <w:pPr>
              <w:jc w:val="center"/>
            </w:pPr>
            <w:r>
              <w:rPr>
                <w:rFonts w:eastAsiaTheme="minorEastAsia"/>
                <w:color w:val="000000"/>
                <w:kern w:val="0"/>
                <w:sz w:val="24"/>
              </w:rPr>
              <w:t>1.90%</w:t>
            </w:r>
          </w:p>
        </w:tc>
        <w:tc>
          <w:tcPr>
            <w:tcW w:w="1217" w:type="dxa"/>
            <w:vAlign w:val="center"/>
          </w:tcPr>
          <w:p w:rsidR="0046285D" w:rsidRDefault="00E078E0">
            <w:pPr>
              <w:jc w:val="center"/>
            </w:pPr>
            <w:r>
              <w:rPr>
                <w:rFonts w:eastAsiaTheme="minorEastAsia"/>
                <w:color w:val="000000"/>
                <w:kern w:val="0"/>
                <w:sz w:val="24"/>
              </w:rPr>
              <w:t>6.94%</w:t>
            </w:r>
          </w:p>
        </w:tc>
        <w:tc>
          <w:tcPr>
            <w:tcW w:w="1217" w:type="dxa"/>
            <w:vAlign w:val="center"/>
          </w:tcPr>
          <w:p w:rsidR="0046285D" w:rsidRDefault="00E078E0">
            <w:pPr>
              <w:jc w:val="center"/>
            </w:pPr>
            <w:r>
              <w:rPr>
                <w:rFonts w:eastAsiaTheme="minorEastAsia"/>
                <w:color w:val="000000"/>
                <w:kern w:val="0"/>
                <w:sz w:val="24"/>
              </w:rPr>
              <w:t>0.00%</w:t>
            </w:r>
          </w:p>
        </w:tc>
      </w:tr>
    </w:tbl>
    <w:p w:rsidR="00465C86" w:rsidRPr="005E324A" w:rsidRDefault="00465C86" w:rsidP="0019563C">
      <w:pPr>
        <w:tabs>
          <w:tab w:val="left" w:pos="1800"/>
        </w:tabs>
        <w:spacing w:line="360" w:lineRule="auto"/>
        <w:rPr>
          <w:rFonts w:eastAsiaTheme="minorEastAsia"/>
          <w:color w:val="000000"/>
          <w:sz w:val="24"/>
        </w:rPr>
      </w:pPr>
    </w:p>
    <w:p w:rsidR="00220542" w:rsidRPr="005E324A" w:rsidRDefault="00220542" w:rsidP="003A4DA3">
      <w:pPr>
        <w:spacing w:line="360" w:lineRule="auto"/>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3.2.2</w:t>
        </w:r>
        <w:r w:rsidR="00C4274D" w:rsidRPr="005E324A">
          <w:rPr>
            <w:rStyle w:val="af8"/>
            <w:color w:val="000000"/>
            <w:sz w:val="24"/>
            <w:shd w:val="clear" w:color="auto" w:fill="FFFFFF"/>
          </w:rPr>
          <w:t>自基金合同生效以来</w:t>
        </w:r>
      </w:smartTag>
      <w:r w:rsidRPr="005E324A">
        <w:rPr>
          <w:rFonts w:eastAsiaTheme="minorEastAsia"/>
          <w:b/>
          <w:bCs/>
          <w:color w:val="000000"/>
          <w:sz w:val="24"/>
        </w:rPr>
        <w:t>基金累计份额净值增长率变动及其与同期业绩比较基准收益率变动的比较</w:t>
      </w:r>
    </w:p>
    <w:p w:rsidR="0042253F" w:rsidRPr="005E324A" w:rsidRDefault="0042253F" w:rsidP="003A4DA3">
      <w:pPr>
        <w:spacing w:line="360" w:lineRule="auto"/>
        <w:jc w:val="center"/>
        <w:rPr>
          <w:rFonts w:eastAsiaTheme="minorEastAsia"/>
          <w:sz w:val="24"/>
        </w:rPr>
      </w:pPr>
      <w:r w:rsidRPr="005E324A">
        <w:rPr>
          <w:rFonts w:eastAsiaTheme="minorEastAsia"/>
          <w:sz w:val="24"/>
        </w:rPr>
        <w:t>交银施罗德中证互联网金融指数分级证券投资基金</w:t>
      </w:r>
    </w:p>
    <w:p w:rsidR="0042253F" w:rsidRPr="005E324A" w:rsidRDefault="0042253F" w:rsidP="003A4DA3">
      <w:pPr>
        <w:pStyle w:val="a5"/>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rsidR="006868CD" w:rsidRPr="005E324A" w:rsidRDefault="006868CD" w:rsidP="003A4DA3">
      <w:pPr>
        <w:spacing w:line="360" w:lineRule="auto"/>
        <w:jc w:val="center"/>
        <w:rPr>
          <w:rFonts w:eastAsiaTheme="minorEastAsia"/>
          <w:sz w:val="24"/>
        </w:rPr>
      </w:pPr>
      <w:r w:rsidRPr="005E324A">
        <w:rPr>
          <w:rFonts w:eastAsiaTheme="minorEastAsia"/>
          <w:color w:val="000000"/>
          <w:kern w:val="0"/>
          <w:sz w:val="24"/>
        </w:rPr>
        <w:t>（</w:t>
      </w:r>
      <w:r w:rsidR="001B64E7" w:rsidRPr="005E324A">
        <w:rPr>
          <w:rFonts w:eastAsiaTheme="minorEastAsia"/>
          <w:color w:val="000000"/>
          <w:kern w:val="0"/>
          <w:sz w:val="24"/>
        </w:rPr>
        <w:t>2015</w:t>
      </w:r>
      <w:r w:rsidR="001B64E7" w:rsidRPr="005E324A">
        <w:rPr>
          <w:rFonts w:eastAsiaTheme="minorEastAsia"/>
          <w:color w:val="000000"/>
          <w:kern w:val="0"/>
          <w:sz w:val="24"/>
        </w:rPr>
        <w:t>年</w:t>
      </w:r>
      <w:r w:rsidR="001B64E7" w:rsidRPr="005E324A">
        <w:rPr>
          <w:rFonts w:eastAsiaTheme="minorEastAsia"/>
          <w:color w:val="000000"/>
          <w:kern w:val="0"/>
          <w:sz w:val="24"/>
        </w:rPr>
        <w:t>6</w:t>
      </w:r>
      <w:r w:rsidR="001B64E7" w:rsidRPr="005E324A">
        <w:rPr>
          <w:rFonts w:eastAsiaTheme="minorEastAsia"/>
          <w:color w:val="000000"/>
          <w:kern w:val="0"/>
          <w:sz w:val="24"/>
        </w:rPr>
        <w:t>月</w:t>
      </w:r>
      <w:r w:rsidR="001B64E7" w:rsidRPr="005E324A">
        <w:rPr>
          <w:rFonts w:eastAsiaTheme="minorEastAsia"/>
          <w:color w:val="000000"/>
          <w:kern w:val="0"/>
          <w:sz w:val="24"/>
        </w:rPr>
        <w:t>26</w:t>
      </w:r>
      <w:r w:rsidR="001B64E7" w:rsidRPr="005E324A">
        <w:rPr>
          <w:rFonts w:eastAsiaTheme="minorEastAsia"/>
          <w:color w:val="000000"/>
          <w:kern w:val="0"/>
          <w:sz w:val="24"/>
        </w:rPr>
        <w:t>日</w:t>
      </w:r>
      <w:r w:rsidRPr="005E324A">
        <w:rPr>
          <w:rFonts w:eastAsiaTheme="minorEastAsia"/>
          <w:color w:val="000000"/>
          <w:kern w:val="0"/>
          <w:sz w:val="24"/>
        </w:rPr>
        <w:t>至</w:t>
      </w:r>
      <w:r w:rsidRPr="005E324A">
        <w:rPr>
          <w:rFonts w:eastAsiaTheme="minorEastAsia"/>
          <w:color w:val="000000"/>
          <w:kern w:val="0"/>
          <w:sz w:val="24"/>
        </w:rPr>
        <w:t>2020</w:t>
      </w:r>
      <w:r w:rsidRPr="005E324A">
        <w:rPr>
          <w:rFonts w:eastAsiaTheme="minorEastAsia"/>
          <w:color w:val="000000"/>
          <w:kern w:val="0"/>
          <w:sz w:val="24"/>
        </w:rPr>
        <w:t>年</w:t>
      </w:r>
      <w:r w:rsidRPr="005E324A">
        <w:rPr>
          <w:rFonts w:eastAsiaTheme="minorEastAsia"/>
          <w:color w:val="000000"/>
          <w:kern w:val="0"/>
          <w:sz w:val="24"/>
        </w:rPr>
        <w:t>6</w:t>
      </w:r>
      <w:r w:rsidRPr="005E324A">
        <w:rPr>
          <w:rFonts w:eastAsiaTheme="minorEastAsia"/>
          <w:color w:val="000000"/>
          <w:kern w:val="0"/>
          <w:sz w:val="24"/>
        </w:rPr>
        <w:t>月</w:t>
      </w:r>
      <w:r w:rsidRPr="005E324A">
        <w:rPr>
          <w:rFonts w:eastAsiaTheme="minorEastAsia"/>
          <w:color w:val="000000"/>
          <w:kern w:val="0"/>
          <w:sz w:val="24"/>
        </w:rPr>
        <w:t>30</w:t>
      </w:r>
      <w:r w:rsidRPr="005E324A">
        <w:rPr>
          <w:rFonts w:eastAsiaTheme="minorEastAsia"/>
          <w:color w:val="000000"/>
          <w:kern w:val="0"/>
          <w:sz w:val="24"/>
        </w:rPr>
        <w:t>日）</w:t>
      </w:r>
    </w:p>
    <w:p w:rsidR="0042253F" w:rsidRPr="005E324A" w:rsidRDefault="00E548E9" w:rsidP="0042253F">
      <w:pPr>
        <w:tabs>
          <w:tab w:val="left" w:pos="1800"/>
        </w:tabs>
        <w:spacing w:line="360" w:lineRule="auto"/>
        <w:jc w:val="center"/>
        <w:rPr>
          <w:rFonts w:eastAsiaTheme="minorEastAsia"/>
          <w:color w:val="000000"/>
          <w:sz w:val="24"/>
        </w:rPr>
      </w:pPr>
      <w:r w:rsidRPr="005E324A">
        <w:rPr>
          <w:rFonts w:eastAsiaTheme="minorEastAsia"/>
          <w:noProof/>
          <w:color w:val="000000"/>
          <w:sz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42253F" w:rsidRPr="005E324A" w:rsidRDefault="0042253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rsidR="0042253F" w:rsidRPr="005E324A" w:rsidRDefault="0042253F" w:rsidP="0019563C">
      <w:pPr>
        <w:pStyle w:val="a5"/>
        <w:snapToGrid w:val="0"/>
        <w:spacing w:before="120" w:line="360" w:lineRule="auto"/>
        <w:jc w:val="center"/>
        <w:rPr>
          <w:rFonts w:ascii="Times New Roman" w:eastAsiaTheme="minorEastAsia" w:hAnsi="Times New Roman"/>
          <w:color w:val="000000"/>
          <w:sz w:val="24"/>
          <w:szCs w:val="24"/>
        </w:rPr>
      </w:pP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§4  </w:t>
      </w:r>
      <w:r w:rsidRPr="005E324A">
        <w:rPr>
          <w:rFonts w:eastAsiaTheme="minorEastAsia"/>
          <w:color w:val="000000"/>
          <w:kern w:val="0"/>
          <w:sz w:val="24"/>
          <w:szCs w:val="24"/>
        </w:rPr>
        <w:t>管理人报告</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4.1 </w:t>
      </w:r>
      <w:r w:rsidRPr="005E324A">
        <w:rPr>
          <w:rFonts w:eastAsiaTheme="minor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622F6" w:rsidRPr="005E324A" w:rsidTr="00026AAE">
        <w:trPr>
          <w:cantSplit/>
        </w:trPr>
        <w:tc>
          <w:tcPr>
            <w:tcW w:w="952"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姓名</w:t>
            </w:r>
          </w:p>
        </w:tc>
        <w:tc>
          <w:tcPr>
            <w:tcW w:w="930"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职务</w:t>
            </w:r>
          </w:p>
        </w:tc>
        <w:tc>
          <w:tcPr>
            <w:tcW w:w="2519" w:type="dxa"/>
            <w:gridSpan w:val="2"/>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任本基金的基金经理期限</w:t>
            </w:r>
          </w:p>
        </w:tc>
        <w:tc>
          <w:tcPr>
            <w:tcW w:w="1254"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证券从业年限</w:t>
            </w:r>
          </w:p>
        </w:tc>
        <w:tc>
          <w:tcPr>
            <w:tcW w:w="3276"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说明</w:t>
            </w:r>
          </w:p>
        </w:tc>
      </w:tr>
      <w:tr w:rsidR="007622F6" w:rsidRPr="005E324A" w:rsidTr="00026AAE">
        <w:trPr>
          <w:cantSplit/>
        </w:trPr>
        <w:tc>
          <w:tcPr>
            <w:tcW w:w="952"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930" w:type="dxa"/>
            <w:vMerge/>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1210"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任职日期</w:t>
            </w:r>
          </w:p>
        </w:tc>
        <w:tc>
          <w:tcPr>
            <w:tcW w:w="1309"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离任日期</w:t>
            </w:r>
          </w:p>
        </w:tc>
        <w:tc>
          <w:tcPr>
            <w:tcW w:w="1254"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3276"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r>
      <w:tr w:rsidR="0046285D">
        <w:tc>
          <w:tcPr>
            <w:tcW w:w="952" w:type="dxa"/>
            <w:vAlign w:val="center"/>
          </w:tcPr>
          <w:p w:rsidR="0046285D" w:rsidRDefault="00E078E0">
            <w:pPr>
              <w:jc w:val="center"/>
            </w:pPr>
            <w:r>
              <w:rPr>
                <w:rFonts w:eastAsiaTheme="minorEastAsia"/>
                <w:color w:val="000000"/>
                <w:sz w:val="24"/>
              </w:rPr>
              <w:t>蔡铮</w:t>
            </w:r>
          </w:p>
        </w:tc>
        <w:tc>
          <w:tcPr>
            <w:tcW w:w="930" w:type="dxa"/>
            <w:vAlign w:val="center"/>
          </w:tcPr>
          <w:p w:rsidR="0046285D" w:rsidRDefault="00E078E0">
            <w:pPr>
              <w:jc w:val="center"/>
            </w:pPr>
            <w:r>
              <w:rPr>
                <w:rFonts w:eastAsiaTheme="minorEastAsia"/>
                <w:color w:val="000000"/>
                <w:sz w:val="24"/>
              </w:rPr>
              <w:t>交银上证</w:t>
            </w:r>
            <w:r>
              <w:rPr>
                <w:rFonts w:eastAsiaTheme="minorEastAsia"/>
                <w:color w:val="000000"/>
                <w:sz w:val="24"/>
              </w:rPr>
              <w:t>180</w:t>
            </w:r>
            <w:r>
              <w:rPr>
                <w:rFonts w:eastAsiaTheme="minorEastAsia"/>
                <w:color w:val="000000"/>
                <w:sz w:val="24"/>
              </w:rPr>
              <w:t>公司治理</w:t>
            </w:r>
            <w:r>
              <w:rPr>
                <w:rFonts w:eastAsiaTheme="minorEastAsia"/>
                <w:color w:val="000000"/>
                <w:sz w:val="24"/>
              </w:rPr>
              <w:t>ETF</w:t>
            </w:r>
            <w:r>
              <w:rPr>
                <w:rFonts w:eastAsiaTheme="minorEastAsia"/>
                <w:color w:val="000000"/>
                <w:sz w:val="24"/>
              </w:rPr>
              <w:t>及其联接、交银深证</w:t>
            </w:r>
            <w:r>
              <w:rPr>
                <w:rFonts w:eastAsiaTheme="minorEastAsia"/>
                <w:color w:val="000000"/>
                <w:sz w:val="24"/>
              </w:rPr>
              <w:t>300</w:t>
            </w:r>
            <w:r>
              <w:rPr>
                <w:rFonts w:eastAsiaTheme="minorEastAsia"/>
                <w:color w:val="000000"/>
                <w:sz w:val="24"/>
              </w:rPr>
              <w:t>价值</w:t>
            </w:r>
            <w:r>
              <w:rPr>
                <w:rFonts w:eastAsiaTheme="minorEastAsia"/>
                <w:color w:val="000000"/>
                <w:sz w:val="24"/>
              </w:rPr>
              <w:t>ETF</w:t>
            </w:r>
            <w:r>
              <w:rPr>
                <w:rFonts w:eastAsiaTheme="minorEastAsia"/>
                <w:color w:val="000000"/>
                <w:sz w:val="24"/>
              </w:rPr>
              <w:t>及其联接、交银国证新能源指数分级、交银中证海外中国互联网指数（</w:t>
            </w:r>
            <w:r>
              <w:rPr>
                <w:rFonts w:eastAsiaTheme="minorEastAsia"/>
                <w:color w:val="000000"/>
                <w:sz w:val="24"/>
              </w:rPr>
              <w:t>QDII-LOF)</w:t>
            </w:r>
            <w:r>
              <w:rPr>
                <w:rFonts w:eastAsiaTheme="minorEastAsia"/>
                <w:color w:val="000000"/>
                <w:sz w:val="24"/>
              </w:rPr>
              <w:t>、交银中证互联网金融指数分级、交银中证环境治理指数（</w:t>
            </w:r>
            <w:r>
              <w:rPr>
                <w:rFonts w:eastAsiaTheme="minorEastAsia"/>
                <w:color w:val="000000"/>
                <w:sz w:val="24"/>
              </w:rPr>
              <w:t>LOF</w:t>
            </w:r>
            <w:r>
              <w:rPr>
                <w:rFonts w:eastAsiaTheme="minorEastAsia"/>
                <w:color w:val="000000"/>
                <w:sz w:val="24"/>
              </w:rPr>
              <w:t>）、交银创业板</w:t>
            </w:r>
            <w:r>
              <w:rPr>
                <w:rFonts w:eastAsiaTheme="minorEastAsia"/>
                <w:color w:val="000000"/>
                <w:sz w:val="24"/>
              </w:rPr>
              <w:t>50</w:t>
            </w:r>
            <w:r>
              <w:rPr>
                <w:rFonts w:eastAsiaTheme="minorEastAsia"/>
                <w:color w:val="000000"/>
                <w:sz w:val="24"/>
              </w:rPr>
              <w:t>指数的基金经理，公司量化投资副总监兼多元资产管理副总监</w:t>
            </w:r>
          </w:p>
        </w:tc>
        <w:tc>
          <w:tcPr>
            <w:tcW w:w="1210" w:type="dxa"/>
            <w:vAlign w:val="center"/>
          </w:tcPr>
          <w:p w:rsidR="0046285D" w:rsidRDefault="00E078E0">
            <w:pPr>
              <w:jc w:val="center"/>
            </w:pPr>
            <w:r>
              <w:rPr>
                <w:rFonts w:eastAsiaTheme="minorEastAsia"/>
                <w:color w:val="000000"/>
                <w:sz w:val="24"/>
              </w:rPr>
              <w:t>2015-06-26</w:t>
            </w:r>
          </w:p>
        </w:tc>
        <w:tc>
          <w:tcPr>
            <w:tcW w:w="1309" w:type="dxa"/>
            <w:vAlign w:val="center"/>
          </w:tcPr>
          <w:p w:rsidR="0046285D" w:rsidRDefault="00E078E0">
            <w:pPr>
              <w:jc w:val="center"/>
            </w:pPr>
            <w:r>
              <w:rPr>
                <w:rFonts w:eastAsiaTheme="minorEastAsia"/>
                <w:color w:val="000000"/>
                <w:sz w:val="24"/>
              </w:rPr>
              <w:t>-</w:t>
            </w:r>
          </w:p>
        </w:tc>
        <w:tc>
          <w:tcPr>
            <w:tcW w:w="1254" w:type="dxa"/>
            <w:vAlign w:val="center"/>
          </w:tcPr>
          <w:p w:rsidR="0046285D" w:rsidRDefault="00E078E0">
            <w:pPr>
              <w:jc w:val="center"/>
            </w:pPr>
            <w:r>
              <w:rPr>
                <w:rFonts w:eastAsiaTheme="minorEastAsia"/>
                <w:color w:val="000000"/>
                <w:sz w:val="24"/>
              </w:rPr>
              <w:t>11</w:t>
            </w:r>
            <w:r>
              <w:rPr>
                <w:rFonts w:eastAsiaTheme="minorEastAsia"/>
                <w:color w:val="000000"/>
                <w:sz w:val="24"/>
              </w:rPr>
              <w:t>年</w:t>
            </w:r>
          </w:p>
        </w:tc>
        <w:tc>
          <w:tcPr>
            <w:tcW w:w="3276" w:type="dxa"/>
            <w:vAlign w:val="center"/>
          </w:tcPr>
          <w:p w:rsidR="0046285D" w:rsidRDefault="00E078E0" w:rsidP="00B41949">
            <w:r>
              <w:rPr>
                <w:rFonts w:eastAsiaTheme="minorEastAsia"/>
                <w:color w:val="000000"/>
                <w:sz w:val="24"/>
              </w:rPr>
              <w:t>蔡铮先生，中国国籍，复旦大学电子工程硕士。历任瑞士银行香港分行分析员。</w:t>
            </w:r>
            <w:r>
              <w:rPr>
                <w:rFonts w:eastAsiaTheme="minorEastAsia"/>
                <w:color w:val="000000"/>
                <w:sz w:val="24"/>
              </w:rPr>
              <w:t>2009</w:t>
            </w:r>
            <w:r>
              <w:rPr>
                <w:rFonts w:eastAsiaTheme="minorEastAsia"/>
                <w:color w:val="000000"/>
                <w:sz w:val="24"/>
              </w:rPr>
              <w:t>年加入交银施罗德基金管理有限公司，历任投资研究部数量分析师、基金经理助理、量化投资部助理总经理、量化投资部副总经理。</w:t>
            </w:r>
            <w:r>
              <w:rPr>
                <w:rFonts w:eastAsiaTheme="minorEastAsia"/>
                <w:color w:val="000000"/>
                <w:sz w:val="24"/>
              </w:rPr>
              <w:t>2012</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27</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30</w:t>
            </w:r>
            <w:r>
              <w:rPr>
                <w:rFonts w:eastAsiaTheme="minorEastAsia"/>
                <w:color w:val="000000"/>
                <w:sz w:val="24"/>
              </w:rPr>
              <w:t>日担任交银施罗德沪深</w:t>
            </w:r>
            <w:r>
              <w:rPr>
                <w:rFonts w:eastAsiaTheme="minorEastAsia"/>
                <w:color w:val="000000"/>
                <w:sz w:val="24"/>
              </w:rPr>
              <w:t>300</w:t>
            </w:r>
            <w:r>
              <w:rPr>
                <w:rFonts w:eastAsiaTheme="minorEastAsia"/>
                <w:color w:val="000000"/>
                <w:sz w:val="24"/>
              </w:rPr>
              <w:t>行业分层等权重指数证券投资基金基金经理，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日担任交银施罗德环球精选价值证券投资基金基金经理，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日担任交银施罗德全球自然资源证券投资基金基金经理，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13</w:t>
            </w:r>
            <w:r>
              <w:rPr>
                <w:rFonts w:eastAsiaTheme="minorEastAsia"/>
                <w:color w:val="000000"/>
                <w:sz w:val="24"/>
              </w:rPr>
              <w:t>日至</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18</w:t>
            </w:r>
            <w:r>
              <w:rPr>
                <w:rFonts w:eastAsiaTheme="minorEastAsia"/>
                <w:color w:val="000000"/>
                <w:sz w:val="24"/>
              </w:rPr>
              <w:t>日担任交银施罗德中证环境治理指数分级证券投资基金基金经理。</w:t>
            </w:r>
            <w:r>
              <w:rPr>
                <w:rFonts w:eastAsiaTheme="minorEastAsia"/>
                <w:color w:val="000000"/>
                <w:sz w:val="24"/>
              </w:rPr>
              <w:t>2018</w:t>
            </w:r>
            <w:r>
              <w:rPr>
                <w:rFonts w:eastAsiaTheme="minorEastAsia"/>
                <w:color w:val="000000"/>
                <w:sz w:val="24"/>
              </w:rPr>
              <w:t>年</w:t>
            </w:r>
            <w:r>
              <w:rPr>
                <w:rFonts w:eastAsiaTheme="minorEastAsia"/>
                <w:color w:val="000000"/>
                <w:sz w:val="24"/>
              </w:rPr>
              <w:t>5</w:t>
            </w:r>
            <w:r>
              <w:rPr>
                <w:rFonts w:eastAsiaTheme="minorEastAsia"/>
                <w:color w:val="000000"/>
                <w:sz w:val="24"/>
              </w:rPr>
              <w:t>月</w:t>
            </w:r>
            <w:r>
              <w:rPr>
                <w:rFonts w:eastAsiaTheme="minorEastAsia"/>
                <w:color w:val="000000"/>
                <w:sz w:val="24"/>
              </w:rPr>
              <w:t>18</w:t>
            </w:r>
            <w:r>
              <w:rPr>
                <w:rFonts w:eastAsiaTheme="minorEastAsia"/>
                <w:color w:val="000000"/>
                <w:sz w:val="24"/>
              </w:rPr>
              <w:t>日至</w:t>
            </w:r>
            <w:r>
              <w:rPr>
                <w:rFonts w:eastAsiaTheme="minorEastAsia"/>
                <w:color w:val="000000"/>
                <w:sz w:val="24"/>
              </w:rPr>
              <w:t>2020</w:t>
            </w:r>
            <w:r>
              <w:rPr>
                <w:rFonts w:eastAsiaTheme="minorEastAsia"/>
                <w:color w:val="000000"/>
                <w:sz w:val="24"/>
              </w:rPr>
              <w:t>年</w:t>
            </w:r>
            <w:r w:rsidR="00B41949">
              <w:rPr>
                <w:rFonts w:eastAsiaTheme="minorEastAsia"/>
                <w:color w:val="000000"/>
                <w:sz w:val="24"/>
              </w:rPr>
              <w:t>7</w:t>
            </w:r>
            <w:r>
              <w:rPr>
                <w:rFonts w:eastAsiaTheme="minorEastAsia"/>
                <w:color w:val="000000"/>
                <w:sz w:val="24"/>
              </w:rPr>
              <w:t>月</w:t>
            </w:r>
            <w:r>
              <w:rPr>
                <w:rFonts w:eastAsiaTheme="minorEastAsia"/>
                <w:color w:val="000000"/>
                <w:sz w:val="24"/>
              </w:rPr>
              <w:t>1</w:t>
            </w:r>
            <w:r w:rsidR="00B41949">
              <w:rPr>
                <w:rFonts w:eastAsiaTheme="minorEastAsia"/>
                <w:color w:val="000000"/>
                <w:sz w:val="24"/>
              </w:rPr>
              <w:t>7</w:t>
            </w:r>
            <w:bookmarkStart w:id="0" w:name="_GoBack"/>
            <w:bookmarkEnd w:id="0"/>
            <w:r>
              <w:rPr>
                <w:rFonts w:eastAsiaTheme="minorEastAsia"/>
                <w:color w:val="000000"/>
                <w:sz w:val="24"/>
              </w:rPr>
              <w:t>日担任交银施罗德致远量化智投策略定期开放混合型证券投资基金的基金经理。</w:t>
            </w:r>
          </w:p>
        </w:tc>
      </w:tr>
    </w:tbl>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注：基金经理（或基金经理小组）期后变动（如有）敬请关注基金管理人发布的相关公告。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4.2</w:t>
      </w:r>
      <w:r w:rsidR="00BA4BD3" w:rsidRPr="005E324A">
        <w:rPr>
          <w:rFonts w:eastAsiaTheme="minorEastAsia"/>
          <w:b/>
          <w:bCs/>
          <w:color w:val="000000"/>
          <w:sz w:val="24"/>
        </w:rPr>
        <w:t>管理人对报告期内本基金运作遵规守信情况的说明</w:t>
      </w:r>
    </w:p>
    <w:p w:rsidR="00220542"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0542" w:rsidRPr="005E324A" w:rsidRDefault="00220542" w:rsidP="003A4DA3">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4.3 </w:t>
      </w:r>
      <w:r w:rsidRPr="005E324A">
        <w:rPr>
          <w:rFonts w:eastAsiaTheme="minorEastAsia"/>
          <w:b/>
          <w:color w:val="000000"/>
          <w:kern w:val="0"/>
          <w:sz w:val="24"/>
        </w:rPr>
        <w:t>公平交易专项说明</w:t>
      </w:r>
    </w:p>
    <w:p w:rsidR="00EB0BF5" w:rsidRPr="005E324A" w:rsidRDefault="00EB0BF5" w:rsidP="003A4DA3">
      <w:pPr>
        <w:spacing w:line="360" w:lineRule="auto"/>
        <w:rPr>
          <w:rFonts w:eastAsia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sz w:val="24"/>
          </w:rPr>
          <w:t>4.3.1</w:t>
        </w:r>
      </w:smartTag>
      <w:r w:rsidRPr="005E324A">
        <w:rPr>
          <w:rFonts w:eastAsiaTheme="minorEastAsia"/>
          <w:sz w:val="24"/>
        </w:rPr>
        <w:t>公平交易制度的执行情况</w:t>
      </w:r>
    </w:p>
    <w:p w:rsidR="0046285D" w:rsidRDefault="00E078E0">
      <w:pPr>
        <w:spacing w:line="360" w:lineRule="auto"/>
        <w:ind w:firstLineChars="200" w:firstLine="480"/>
        <w:rPr>
          <w:rFonts w:eastAsiaTheme="minorEastAsia"/>
          <w:color w:val="000000"/>
          <w:kern w:val="0"/>
          <w:sz w:val="24"/>
        </w:rPr>
      </w:pPr>
      <w:r>
        <w:rPr>
          <w:rFonts w:eastAsiaTheme="minorEastAsia"/>
          <w:color w:val="000000"/>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6285D" w:rsidRDefault="00E078E0">
      <w:pPr>
        <w:spacing w:line="360" w:lineRule="auto"/>
        <w:ind w:firstLineChars="200" w:firstLine="480"/>
        <w:rPr>
          <w:rFonts w:eastAsiaTheme="minorEastAsia"/>
          <w:color w:val="000000"/>
          <w:kern w:val="0"/>
          <w:sz w:val="24"/>
        </w:rPr>
      </w:pPr>
      <w:r>
        <w:rPr>
          <w:rFonts w:eastAsiaTheme="minorEastAsia"/>
          <w:color w:val="000000"/>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kern w:val="0"/>
          <w:sz w:val="24"/>
        </w:rPr>
        <w:t>“</w:t>
      </w:r>
      <w:r>
        <w:rPr>
          <w:rFonts w:eastAsiaTheme="minorEastAsia"/>
          <w:color w:val="000000"/>
          <w:kern w:val="0"/>
          <w:sz w:val="24"/>
        </w:rPr>
        <w:t>时间优先、价格优先、比例分配</w:t>
      </w:r>
      <w:r>
        <w:rPr>
          <w:rFonts w:eastAsiaTheme="minorEastAsia"/>
          <w:color w:val="000000"/>
          <w:kern w:val="0"/>
          <w:sz w:val="24"/>
        </w:rPr>
        <w:t>”</w:t>
      </w:r>
      <w:r>
        <w:rPr>
          <w:rFonts w:eastAsiaTheme="minorEastAsia"/>
          <w:color w:val="000000"/>
          <w:kern w:val="0"/>
          <w:sz w:val="24"/>
        </w:rPr>
        <w:t>的原则，全部通过交易系统进行比例分配；对于非集中竞价交易、以公司名义进行的场外交易，遵循</w:t>
      </w:r>
      <w:r>
        <w:rPr>
          <w:rFonts w:eastAsiaTheme="minorEastAsia"/>
          <w:color w:val="000000"/>
          <w:kern w:val="0"/>
          <w:sz w:val="24"/>
        </w:rPr>
        <w:t>“</w:t>
      </w:r>
      <w:r>
        <w:rPr>
          <w:rFonts w:eastAsiaTheme="minorEastAsia"/>
          <w:color w:val="000000"/>
          <w:kern w:val="0"/>
          <w:sz w:val="24"/>
        </w:rPr>
        <w:t>价格优先、比例分配</w:t>
      </w:r>
      <w:r>
        <w:rPr>
          <w:rFonts w:eastAsiaTheme="minorEastAsia"/>
          <w:color w:val="000000"/>
          <w:kern w:val="0"/>
          <w:sz w:val="24"/>
        </w:rPr>
        <w:t>”</w:t>
      </w:r>
      <w:r>
        <w:rPr>
          <w:rFonts w:eastAsiaTheme="minorEastAsia"/>
          <w:color w:val="000000"/>
          <w:kern w:val="0"/>
          <w:sz w:val="24"/>
        </w:rPr>
        <w:t>的原则按事前独立确定的投资方案对交易结果进行分配。</w:t>
      </w:r>
    </w:p>
    <w:p w:rsidR="0046285D" w:rsidRDefault="00E078E0">
      <w:pPr>
        <w:spacing w:line="360" w:lineRule="auto"/>
        <w:ind w:firstLineChars="200" w:firstLine="480"/>
        <w:rPr>
          <w:rFonts w:eastAsiaTheme="minorEastAsia"/>
          <w:color w:val="000000"/>
          <w:kern w:val="0"/>
          <w:sz w:val="24"/>
        </w:rPr>
      </w:pPr>
      <w:r>
        <w:rPr>
          <w:rFonts w:eastAsiaTheme="minorEastAsia"/>
          <w:color w:val="000000"/>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报告期内本公司严格执行公平交易制度，公平对待旗下各投资组合，未发现任何违反公平交易的行为。</w:t>
      </w:r>
    </w:p>
    <w:p w:rsidR="00EB0BF5" w:rsidRPr="005E324A" w:rsidRDefault="00EB0BF5" w:rsidP="003A4DA3">
      <w:pPr>
        <w:spacing w:line="360" w:lineRule="auto"/>
        <w:rPr>
          <w:rFonts w:eastAsiaTheme="minorEastAsia"/>
          <w:sz w:val="24"/>
        </w:rPr>
      </w:pPr>
      <w:r w:rsidRPr="005E324A">
        <w:rPr>
          <w:rFonts w:eastAsiaTheme="minorEastAsia"/>
          <w:sz w:val="24"/>
        </w:rPr>
        <w:t>4.3.</w:t>
      </w:r>
      <w:r w:rsidR="004542DD" w:rsidRPr="005E324A">
        <w:rPr>
          <w:rFonts w:eastAsiaTheme="minorEastAsia"/>
          <w:sz w:val="24"/>
        </w:rPr>
        <w:t>2</w:t>
      </w:r>
      <w:r w:rsidRPr="005E324A">
        <w:rPr>
          <w:rFonts w:eastAsiaTheme="minorEastAsia"/>
          <w:sz w:val="24"/>
        </w:rPr>
        <w:t>异常交易行为的专项说明</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本基金于本报告期内不存在异常交易行为。本报告期内，本公司管理的所有投资组合参与的交易所公开竞价同日反向交易成交较少的单边交易量没有超过该证券当日总成交量</w:t>
      </w:r>
      <w:r w:rsidRPr="005E324A">
        <w:rPr>
          <w:rFonts w:eastAsiaTheme="minorEastAsia"/>
          <w:color w:val="000000"/>
          <w:kern w:val="0"/>
          <w:sz w:val="24"/>
        </w:rPr>
        <w:t>5%</w:t>
      </w:r>
      <w:r w:rsidRPr="005E324A">
        <w:rPr>
          <w:rFonts w:eastAsiaTheme="minorEastAsia"/>
          <w:color w:val="000000"/>
          <w:kern w:val="0"/>
          <w:sz w:val="24"/>
        </w:rPr>
        <w:t>的情形，本基金与本公司管理的其他投资组合在不同时间窗下（如日内、</w:t>
      </w:r>
      <w:r w:rsidRPr="005E324A">
        <w:rPr>
          <w:rFonts w:eastAsiaTheme="minorEastAsia"/>
          <w:color w:val="000000"/>
          <w:kern w:val="0"/>
          <w:sz w:val="24"/>
        </w:rPr>
        <w:t>3</w:t>
      </w:r>
      <w:r w:rsidRPr="005E324A">
        <w:rPr>
          <w:rFonts w:eastAsiaTheme="minorEastAsia"/>
          <w:color w:val="000000"/>
          <w:kern w:val="0"/>
          <w:sz w:val="24"/>
        </w:rPr>
        <w:t>日内、</w:t>
      </w:r>
      <w:r w:rsidRPr="005E324A">
        <w:rPr>
          <w:rFonts w:eastAsiaTheme="minorEastAsia"/>
          <w:color w:val="000000"/>
          <w:kern w:val="0"/>
          <w:sz w:val="24"/>
        </w:rPr>
        <w:t>5</w:t>
      </w:r>
      <w:r w:rsidRPr="005E324A">
        <w:rPr>
          <w:rFonts w:eastAsiaTheme="minorEastAsia"/>
          <w:color w:val="000000"/>
          <w:kern w:val="0"/>
          <w:sz w:val="24"/>
        </w:rPr>
        <w:t>日内）同向交易的交易价差未出现异常。</w:t>
      </w:r>
    </w:p>
    <w:p w:rsidR="00220542" w:rsidRPr="005E324A" w:rsidRDefault="00220542" w:rsidP="003A4DA3">
      <w:pPr>
        <w:spacing w:line="360" w:lineRule="auto"/>
        <w:ind w:firstLineChars="200" w:firstLine="480"/>
        <w:rPr>
          <w:rFonts w:eastAsiaTheme="minorEastAsia"/>
          <w:color w:val="000000"/>
          <w:sz w:val="24"/>
        </w:rPr>
      </w:pPr>
    </w:p>
    <w:p w:rsidR="00D33924" w:rsidRPr="005E324A" w:rsidRDefault="00D33924"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4.4 </w:t>
      </w:r>
      <w:r w:rsidRPr="005E324A">
        <w:rPr>
          <w:rFonts w:eastAsiaTheme="minorEastAsia"/>
          <w:b/>
          <w:color w:val="000000"/>
          <w:kern w:val="0"/>
          <w:sz w:val="24"/>
        </w:rPr>
        <w:t>报告期内基金的投资策略和</w:t>
      </w:r>
      <w:r w:rsidR="00EF03C6" w:rsidRPr="005E324A">
        <w:rPr>
          <w:rFonts w:eastAsiaTheme="minorEastAsia"/>
          <w:b/>
          <w:color w:val="000000"/>
          <w:kern w:val="0"/>
          <w:sz w:val="24"/>
        </w:rPr>
        <w:t>运作分析</w:t>
      </w:r>
    </w:p>
    <w:p w:rsidR="0046285D" w:rsidRDefault="00E078E0">
      <w:pPr>
        <w:spacing w:line="360" w:lineRule="auto"/>
        <w:ind w:firstLineChars="200" w:firstLine="480"/>
        <w:rPr>
          <w:rFonts w:eastAsiaTheme="minorEastAsia"/>
          <w:color w:val="000000"/>
          <w:kern w:val="0"/>
          <w:sz w:val="24"/>
        </w:rPr>
      </w:pPr>
      <w:r>
        <w:rPr>
          <w:rFonts w:eastAsiaTheme="minorEastAsia"/>
          <w:color w:val="000000"/>
          <w:kern w:val="0"/>
          <w:sz w:val="24"/>
        </w:rPr>
        <w:t>2020</w:t>
      </w:r>
      <w:r>
        <w:rPr>
          <w:rFonts w:eastAsiaTheme="minorEastAsia"/>
          <w:color w:val="000000"/>
          <w:kern w:val="0"/>
          <w:sz w:val="24"/>
        </w:rPr>
        <w:t>年二季度，国内新冠疫情得到有效控制，各行各业已在五月份逐步复工复产，经济指标持续好转。二季度我国经济处于恢复阶段，货币环境仍然较为宽松，整体经济恢复速度较为温和。受益于宏观刺激政策发力，工业生产增速与结构继续改善，但需求不足对工业生产形成一定制约，同时制造业投资增长疲弱，基建地产投资相对强势，消费动力仍显不足。在此经济背景下，二季度</w:t>
      </w:r>
      <w:r>
        <w:rPr>
          <w:rFonts w:eastAsiaTheme="minorEastAsia"/>
          <w:color w:val="000000"/>
          <w:kern w:val="0"/>
          <w:sz w:val="24"/>
        </w:rPr>
        <w:t>A</w:t>
      </w:r>
      <w:r>
        <w:rPr>
          <w:rFonts w:eastAsiaTheme="minorEastAsia"/>
          <w:color w:val="000000"/>
          <w:kern w:val="0"/>
          <w:sz w:val="24"/>
        </w:rPr>
        <w:t>股市场风险偏好稳步回升，市场点位震荡上行。作为跟踪基准指数的指数基金，二季度基金总体呈现震荡上行的走势。</w:t>
      </w:r>
    </w:p>
    <w:p w:rsidR="00D33924"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展望</w:t>
      </w:r>
      <w:r w:rsidRPr="005E324A">
        <w:rPr>
          <w:rFonts w:eastAsiaTheme="minorEastAsia"/>
          <w:color w:val="000000"/>
          <w:kern w:val="0"/>
          <w:sz w:val="24"/>
        </w:rPr>
        <w:t>2020</w:t>
      </w:r>
      <w:r w:rsidRPr="005E324A">
        <w:rPr>
          <w:rFonts w:eastAsiaTheme="minorEastAsia"/>
          <w:color w:val="000000"/>
          <w:kern w:val="0"/>
          <w:sz w:val="24"/>
        </w:rPr>
        <w:t>年三季度，随着国内疫情防控向好形势持续巩固，企业复工复产深入推进，国内经济继续保持修复性增长。未来我国财政和货币政策仍将大概率保持积极，货币政策边际放松的力度减弱，财政政策或将成为经济刺激的主要着力点。国内资本市场各项金融改革政策有序推进，创业板注册制细则落地，科创板</w:t>
      </w:r>
      <w:r w:rsidRPr="005E324A">
        <w:rPr>
          <w:rFonts w:eastAsiaTheme="minorEastAsia"/>
          <w:color w:val="000000"/>
          <w:kern w:val="0"/>
          <w:sz w:val="24"/>
        </w:rPr>
        <w:t>50</w:t>
      </w:r>
      <w:r w:rsidRPr="005E324A">
        <w:rPr>
          <w:rFonts w:eastAsiaTheme="minorEastAsia"/>
          <w:color w:val="000000"/>
          <w:kern w:val="0"/>
          <w:sz w:val="24"/>
        </w:rPr>
        <w:t>指数即将发布，同时上证综指编制规则迎来较大调整。这一系列措施有望提振市场信心与情绪，吸引增量资金入场。总体而言，从中长期来看我们对</w:t>
      </w:r>
      <w:r w:rsidRPr="005E324A">
        <w:rPr>
          <w:rFonts w:eastAsiaTheme="minorEastAsia"/>
          <w:color w:val="000000"/>
          <w:kern w:val="0"/>
          <w:sz w:val="24"/>
        </w:rPr>
        <w:t>A</w:t>
      </w:r>
      <w:r w:rsidRPr="005E324A">
        <w:rPr>
          <w:rFonts w:eastAsiaTheme="minorEastAsia"/>
          <w:color w:val="000000"/>
          <w:kern w:val="0"/>
          <w:sz w:val="24"/>
        </w:rPr>
        <w:t>股市场仍维持谨慎乐观的看法。</w:t>
      </w:r>
    </w:p>
    <w:p w:rsidR="00414CF1" w:rsidRPr="005E324A" w:rsidRDefault="00414CF1" w:rsidP="003A4DA3">
      <w:pPr>
        <w:spacing w:line="360" w:lineRule="auto"/>
        <w:ind w:firstLineChars="200" w:firstLine="480"/>
        <w:rPr>
          <w:rFonts w:eastAsiaTheme="minorEastAsia"/>
          <w:color w:val="000000"/>
          <w:kern w:val="0"/>
          <w:sz w:val="24"/>
        </w:rPr>
      </w:pPr>
    </w:p>
    <w:p w:rsidR="00D33924" w:rsidRPr="005E324A" w:rsidRDefault="00EF03C6" w:rsidP="003A4DA3">
      <w:pPr>
        <w:spacing w:line="360" w:lineRule="auto"/>
        <w:rPr>
          <w:rFonts w:eastAsiaTheme="minorEastAsia"/>
          <w:b/>
          <w:sz w:val="24"/>
        </w:rPr>
      </w:pPr>
      <w:r w:rsidRPr="005E324A">
        <w:rPr>
          <w:rFonts w:eastAsiaTheme="minorEastAsia"/>
          <w:b/>
          <w:sz w:val="24"/>
        </w:rPr>
        <w:t>4.5</w:t>
      </w:r>
      <w:r w:rsidR="00D33924" w:rsidRPr="005E324A">
        <w:rPr>
          <w:rFonts w:eastAsiaTheme="minorEastAsia"/>
          <w:b/>
          <w:sz w:val="24"/>
        </w:rPr>
        <w:t>报告期内基金的业绩表现</w:t>
      </w:r>
    </w:p>
    <w:p w:rsidR="00D33924"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本基金（各类）份额净值及业绩表现请见</w:t>
      </w:r>
      <w:r w:rsidRPr="005E324A">
        <w:rPr>
          <w:rFonts w:eastAsiaTheme="minorEastAsia"/>
          <w:color w:val="000000"/>
          <w:kern w:val="0"/>
          <w:sz w:val="24"/>
        </w:rPr>
        <w:t>“3.1</w:t>
      </w:r>
      <w:r w:rsidRPr="005E324A">
        <w:rPr>
          <w:rFonts w:eastAsiaTheme="minorEastAsia"/>
          <w:color w:val="000000"/>
          <w:kern w:val="0"/>
          <w:sz w:val="24"/>
        </w:rPr>
        <w:t>主要财务指标</w:t>
      </w:r>
      <w:r w:rsidRPr="005E324A">
        <w:rPr>
          <w:rFonts w:eastAsiaTheme="minorEastAsia"/>
          <w:color w:val="000000"/>
          <w:kern w:val="0"/>
          <w:sz w:val="24"/>
        </w:rPr>
        <w:t xml:space="preserve">” </w:t>
      </w:r>
      <w:r w:rsidRPr="005E324A">
        <w:rPr>
          <w:rFonts w:eastAsiaTheme="minorEastAsia"/>
          <w:color w:val="000000"/>
          <w:kern w:val="0"/>
          <w:sz w:val="24"/>
        </w:rPr>
        <w:t>及</w:t>
      </w:r>
      <w:r w:rsidRPr="005E324A">
        <w:rPr>
          <w:rFonts w:eastAsiaTheme="minorEastAsia"/>
          <w:color w:val="000000"/>
          <w:kern w:val="0"/>
          <w:sz w:val="24"/>
        </w:rPr>
        <w:t xml:space="preserve">“3.2.1 </w:t>
      </w:r>
      <w:r w:rsidRPr="005E324A">
        <w:rPr>
          <w:rFonts w:eastAsiaTheme="minorEastAsia"/>
          <w:color w:val="000000"/>
          <w:kern w:val="0"/>
          <w:sz w:val="24"/>
        </w:rPr>
        <w:t>本报告期基金份额净值增长率及其与同期业绩比较基准收益率的比较</w:t>
      </w:r>
      <w:r w:rsidRPr="005E324A">
        <w:rPr>
          <w:rFonts w:eastAsiaTheme="minorEastAsia"/>
          <w:color w:val="000000"/>
          <w:kern w:val="0"/>
          <w:sz w:val="24"/>
        </w:rPr>
        <w:t>”</w:t>
      </w:r>
      <w:r w:rsidRPr="005E324A">
        <w:rPr>
          <w:rFonts w:eastAsiaTheme="minorEastAsia"/>
          <w:color w:val="000000"/>
          <w:kern w:val="0"/>
          <w:sz w:val="24"/>
        </w:rPr>
        <w:t>部分披露。</w:t>
      </w:r>
    </w:p>
    <w:p w:rsidR="008E0E7C" w:rsidRPr="005E324A" w:rsidRDefault="008E0E7C" w:rsidP="003A4DA3">
      <w:pPr>
        <w:spacing w:line="360" w:lineRule="auto"/>
        <w:ind w:firstLineChars="200" w:firstLine="480"/>
        <w:rPr>
          <w:rFonts w:eastAsiaTheme="minorEastAsia"/>
          <w:color w:val="000000"/>
          <w:kern w:val="0"/>
          <w:sz w:val="24"/>
        </w:rPr>
      </w:pPr>
    </w:p>
    <w:p w:rsidR="0063382C" w:rsidRPr="005E324A" w:rsidRDefault="00F821AB" w:rsidP="0063382C">
      <w:pPr>
        <w:spacing w:line="360" w:lineRule="auto"/>
        <w:rPr>
          <w:rFonts w:eastAsiaTheme="minorEastAsia"/>
          <w:color w:val="000000"/>
          <w:sz w:val="24"/>
        </w:rPr>
      </w:pPr>
      <w:r w:rsidRPr="005E324A">
        <w:rPr>
          <w:rFonts w:eastAsiaTheme="minorEastAsia"/>
          <w:b/>
          <w:kern w:val="0"/>
          <w:sz w:val="24"/>
        </w:rPr>
        <w:t>4.6</w:t>
      </w:r>
      <w:r w:rsidR="0063382C" w:rsidRPr="005E324A">
        <w:rPr>
          <w:rFonts w:eastAsiaTheme="minorEastAsia"/>
          <w:b/>
          <w:kern w:val="0"/>
          <w:sz w:val="24"/>
        </w:rPr>
        <w:t>报告期内基金持有人数或基金资产净值预警说明</w:t>
      </w:r>
    </w:p>
    <w:p w:rsidR="0063382C" w:rsidRPr="005E324A" w:rsidRDefault="0063382C" w:rsidP="0063382C">
      <w:pPr>
        <w:spacing w:line="360" w:lineRule="auto"/>
        <w:ind w:firstLineChars="200" w:firstLine="480"/>
        <w:rPr>
          <w:rFonts w:eastAsiaTheme="minorEastAsia"/>
          <w:color w:val="000000"/>
          <w:kern w:val="0"/>
          <w:sz w:val="24"/>
        </w:rPr>
      </w:pPr>
      <w:r w:rsidRPr="005E324A">
        <w:rPr>
          <w:rFonts w:eastAsiaTheme="minorEastAsia"/>
          <w:color w:val="000000" w:themeColor="text1"/>
          <w:kern w:val="0"/>
          <w:sz w:val="24"/>
        </w:rPr>
        <w:t>本基金本报告期内无需预警说明。</w:t>
      </w: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§5  </w:t>
      </w:r>
      <w:r w:rsidRPr="005E324A">
        <w:rPr>
          <w:rFonts w:eastAsiaTheme="minorEastAsia"/>
          <w:color w:val="000000"/>
          <w:kern w:val="0"/>
          <w:sz w:val="24"/>
          <w:szCs w:val="24"/>
        </w:rPr>
        <w:t>投资组合报告</w:t>
      </w:r>
    </w:p>
    <w:p w:rsidR="00562C0D" w:rsidRDefault="00562C0D" w:rsidP="00562C0D">
      <w:pPr>
        <w:autoSpaceDE w:val="0"/>
        <w:autoSpaceDN w:val="0"/>
        <w:adjustRightInd w:val="0"/>
        <w:spacing w:line="360" w:lineRule="auto"/>
        <w:jc w:val="left"/>
        <w:rPr>
          <w:rFonts w:eastAsiaTheme="minorEastAsia"/>
          <w:b/>
          <w:color w:val="000000" w:themeColor="text1"/>
          <w:kern w:val="0"/>
          <w:sz w:val="24"/>
        </w:rPr>
      </w:pPr>
      <w:r w:rsidRPr="00A21501">
        <w:rPr>
          <w:rFonts w:eastAsiaTheme="minorEastAsia"/>
          <w:b/>
          <w:color w:val="000000" w:themeColor="text1"/>
          <w:kern w:val="0"/>
          <w:sz w:val="24"/>
        </w:rPr>
        <w:t xml:space="preserve">5.1 </w:t>
      </w:r>
      <w:r w:rsidRPr="00A21501">
        <w:rPr>
          <w:rFonts w:eastAsiaTheme="minorEastAsia"/>
          <w:b/>
          <w:color w:val="000000" w:themeColor="text1"/>
          <w:kern w:val="0"/>
          <w:sz w:val="24"/>
        </w:rPr>
        <w:t>报告期末基金资产组合情况</w:t>
      </w:r>
    </w:p>
    <w:p w:rsidR="000A44BE" w:rsidRPr="006636AA" w:rsidRDefault="00CB0992" w:rsidP="00CB0992">
      <w:pPr>
        <w:autoSpaceDE w:val="0"/>
        <w:autoSpaceDN w:val="0"/>
        <w:adjustRightInd w:val="0"/>
        <w:spacing w:line="360" w:lineRule="auto"/>
        <w:jc w:val="right"/>
        <w:rPr>
          <w:rFonts w:eastAsiaTheme="minorEastAsia"/>
          <w:color w:val="000000" w:themeColor="text1"/>
          <w:sz w:val="24"/>
        </w:rPr>
      </w:pPr>
      <w:r w:rsidRPr="006636AA">
        <w:rPr>
          <w:rFonts w:eastAsiaTheme="minorEastAsia" w:hint="eastAsia"/>
          <w:color w:val="000000" w:themeColor="text1"/>
          <w:sz w:val="24"/>
        </w:rPr>
        <w:t>金额单位：人民币元</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序号</w:t>
            </w:r>
          </w:p>
        </w:tc>
        <w:tc>
          <w:tcPr>
            <w:tcW w:w="2824"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项目</w:t>
            </w:r>
          </w:p>
        </w:tc>
        <w:tc>
          <w:tcPr>
            <w:tcW w:w="2552"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金额</w:t>
            </w:r>
          </w:p>
        </w:tc>
        <w:tc>
          <w:tcPr>
            <w:tcW w:w="2801"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占基金总资产的比例</w:t>
            </w: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1</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权益投资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73,140,541.77</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93.89</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其中：股票</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73,140,541.77</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93.89</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2</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ascii="宋体" w:hAnsi="宋体" w:hint="eastAsia"/>
                <w:sz w:val="24"/>
              </w:rPr>
              <w:t>基金投资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hint="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hint="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3</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固定收益投资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其中：债券</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A21501">
            <w:pPr>
              <w:autoSpaceDE w:val="0"/>
              <w:autoSpaceDN w:val="0"/>
              <w:adjustRightInd w:val="0"/>
              <w:spacing w:before="29" w:line="360" w:lineRule="auto"/>
              <w:ind w:left="17" w:firstLineChars="300" w:firstLine="720"/>
              <w:jc w:val="left"/>
              <w:rPr>
                <w:rFonts w:eastAsiaTheme="minorEastAsia"/>
                <w:color w:val="000000" w:themeColor="text1"/>
                <w:sz w:val="24"/>
              </w:rPr>
            </w:pPr>
            <w:r w:rsidRPr="00A21501">
              <w:rPr>
                <w:rFonts w:eastAsiaTheme="minorEastAsia"/>
                <w:color w:val="000000" w:themeColor="text1"/>
                <w:sz w:val="24"/>
              </w:rPr>
              <w:t>资产支持证券</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4</w:t>
            </w:r>
          </w:p>
        </w:tc>
        <w:tc>
          <w:tcPr>
            <w:tcW w:w="2824" w:type="dxa"/>
            <w:vAlign w:val="center"/>
          </w:tcPr>
          <w:p w:rsidR="00562C0D" w:rsidRPr="00A21501" w:rsidRDefault="00562C0D" w:rsidP="002D2971">
            <w:pPr>
              <w:spacing w:before="29" w:line="360" w:lineRule="auto"/>
              <w:ind w:leftChars="50" w:left="105"/>
              <w:rPr>
                <w:rFonts w:eastAsiaTheme="minorEastAsia"/>
                <w:color w:val="000000" w:themeColor="text1"/>
                <w:sz w:val="24"/>
              </w:rPr>
            </w:pPr>
            <w:r w:rsidRPr="00A21501">
              <w:rPr>
                <w:rFonts w:eastAsiaTheme="minorEastAsia"/>
                <w:color w:val="000000" w:themeColor="text1"/>
                <w:sz w:val="24"/>
              </w:rPr>
              <w:t>贵金属投资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5</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金融衍生品投资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6</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买入返售金融资产</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其中：买断式回购的买入返售金融资产</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7</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银行存款和结算备付金合计</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4,723,850.26</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6.06</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8</w:t>
            </w:r>
          </w:p>
        </w:tc>
        <w:tc>
          <w:tcPr>
            <w:tcW w:w="2824" w:type="dxa"/>
            <w:vAlign w:val="center"/>
          </w:tcPr>
          <w:p w:rsidR="00562C0D" w:rsidRPr="00A21501" w:rsidRDefault="00562C0D" w:rsidP="002D2971">
            <w:pPr>
              <w:spacing w:line="360" w:lineRule="auto"/>
              <w:rPr>
                <w:rFonts w:eastAsiaTheme="minorEastAsia"/>
                <w:color w:val="000000" w:themeColor="text1"/>
                <w:sz w:val="24"/>
              </w:rPr>
            </w:pPr>
            <w:r w:rsidRPr="00A21501">
              <w:rPr>
                <w:rFonts w:eastAsiaTheme="minorEastAsia"/>
                <w:color w:val="000000" w:themeColor="text1"/>
                <w:sz w:val="24"/>
              </w:rPr>
              <w:t>其他各项资产</w:t>
            </w:r>
          </w:p>
        </w:tc>
        <w:tc>
          <w:tcPr>
            <w:tcW w:w="2552"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35,182.70</w:t>
            </w:r>
          </w:p>
        </w:tc>
        <w:tc>
          <w:tcPr>
            <w:tcW w:w="2801"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0.05</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9</w:t>
            </w:r>
          </w:p>
        </w:tc>
        <w:tc>
          <w:tcPr>
            <w:tcW w:w="2824" w:type="dxa"/>
            <w:vAlign w:val="center"/>
          </w:tcPr>
          <w:p w:rsidR="00562C0D" w:rsidRPr="00A21501" w:rsidRDefault="00562C0D" w:rsidP="002D2971">
            <w:pPr>
              <w:spacing w:line="360" w:lineRule="auto"/>
              <w:rPr>
                <w:rFonts w:eastAsiaTheme="minorEastAsia"/>
                <w:color w:val="000000" w:themeColor="text1"/>
                <w:sz w:val="24"/>
              </w:rPr>
            </w:pPr>
            <w:r w:rsidRPr="00A21501">
              <w:rPr>
                <w:rFonts w:eastAsiaTheme="minorEastAsia"/>
                <w:color w:val="000000" w:themeColor="text1"/>
                <w:sz w:val="24"/>
              </w:rPr>
              <w:t>合计</w:t>
            </w:r>
          </w:p>
        </w:tc>
        <w:tc>
          <w:tcPr>
            <w:tcW w:w="2552"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77,899,574.73</w:t>
            </w:r>
          </w:p>
        </w:tc>
        <w:tc>
          <w:tcPr>
            <w:tcW w:w="2801"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100.00</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5.2 </w:t>
      </w:r>
      <w:r w:rsidRPr="005E324A">
        <w:rPr>
          <w:rFonts w:eastAsiaTheme="minorEastAsia"/>
          <w:b/>
          <w:color w:val="000000"/>
          <w:kern w:val="0"/>
          <w:sz w:val="24"/>
        </w:rPr>
        <w:t>报告期末按行业分类的股票投资组合</w:t>
      </w:r>
    </w:p>
    <w:p w:rsidR="004318F0"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5.2.1</w:t>
        </w:r>
      </w:smartTag>
      <w:r w:rsidRPr="005E324A">
        <w:rPr>
          <w:rFonts w:eastAsiaTheme="minorEastAsia"/>
          <w:b/>
          <w:color w:val="000000"/>
          <w:kern w:val="0"/>
          <w:sz w:val="24"/>
        </w:rPr>
        <w:t>积极投资按行业分类的股票投资组合</w:t>
      </w:r>
    </w:p>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本基金本报告期末未持有积极投资股票。</w:t>
      </w:r>
    </w:p>
    <w:p w:rsidR="004318F0"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5.2.2</w:t>
        </w:r>
      </w:smartTag>
      <w:r w:rsidRPr="005E324A">
        <w:rPr>
          <w:rFonts w:eastAsiaTheme="minorEastAsia"/>
          <w:b/>
          <w:color w:val="000000"/>
          <w:kern w:val="0"/>
          <w:sz w:val="24"/>
        </w:rPr>
        <w:t>指数投资按行业分类的股票投资组合</w:t>
      </w:r>
    </w:p>
    <w:p w:rsidR="009730E7" w:rsidRPr="005E324A" w:rsidRDefault="009730E7" w:rsidP="009730E7">
      <w:pPr>
        <w:autoSpaceDE w:val="0"/>
        <w:autoSpaceDN w:val="0"/>
        <w:adjustRightInd w:val="0"/>
        <w:spacing w:line="360" w:lineRule="auto"/>
        <w:jc w:val="right"/>
        <w:rPr>
          <w:rFonts w:eastAsiaTheme="minorEastAsia"/>
          <w:b/>
          <w:color w:val="000000"/>
          <w:kern w:val="0"/>
          <w:sz w:val="24"/>
        </w:rPr>
      </w:pPr>
      <w:r w:rsidRPr="00347DA9">
        <w:rPr>
          <w:color w:val="000000"/>
          <w:sz w:val="24"/>
        </w:rPr>
        <w:t>金额单位：人民币元</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EA5D6D" w:rsidRPr="005E324A" w:rsidTr="006B5B3E">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11B68" w:rsidP="00465C86">
            <w:pPr>
              <w:adjustRightInd w:val="0"/>
              <w:snapToGrid w:val="0"/>
              <w:spacing w:line="400" w:lineRule="exact"/>
              <w:jc w:val="center"/>
              <w:rPr>
                <w:rFonts w:eastAsiaTheme="minorEastAsia"/>
                <w:sz w:val="24"/>
              </w:rPr>
            </w:pPr>
            <w:r>
              <w:rPr>
                <w:rFonts w:eastAsiaTheme="minorEastAsia"/>
                <w:sz w:val="24"/>
              </w:rPr>
              <w:t>公允价值</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占基金资产净值比例（％）</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12,182,985.58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15.71</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3,663,680.50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4.73</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38,149,585.98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49.21</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16,987,833.60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21.91</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193,293.99</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0.25</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1,963,162.12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2.53</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F70112">
            <w:pPr>
              <w:jc w:val="right"/>
              <w:rPr>
                <w:rFonts w:eastAsiaTheme="minorEastAsia"/>
                <w:sz w:val="24"/>
              </w:rPr>
            </w:pPr>
            <w:r w:rsidRPr="005E324A">
              <w:rPr>
                <w:rFonts w:eastAsiaTheme="minorEastAsia"/>
                <w:sz w:val="24"/>
              </w:rPr>
              <w:t>73,140,541.77</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94.34</w:t>
            </w:r>
          </w:p>
        </w:tc>
      </w:tr>
    </w:tbl>
    <w:p w:rsidR="007674F7" w:rsidRPr="00BC47D5" w:rsidRDefault="007674F7" w:rsidP="007674F7">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C24971">
        <w:rPr>
          <w:rFonts w:hint="eastAsia"/>
          <w:b/>
          <w:color w:val="000000"/>
          <w:kern w:val="0"/>
          <w:sz w:val="24"/>
        </w:rPr>
        <w:t>港股通</w:t>
      </w:r>
      <w:r w:rsidRPr="00BC47D5">
        <w:rPr>
          <w:rFonts w:hint="eastAsia"/>
          <w:b/>
          <w:color w:val="000000"/>
          <w:kern w:val="0"/>
          <w:sz w:val="24"/>
        </w:rPr>
        <w:t>投资股票投资组合</w:t>
      </w:r>
    </w:p>
    <w:p w:rsidR="004318F0" w:rsidRPr="007674F7" w:rsidRDefault="007674F7" w:rsidP="0019563C">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5.3</w:t>
      </w:r>
      <w:r w:rsidR="00EF03C6" w:rsidRPr="005E324A">
        <w:rPr>
          <w:rFonts w:eastAsiaTheme="minorEastAsia"/>
          <w:b/>
          <w:color w:val="000000"/>
          <w:kern w:val="0"/>
          <w:sz w:val="24"/>
        </w:rPr>
        <w:t>报告</w:t>
      </w:r>
      <w:r w:rsidR="006E346E" w:rsidRPr="005E324A">
        <w:rPr>
          <w:rFonts w:eastAsiaTheme="minorEastAsia"/>
          <w:b/>
          <w:color w:val="000000"/>
          <w:kern w:val="0"/>
          <w:sz w:val="24"/>
        </w:rPr>
        <w:t>期末按公允价值占基金资产净值比例大小排序的股票投资明细</w:t>
      </w:r>
    </w:p>
    <w:p w:rsidR="00C22C7D" w:rsidRPr="005E324A" w:rsidRDefault="000625A6" w:rsidP="003A4DA3">
      <w:pPr>
        <w:spacing w:line="360" w:lineRule="auto"/>
        <w:rPr>
          <w:rFonts w:eastAsiaTheme="minorEastAsia"/>
          <w:b/>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5.3.1</w:t>
        </w:r>
        <w:r w:rsidR="00EF03C6" w:rsidRPr="005E324A">
          <w:rPr>
            <w:rFonts w:eastAsiaTheme="minorEastAsia"/>
            <w:b/>
            <w:color w:val="000000"/>
            <w:kern w:val="0"/>
            <w:sz w:val="24"/>
          </w:rPr>
          <w:t>报告</w:t>
        </w:r>
      </w:smartTag>
      <w:r w:rsidR="00C22C7D" w:rsidRPr="005E324A">
        <w:rPr>
          <w:rFonts w:eastAsiaTheme="minorEastAsia"/>
          <w:b/>
          <w:color w:val="000000"/>
          <w:kern w:val="0"/>
          <w:sz w:val="24"/>
        </w:rPr>
        <w:t>期末</w:t>
      </w:r>
      <w:r w:rsidR="00C22C7D" w:rsidRPr="005E324A">
        <w:rPr>
          <w:rFonts w:eastAsiaTheme="minorEastAsia"/>
          <w:b/>
          <w:sz w:val="24"/>
        </w:rPr>
        <w:t>指数投资按公允价值占基金资产净值比例大小排序的前</w:t>
      </w:r>
      <w:r w:rsidR="00AF5585" w:rsidRPr="005E324A">
        <w:rPr>
          <w:rFonts w:eastAsiaTheme="minorEastAsia"/>
          <w:b/>
          <w:sz w:val="24"/>
        </w:rPr>
        <w:t>十</w:t>
      </w:r>
      <w:r w:rsidR="00C22C7D" w:rsidRPr="005E324A">
        <w:rPr>
          <w:rFonts w:eastAsiaTheme="minorEastAsia"/>
          <w:b/>
          <w:sz w:val="24"/>
        </w:rPr>
        <w:t>名股票投资明细</w:t>
      </w:r>
    </w:p>
    <w:tbl>
      <w:tblPr>
        <w:tblStyle w:val="af7"/>
        <w:tblW w:w="0" w:type="auto"/>
        <w:tblLayout w:type="fixed"/>
        <w:tblLook w:val="04A0" w:firstRow="1" w:lastRow="0" w:firstColumn="1" w:lastColumn="0" w:noHBand="0" w:noVBand="1"/>
      </w:tblPr>
      <w:tblGrid>
        <w:gridCol w:w="817"/>
        <w:gridCol w:w="1276"/>
        <w:gridCol w:w="1701"/>
        <w:gridCol w:w="1276"/>
        <w:gridCol w:w="1842"/>
        <w:gridCol w:w="1616"/>
      </w:tblGrid>
      <w:tr w:rsidR="007622F6" w:rsidRPr="005E324A" w:rsidTr="007A6BEA">
        <w:tc>
          <w:tcPr>
            <w:tcW w:w="817"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701"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rsidR="007622F6" w:rsidRPr="005E324A" w:rsidRDefault="007622F6" w:rsidP="007A6BEA">
            <w:pPr>
              <w:autoSpaceDE w:val="0"/>
              <w:autoSpaceDN w:val="0"/>
              <w:adjustRightInd w:val="0"/>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46285D">
        <w:tc>
          <w:tcPr>
            <w:tcW w:w="817" w:type="dxa"/>
            <w:vAlign w:val="center"/>
          </w:tcPr>
          <w:p w:rsidR="0046285D" w:rsidRDefault="00E078E0">
            <w:pPr>
              <w:jc w:val="center"/>
            </w:pPr>
            <w:r>
              <w:rPr>
                <w:rFonts w:eastAsiaTheme="minorEastAsia"/>
                <w:color w:val="000000"/>
                <w:sz w:val="24"/>
              </w:rPr>
              <w:t>1</w:t>
            </w:r>
          </w:p>
        </w:tc>
        <w:tc>
          <w:tcPr>
            <w:tcW w:w="1276" w:type="dxa"/>
            <w:vAlign w:val="center"/>
          </w:tcPr>
          <w:p w:rsidR="0046285D" w:rsidRDefault="00E078E0">
            <w:pPr>
              <w:jc w:val="center"/>
            </w:pPr>
            <w:r>
              <w:rPr>
                <w:rFonts w:eastAsiaTheme="minorEastAsia"/>
                <w:color w:val="000000"/>
                <w:sz w:val="24"/>
              </w:rPr>
              <w:t>300059</w:t>
            </w:r>
          </w:p>
        </w:tc>
        <w:tc>
          <w:tcPr>
            <w:tcW w:w="1701" w:type="dxa"/>
            <w:vAlign w:val="center"/>
          </w:tcPr>
          <w:p w:rsidR="0046285D" w:rsidRDefault="00E078E0">
            <w:pPr>
              <w:jc w:val="center"/>
            </w:pPr>
            <w:r>
              <w:rPr>
                <w:rFonts w:eastAsiaTheme="minorEastAsia"/>
                <w:color w:val="000000"/>
                <w:sz w:val="24"/>
              </w:rPr>
              <w:t>东方财富</w:t>
            </w:r>
          </w:p>
        </w:tc>
        <w:tc>
          <w:tcPr>
            <w:tcW w:w="1276" w:type="dxa"/>
            <w:vAlign w:val="center"/>
          </w:tcPr>
          <w:p w:rsidR="0046285D" w:rsidRDefault="00E078E0">
            <w:pPr>
              <w:jc w:val="right"/>
            </w:pPr>
            <w:r>
              <w:rPr>
                <w:rFonts w:eastAsiaTheme="minorEastAsia"/>
                <w:color w:val="000000"/>
                <w:sz w:val="24"/>
              </w:rPr>
              <w:t>134,184</w:t>
            </w:r>
          </w:p>
        </w:tc>
        <w:tc>
          <w:tcPr>
            <w:tcW w:w="1842" w:type="dxa"/>
            <w:vAlign w:val="center"/>
          </w:tcPr>
          <w:p w:rsidR="0046285D" w:rsidRDefault="00E078E0">
            <w:pPr>
              <w:jc w:val="right"/>
            </w:pPr>
            <w:r>
              <w:rPr>
                <w:rFonts w:eastAsiaTheme="minorEastAsia"/>
                <w:color w:val="000000"/>
                <w:sz w:val="24"/>
              </w:rPr>
              <w:t>2,710,516.80</w:t>
            </w:r>
          </w:p>
        </w:tc>
        <w:tc>
          <w:tcPr>
            <w:tcW w:w="1616" w:type="dxa"/>
            <w:vAlign w:val="center"/>
          </w:tcPr>
          <w:p w:rsidR="0046285D" w:rsidRDefault="00E078E0">
            <w:pPr>
              <w:jc w:val="right"/>
            </w:pPr>
            <w:r>
              <w:rPr>
                <w:rFonts w:eastAsiaTheme="minorEastAsia"/>
                <w:color w:val="000000"/>
                <w:sz w:val="24"/>
              </w:rPr>
              <w:t>3.50</w:t>
            </w:r>
          </w:p>
        </w:tc>
      </w:tr>
      <w:tr w:rsidR="0046285D">
        <w:tc>
          <w:tcPr>
            <w:tcW w:w="817" w:type="dxa"/>
            <w:vAlign w:val="center"/>
          </w:tcPr>
          <w:p w:rsidR="0046285D" w:rsidRDefault="00E078E0">
            <w:pPr>
              <w:jc w:val="center"/>
            </w:pPr>
            <w:r>
              <w:rPr>
                <w:rFonts w:eastAsiaTheme="minorEastAsia"/>
                <w:color w:val="000000"/>
                <w:sz w:val="24"/>
              </w:rPr>
              <w:t>2</w:t>
            </w:r>
          </w:p>
        </w:tc>
        <w:tc>
          <w:tcPr>
            <w:tcW w:w="1276" w:type="dxa"/>
            <w:vAlign w:val="center"/>
          </w:tcPr>
          <w:p w:rsidR="0046285D" w:rsidRDefault="00E078E0">
            <w:pPr>
              <w:jc w:val="center"/>
            </w:pPr>
            <w:r>
              <w:rPr>
                <w:rFonts w:eastAsiaTheme="minorEastAsia"/>
                <w:color w:val="000000"/>
                <w:sz w:val="24"/>
              </w:rPr>
              <w:t>600570</w:t>
            </w:r>
          </w:p>
        </w:tc>
        <w:tc>
          <w:tcPr>
            <w:tcW w:w="1701" w:type="dxa"/>
            <w:vAlign w:val="center"/>
          </w:tcPr>
          <w:p w:rsidR="0046285D" w:rsidRDefault="00E078E0">
            <w:pPr>
              <w:jc w:val="center"/>
            </w:pPr>
            <w:r>
              <w:rPr>
                <w:rFonts w:eastAsiaTheme="minorEastAsia"/>
                <w:color w:val="000000"/>
                <w:sz w:val="24"/>
              </w:rPr>
              <w:t>恒生电子</w:t>
            </w:r>
          </w:p>
        </w:tc>
        <w:tc>
          <w:tcPr>
            <w:tcW w:w="1276" w:type="dxa"/>
            <w:vAlign w:val="center"/>
          </w:tcPr>
          <w:p w:rsidR="0046285D" w:rsidRDefault="00E078E0">
            <w:pPr>
              <w:jc w:val="right"/>
            </w:pPr>
            <w:r>
              <w:rPr>
                <w:rFonts w:eastAsiaTheme="minorEastAsia"/>
                <w:color w:val="000000"/>
                <w:sz w:val="24"/>
              </w:rPr>
              <w:t>23,795</w:t>
            </w:r>
          </w:p>
        </w:tc>
        <w:tc>
          <w:tcPr>
            <w:tcW w:w="1842" w:type="dxa"/>
            <w:vAlign w:val="center"/>
          </w:tcPr>
          <w:p w:rsidR="0046285D" w:rsidRDefault="00E078E0">
            <w:pPr>
              <w:jc w:val="right"/>
            </w:pPr>
            <w:r>
              <w:rPr>
                <w:rFonts w:eastAsiaTheme="minorEastAsia"/>
                <w:color w:val="000000"/>
                <w:sz w:val="24"/>
              </w:rPr>
              <w:t>2,562,721.50</w:t>
            </w:r>
          </w:p>
        </w:tc>
        <w:tc>
          <w:tcPr>
            <w:tcW w:w="1616" w:type="dxa"/>
            <w:vAlign w:val="center"/>
          </w:tcPr>
          <w:p w:rsidR="0046285D" w:rsidRDefault="00E078E0">
            <w:pPr>
              <w:jc w:val="right"/>
            </w:pPr>
            <w:r>
              <w:rPr>
                <w:rFonts w:eastAsiaTheme="minorEastAsia"/>
                <w:color w:val="000000"/>
                <w:sz w:val="24"/>
              </w:rPr>
              <w:t>3.31</w:t>
            </w:r>
          </w:p>
        </w:tc>
      </w:tr>
      <w:tr w:rsidR="0046285D">
        <w:tc>
          <w:tcPr>
            <w:tcW w:w="817" w:type="dxa"/>
            <w:vAlign w:val="center"/>
          </w:tcPr>
          <w:p w:rsidR="0046285D" w:rsidRDefault="00E078E0">
            <w:pPr>
              <w:jc w:val="center"/>
            </w:pPr>
            <w:r>
              <w:rPr>
                <w:rFonts w:eastAsiaTheme="minorEastAsia"/>
                <w:color w:val="000000"/>
                <w:sz w:val="24"/>
              </w:rPr>
              <w:t>3</w:t>
            </w:r>
          </w:p>
        </w:tc>
        <w:tc>
          <w:tcPr>
            <w:tcW w:w="1276" w:type="dxa"/>
            <w:vAlign w:val="center"/>
          </w:tcPr>
          <w:p w:rsidR="0046285D" w:rsidRDefault="00E078E0">
            <w:pPr>
              <w:jc w:val="center"/>
            </w:pPr>
            <w:r>
              <w:rPr>
                <w:rFonts w:eastAsiaTheme="minorEastAsia"/>
                <w:color w:val="000000"/>
                <w:sz w:val="24"/>
              </w:rPr>
              <w:t>600588</w:t>
            </w:r>
          </w:p>
        </w:tc>
        <w:tc>
          <w:tcPr>
            <w:tcW w:w="1701" w:type="dxa"/>
            <w:vAlign w:val="center"/>
          </w:tcPr>
          <w:p w:rsidR="0046285D" w:rsidRDefault="00E078E0">
            <w:pPr>
              <w:jc w:val="center"/>
            </w:pPr>
            <w:r>
              <w:rPr>
                <w:rFonts w:eastAsiaTheme="minorEastAsia"/>
                <w:color w:val="000000"/>
                <w:sz w:val="24"/>
              </w:rPr>
              <w:t>用友网络</w:t>
            </w:r>
          </w:p>
        </w:tc>
        <w:tc>
          <w:tcPr>
            <w:tcW w:w="1276" w:type="dxa"/>
            <w:vAlign w:val="center"/>
          </w:tcPr>
          <w:p w:rsidR="0046285D" w:rsidRDefault="00E078E0">
            <w:pPr>
              <w:jc w:val="right"/>
            </w:pPr>
            <w:r>
              <w:rPr>
                <w:rFonts w:eastAsiaTheme="minorEastAsia"/>
                <w:color w:val="000000"/>
                <w:sz w:val="24"/>
              </w:rPr>
              <w:t>58,025</w:t>
            </w:r>
          </w:p>
        </w:tc>
        <w:tc>
          <w:tcPr>
            <w:tcW w:w="1842" w:type="dxa"/>
            <w:vAlign w:val="center"/>
          </w:tcPr>
          <w:p w:rsidR="0046285D" w:rsidRDefault="00E078E0">
            <w:pPr>
              <w:jc w:val="right"/>
            </w:pPr>
            <w:r>
              <w:rPr>
                <w:rFonts w:eastAsiaTheme="minorEastAsia"/>
                <w:color w:val="000000"/>
                <w:sz w:val="24"/>
              </w:rPr>
              <w:t>2,558,902.50</w:t>
            </w:r>
          </w:p>
        </w:tc>
        <w:tc>
          <w:tcPr>
            <w:tcW w:w="1616" w:type="dxa"/>
            <w:vAlign w:val="center"/>
          </w:tcPr>
          <w:p w:rsidR="0046285D" w:rsidRDefault="00E078E0">
            <w:pPr>
              <w:jc w:val="right"/>
            </w:pPr>
            <w:r>
              <w:rPr>
                <w:rFonts w:eastAsiaTheme="minorEastAsia"/>
                <w:color w:val="000000"/>
                <w:sz w:val="24"/>
              </w:rPr>
              <w:t>3.30</w:t>
            </w:r>
          </w:p>
        </w:tc>
      </w:tr>
      <w:tr w:rsidR="0046285D">
        <w:tc>
          <w:tcPr>
            <w:tcW w:w="817" w:type="dxa"/>
            <w:vAlign w:val="center"/>
          </w:tcPr>
          <w:p w:rsidR="0046285D" w:rsidRDefault="00E078E0">
            <w:pPr>
              <w:jc w:val="center"/>
            </w:pPr>
            <w:r>
              <w:rPr>
                <w:rFonts w:eastAsiaTheme="minorEastAsia"/>
                <w:color w:val="000000"/>
                <w:sz w:val="24"/>
              </w:rPr>
              <w:t>4</w:t>
            </w:r>
          </w:p>
        </w:tc>
        <w:tc>
          <w:tcPr>
            <w:tcW w:w="1276" w:type="dxa"/>
            <w:vAlign w:val="center"/>
          </w:tcPr>
          <w:p w:rsidR="0046285D" w:rsidRDefault="00E078E0">
            <w:pPr>
              <w:jc w:val="center"/>
            </w:pPr>
            <w:r>
              <w:rPr>
                <w:rFonts w:eastAsiaTheme="minorEastAsia"/>
                <w:color w:val="000000"/>
                <w:sz w:val="24"/>
              </w:rPr>
              <w:t>002410</w:t>
            </w:r>
          </w:p>
        </w:tc>
        <w:tc>
          <w:tcPr>
            <w:tcW w:w="1701" w:type="dxa"/>
            <w:vAlign w:val="center"/>
          </w:tcPr>
          <w:p w:rsidR="0046285D" w:rsidRDefault="00E078E0">
            <w:pPr>
              <w:jc w:val="center"/>
            </w:pPr>
            <w:r>
              <w:rPr>
                <w:rFonts w:eastAsiaTheme="minorEastAsia"/>
                <w:color w:val="000000"/>
                <w:sz w:val="24"/>
              </w:rPr>
              <w:t>广联达</w:t>
            </w:r>
          </w:p>
        </w:tc>
        <w:tc>
          <w:tcPr>
            <w:tcW w:w="1276" w:type="dxa"/>
            <w:vAlign w:val="center"/>
          </w:tcPr>
          <w:p w:rsidR="0046285D" w:rsidRDefault="00E078E0">
            <w:pPr>
              <w:jc w:val="right"/>
            </w:pPr>
            <w:r>
              <w:rPr>
                <w:rFonts w:eastAsiaTheme="minorEastAsia"/>
                <w:color w:val="000000"/>
                <w:sz w:val="24"/>
              </w:rPr>
              <w:t>33,767</w:t>
            </w:r>
          </w:p>
        </w:tc>
        <w:tc>
          <w:tcPr>
            <w:tcW w:w="1842" w:type="dxa"/>
            <w:vAlign w:val="center"/>
          </w:tcPr>
          <w:p w:rsidR="0046285D" w:rsidRDefault="00E078E0">
            <w:pPr>
              <w:jc w:val="right"/>
            </w:pPr>
            <w:r>
              <w:rPr>
                <w:rFonts w:eastAsiaTheme="minorEastAsia"/>
                <w:color w:val="000000"/>
                <w:sz w:val="24"/>
              </w:rPr>
              <w:t>2,353,559.90</w:t>
            </w:r>
          </w:p>
        </w:tc>
        <w:tc>
          <w:tcPr>
            <w:tcW w:w="1616" w:type="dxa"/>
            <w:vAlign w:val="center"/>
          </w:tcPr>
          <w:p w:rsidR="0046285D" w:rsidRDefault="00E078E0">
            <w:pPr>
              <w:jc w:val="right"/>
            </w:pPr>
            <w:r>
              <w:rPr>
                <w:rFonts w:eastAsiaTheme="minorEastAsia"/>
                <w:color w:val="000000"/>
                <w:sz w:val="24"/>
              </w:rPr>
              <w:t>3.04</w:t>
            </w:r>
          </w:p>
        </w:tc>
      </w:tr>
      <w:tr w:rsidR="0046285D">
        <w:tc>
          <w:tcPr>
            <w:tcW w:w="817" w:type="dxa"/>
            <w:vAlign w:val="center"/>
          </w:tcPr>
          <w:p w:rsidR="0046285D" w:rsidRDefault="00E078E0">
            <w:pPr>
              <w:jc w:val="center"/>
            </w:pPr>
            <w:r>
              <w:rPr>
                <w:rFonts w:eastAsiaTheme="minorEastAsia"/>
                <w:color w:val="000000"/>
                <w:sz w:val="24"/>
              </w:rPr>
              <w:t>5</w:t>
            </w:r>
          </w:p>
        </w:tc>
        <w:tc>
          <w:tcPr>
            <w:tcW w:w="1276" w:type="dxa"/>
            <w:vAlign w:val="center"/>
          </w:tcPr>
          <w:p w:rsidR="0046285D" w:rsidRDefault="00E078E0">
            <w:pPr>
              <w:jc w:val="center"/>
            </w:pPr>
            <w:r>
              <w:rPr>
                <w:rFonts w:eastAsiaTheme="minorEastAsia"/>
                <w:color w:val="000000"/>
                <w:sz w:val="24"/>
              </w:rPr>
              <w:t>002065</w:t>
            </w:r>
          </w:p>
        </w:tc>
        <w:tc>
          <w:tcPr>
            <w:tcW w:w="1701" w:type="dxa"/>
            <w:vAlign w:val="center"/>
          </w:tcPr>
          <w:p w:rsidR="0046285D" w:rsidRDefault="00E078E0">
            <w:pPr>
              <w:jc w:val="center"/>
            </w:pPr>
            <w:r>
              <w:rPr>
                <w:rFonts w:eastAsiaTheme="minorEastAsia"/>
                <w:color w:val="000000"/>
                <w:sz w:val="24"/>
              </w:rPr>
              <w:t>东华软件</w:t>
            </w:r>
          </w:p>
        </w:tc>
        <w:tc>
          <w:tcPr>
            <w:tcW w:w="1276" w:type="dxa"/>
            <w:vAlign w:val="center"/>
          </w:tcPr>
          <w:p w:rsidR="0046285D" w:rsidRDefault="00E078E0">
            <w:pPr>
              <w:jc w:val="right"/>
            </w:pPr>
            <w:r>
              <w:rPr>
                <w:rFonts w:eastAsiaTheme="minorEastAsia"/>
                <w:color w:val="000000"/>
                <w:sz w:val="24"/>
              </w:rPr>
              <w:t>180,300</w:t>
            </w:r>
          </w:p>
        </w:tc>
        <w:tc>
          <w:tcPr>
            <w:tcW w:w="1842" w:type="dxa"/>
            <w:vAlign w:val="center"/>
          </w:tcPr>
          <w:p w:rsidR="0046285D" w:rsidRDefault="00E078E0">
            <w:pPr>
              <w:jc w:val="right"/>
            </w:pPr>
            <w:r>
              <w:rPr>
                <w:rFonts w:eastAsiaTheme="minorEastAsia"/>
                <w:color w:val="000000"/>
                <w:sz w:val="24"/>
              </w:rPr>
              <w:t>2,257,356.00</w:t>
            </w:r>
          </w:p>
        </w:tc>
        <w:tc>
          <w:tcPr>
            <w:tcW w:w="1616" w:type="dxa"/>
            <w:vAlign w:val="center"/>
          </w:tcPr>
          <w:p w:rsidR="0046285D" w:rsidRDefault="00E078E0">
            <w:pPr>
              <w:jc w:val="right"/>
            </w:pPr>
            <w:r>
              <w:rPr>
                <w:rFonts w:eastAsiaTheme="minorEastAsia"/>
                <w:color w:val="000000"/>
                <w:sz w:val="24"/>
              </w:rPr>
              <w:t>2.91</w:t>
            </w:r>
          </w:p>
        </w:tc>
      </w:tr>
      <w:tr w:rsidR="0046285D">
        <w:tc>
          <w:tcPr>
            <w:tcW w:w="817" w:type="dxa"/>
            <w:vAlign w:val="center"/>
          </w:tcPr>
          <w:p w:rsidR="0046285D" w:rsidRDefault="00E078E0">
            <w:pPr>
              <w:jc w:val="center"/>
            </w:pPr>
            <w:r>
              <w:rPr>
                <w:rFonts w:eastAsiaTheme="minorEastAsia"/>
                <w:color w:val="000000"/>
                <w:sz w:val="24"/>
              </w:rPr>
              <w:t>6</w:t>
            </w:r>
          </w:p>
        </w:tc>
        <w:tc>
          <w:tcPr>
            <w:tcW w:w="1276" w:type="dxa"/>
            <w:vAlign w:val="center"/>
          </w:tcPr>
          <w:p w:rsidR="0046285D" w:rsidRDefault="00E078E0">
            <w:pPr>
              <w:jc w:val="center"/>
            </w:pPr>
            <w:r>
              <w:rPr>
                <w:rFonts w:eastAsiaTheme="minorEastAsia"/>
                <w:color w:val="000000"/>
                <w:sz w:val="24"/>
              </w:rPr>
              <w:t>002439</w:t>
            </w:r>
          </w:p>
        </w:tc>
        <w:tc>
          <w:tcPr>
            <w:tcW w:w="1701" w:type="dxa"/>
            <w:vAlign w:val="center"/>
          </w:tcPr>
          <w:p w:rsidR="0046285D" w:rsidRDefault="00E078E0">
            <w:pPr>
              <w:jc w:val="center"/>
            </w:pPr>
            <w:r>
              <w:rPr>
                <w:rFonts w:eastAsiaTheme="minorEastAsia"/>
                <w:color w:val="000000"/>
                <w:sz w:val="24"/>
              </w:rPr>
              <w:t>启明星辰</w:t>
            </w:r>
          </w:p>
        </w:tc>
        <w:tc>
          <w:tcPr>
            <w:tcW w:w="1276" w:type="dxa"/>
            <w:vAlign w:val="center"/>
          </w:tcPr>
          <w:p w:rsidR="0046285D" w:rsidRDefault="00E078E0">
            <w:pPr>
              <w:jc w:val="right"/>
            </w:pPr>
            <w:r>
              <w:rPr>
                <w:rFonts w:eastAsiaTheme="minorEastAsia"/>
                <w:color w:val="000000"/>
                <w:sz w:val="24"/>
              </w:rPr>
              <w:t>53,000</w:t>
            </w:r>
          </w:p>
        </w:tc>
        <w:tc>
          <w:tcPr>
            <w:tcW w:w="1842" w:type="dxa"/>
            <w:vAlign w:val="center"/>
          </w:tcPr>
          <w:p w:rsidR="0046285D" w:rsidRDefault="00E078E0">
            <w:pPr>
              <w:jc w:val="right"/>
            </w:pPr>
            <w:r>
              <w:rPr>
                <w:rFonts w:eastAsiaTheme="minorEastAsia"/>
                <w:color w:val="000000"/>
                <w:sz w:val="24"/>
              </w:rPr>
              <w:t>2,229,710.00</w:t>
            </w:r>
          </w:p>
        </w:tc>
        <w:tc>
          <w:tcPr>
            <w:tcW w:w="1616" w:type="dxa"/>
            <w:vAlign w:val="center"/>
          </w:tcPr>
          <w:p w:rsidR="0046285D" w:rsidRDefault="00E078E0">
            <w:pPr>
              <w:jc w:val="right"/>
            </w:pPr>
            <w:r>
              <w:rPr>
                <w:rFonts w:eastAsiaTheme="minorEastAsia"/>
                <w:color w:val="000000"/>
                <w:sz w:val="24"/>
              </w:rPr>
              <w:t>2.88</w:t>
            </w:r>
          </w:p>
        </w:tc>
      </w:tr>
      <w:tr w:rsidR="0046285D">
        <w:tc>
          <w:tcPr>
            <w:tcW w:w="817" w:type="dxa"/>
            <w:vAlign w:val="center"/>
          </w:tcPr>
          <w:p w:rsidR="0046285D" w:rsidRDefault="00E078E0">
            <w:pPr>
              <w:jc w:val="center"/>
            </w:pPr>
            <w:r>
              <w:rPr>
                <w:rFonts w:eastAsiaTheme="minorEastAsia"/>
                <w:color w:val="000000"/>
                <w:sz w:val="24"/>
              </w:rPr>
              <w:t>7</w:t>
            </w:r>
          </w:p>
        </w:tc>
        <w:tc>
          <w:tcPr>
            <w:tcW w:w="1276" w:type="dxa"/>
            <w:vAlign w:val="center"/>
          </w:tcPr>
          <w:p w:rsidR="0046285D" w:rsidRDefault="00E078E0">
            <w:pPr>
              <w:jc w:val="center"/>
            </w:pPr>
            <w:r>
              <w:rPr>
                <w:rFonts w:eastAsiaTheme="minorEastAsia"/>
                <w:color w:val="000000"/>
                <w:sz w:val="24"/>
              </w:rPr>
              <w:t>000977</w:t>
            </w:r>
          </w:p>
        </w:tc>
        <w:tc>
          <w:tcPr>
            <w:tcW w:w="1701" w:type="dxa"/>
            <w:vAlign w:val="center"/>
          </w:tcPr>
          <w:p w:rsidR="0046285D" w:rsidRDefault="00E078E0">
            <w:pPr>
              <w:jc w:val="center"/>
            </w:pPr>
            <w:r>
              <w:rPr>
                <w:rFonts w:eastAsiaTheme="minorEastAsia"/>
                <w:color w:val="000000"/>
                <w:sz w:val="24"/>
              </w:rPr>
              <w:t>浪潮信息</w:t>
            </w:r>
          </w:p>
        </w:tc>
        <w:tc>
          <w:tcPr>
            <w:tcW w:w="1276" w:type="dxa"/>
            <w:vAlign w:val="center"/>
          </w:tcPr>
          <w:p w:rsidR="0046285D" w:rsidRDefault="00E078E0">
            <w:pPr>
              <w:jc w:val="right"/>
            </w:pPr>
            <w:r>
              <w:rPr>
                <w:rFonts w:eastAsiaTheme="minorEastAsia"/>
                <w:color w:val="000000"/>
                <w:sz w:val="24"/>
              </w:rPr>
              <w:t>53,100</w:t>
            </w:r>
          </w:p>
        </w:tc>
        <w:tc>
          <w:tcPr>
            <w:tcW w:w="1842" w:type="dxa"/>
            <w:vAlign w:val="center"/>
          </w:tcPr>
          <w:p w:rsidR="0046285D" w:rsidRDefault="00E078E0">
            <w:pPr>
              <w:jc w:val="right"/>
            </w:pPr>
            <w:r>
              <w:rPr>
                <w:rFonts w:eastAsiaTheme="minorEastAsia"/>
                <w:color w:val="000000"/>
                <w:sz w:val="24"/>
              </w:rPr>
              <w:t>2,080,458.00</w:t>
            </w:r>
          </w:p>
        </w:tc>
        <w:tc>
          <w:tcPr>
            <w:tcW w:w="1616" w:type="dxa"/>
            <w:vAlign w:val="center"/>
          </w:tcPr>
          <w:p w:rsidR="0046285D" w:rsidRDefault="00E078E0">
            <w:pPr>
              <w:jc w:val="right"/>
            </w:pPr>
            <w:r>
              <w:rPr>
                <w:rFonts w:eastAsiaTheme="minorEastAsia"/>
                <w:color w:val="000000"/>
                <w:sz w:val="24"/>
              </w:rPr>
              <w:t>2.68</w:t>
            </w:r>
          </w:p>
        </w:tc>
      </w:tr>
      <w:tr w:rsidR="0046285D">
        <w:tc>
          <w:tcPr>
            <w:tcW w:w="817" w:type="dxa"/>
            <w:vAlign w:val="center"/>
          </w:tcPr>
          <w:p w:rsidR="0046285D" w:rsidRDefault="00E078E0">
            <w:pPr>
              <w:jc w:val="center"/>
            </w:pPr>
            <w:r>
              <w:rPr>
                <w:rFonts w:eastAsiaTheme="minorEastAsia"/>
                <w:color w:val="000000"/>
                <w:sz w:val="24"/>
              </w:rPr>
              <w:t>8</w:t>
            </w:r>
          </w:p>
        </w:tc>
        <w:tc>
          <w:tcPr>
            <w:tcW w:w="1276" w:type="dxa"/>
            <w:vAlign w:val="center"/>
          </w:tcPr>
          <w:p w:rsidR="0046285D" w:rsidRDefault="00E078E0">
            <w:pPr>
              <w:jc w:val="center"/>
            </w:pPr>
            <w:r>
              <w:rPr>
                <w:rFonts w:eastAsiaTheme="minorEastAsia"/>
                <w:color w:val="000000"/>
                <w:sz w:val="24"/>
              </w:rPr>
              <w:t>600271</w:t>
            </w:r>
          </w:p>
        </w:tc>
        <w:tc>
          <w:tcPr>
            <w:tcW w:w="1701" w:type="dxa"/>
            <w:vAlign w:val="center"/>
          </w:tcPr>
          <w:p w:rsidR="0046285D" w:rsidRDefault="00E078E0">
            <w:pPr>
              <w:jc w:val="center"/>
            </w:pPr>
            <w:r>
              <w:rPr>
                <w:rFonts w:eastAsiaTheme="minorEastAsia"/>
                <w:color w:val="000000"/>
                <w:sz w:val="24"/>
              </w:rPr>
              <w:t>航天信息</w:t>
            </w:r>
          </w:p>
        </w:tc>
        <w:tc>
          <w:tcPr>
            <w:tcW w:w="1276" w:type="dxa"/>
            <w:vAlign w:val="center"/>
          </w:tcPr>
          <w:p w:rsidR="0046285D" w:rsidRDefault="00E078E0">
            <w:pPr>
              <w:jc w:val="right"/>
            </w:pPr>
            <w:r>
              <w:rPr>
                <w:rFonts w:eastAsiaTheme="minorEastAsia"/>
                <w:color w:val="000000"/>
                <w:sz w:val="24"/>
              </w:rPr>
              <w:t>125,352</w:t>
            </w:r>
          </w:p>
        </w:tc>
        <w:tc>
          <w:tcPr>
            <w:tcW w:w="1842" w:type="dxa"/>
            <w:vAlign w:val="center"/>
          </w:tcPr>
          <w:p w:rsidR="0046285D" w:rsidRDefault="00E078E0">
            <w:pPr>
              <w:jc w:val="right"/>
            </w:pPr>
            <w:r>
              <w:rPr>
                <w:rFonts w:eastAsiaTheme="minorEastAsia"/>
                <w:color w:val="000000"/>
                <w:sz w:val="24"/>
              </w:rPr>
              <w:t>2,035,716.48</w:t>
            </w:r>
          </w:p>
        </w:tc>
        <w:tc>
          <w:tcPr>
            <w:tcW w:w="1616" w:type="dxa"/>
            <w:vAlign w:val="center"/>
          </w:tcPr>
          <w:p w:rsidR="0046285D" w:rsidRDefault="00E078E0">
            <w:pPr>
              <w:jc w:val="right"/>
            </w:pPr>
            <w:r>
              <w:rPr>
                <w:rFonts w:eastAsiaTheme="minorEastAsia"/>
                <w:color w:val="000000"/>
                <w:sz w:val="24"/>
              </w:rPr>
              <w:t>2.63</w:t>
            </w:r>
          </w:p>
        </w:tc>
      </w:tr>
      <w:tr w:rsidR="0046285D">
        <w:tc>
          <w:tcPr>
            <w:tcW w:w="817" w:type="dxa"/>
            <w:vAlign w:val="center"/>
          </w:tcPr>
          <w:p w:rsidR="0046285D" w:rsidRDefault="00E078E0">
            <w:pPr>
              <w:jc w:val="center"/>
            </w:pPr>
            <w:r>
              <w:rPr>
                <w:rFonts w:eastAsiaTheme="minorEastAsia"/>
                <w:color w:val="000000"/>
                <w:sz w:val="24"/>
              </w:rPr>
              <w:t>9</w:t>
            </w:r>
          </w:p>
        </w:tc>
        <w:tc>
          <w:tcPr>
            <w:tcW w:w="1276" w:type="dxa"/>
            <w:vAlign w:val="center"/>
          </w:tcPr>
          <w:p w:rsidR="0046285D" w:rsidRDefault="00E078E0">
            <w:pPr>
              <w:jc w:val="center"/>
            </w:pPr>
            <w:r>
              <w:rPr>
                <w:rFonts w:eastAsiaTheme="minorEastAsia"/>
                <w:color w:val="000000"/>
                <w:sz w:val="24"/>
              </w:rPr>
              <w:t>002024</w:t>
            </w:r>
          </w:p>
        </w:tc>
        <w:tc>
          <w:tcPr>
            <w:tcW w:w="1701" w:type="dxa"/>
            <w:vAlign w:val="center"/>
          </w:tcPr>
          <w:p w:rsidR="0046285D" w:rsidRDefault="00E078E0">
            <w:pPr>
              <w:jc w:val="center"/>
            </w:pPr>
            <w:r>
              <w:rPr>
                <w:rFonts w:eastAsiaTheme="minorEastAsia"/>
                <w:color w:val="000000"/>
                <w:sz w:val="24"/>
              </w:rPr>
              <w:t>苏宁易购</w:t>
            </w:r>
          </w:p>
        </w:tc>
        <w:tc>
          <w:tcPr>
            <w:tcW w:w="1276" w:type="dxa"/>
            <w:vAlign w:val="center"/>
          </w:tcPr>
          <w:p w:rsidR="0046285D" w:rsidRDefault="00E078E0">
            <w:pPr>
              <w:jc w:val="right"/>
            </w:pPr>
            <w:r>
              <w:rPr>
                <w:rFonts w:eastAsiaTheme="minorEastAsia"/>
                <w:color w:val="000000"/>
                <w:sz w:val="24"/>
              </w:rPr>
              <w:t>229,100</w:t>
            </w:r>
          </w:p>
        </w:tc>
        <w:tc>
          <w:tcPr>
            <w:tcW w:w="1842" w:type="dxa"/>
            <w:vAlign w:val="center"/>
          </w:tcPr>
          <w:p w:rsidR="0046285D" w:rsidRDefault="00E078E0">
            <w:pPr>
              <w:jc w:val="right"/>
            </w:pPr>
            <w:r>
              <w:rPr>
                <w:rFonts w:eastAsiaTheme="minorEastAsia"/>
                <w:color w:val="000000"/>
                <w:sz w:val="24"/>
              </w:rPr>
              <w:t>2,009,207.00</w:t>
            </w:r>
          </w:p>
        </w:tc>
        <w:tc>
          <w:tcPr>
            <w:tcW w:w="1616" w:type="dxa"/>
            <w:vAlign w:val="center"/>
          </w:tcPr>
          <w:p w:rsidR="0046285D" w:rsidRDefault="00E078E0">
            <w:pPr>
              <w:jc w:val="right"/>
            </w:pPr>
            <w:r>
              <w:rPr>
                <w:rFonts w:eastAsiaTheme="minorEastAsia"/>
                <w:color w:val="000000"/>
                <w:sz w:val="24"/>
              </w:rPr>
              <w:t>2.59</w:t>
            </w:r>
          </w:p>
        </w:tc>
      </w:tr>
      <w:tr w:rsidR="0046285D">
        <w:tc>
          <w:tcPr>
            <w:tcW w:w="817" w:type="dxa"/>
            <w:vAlign w:val="center"/>
          </w:tcPr>
          <w:p w:rsidR="0046285D" w:rsidRDefault="00E078E0">
            <w:pPr>
              <w:jc w:val="center"/>
            </w:pPr>
            <w:r>
              <w:rPr>
                <w:rFonts w:eastAsiaTheme="minorEastAsia"/>
                <w:color w:val="000000"/>
                <w:sz w:val="24"/>
              </w:rPr>
              <w:t>10</w:t>
            </w:r>
          </w:p>
        </w:tc>
        <w:tc>
          <w:tcPr>
            <w:tcW w:w="1276" w:type="dxa"/>
            <w:vAlign w:val="center"/>
          </w:tcPr>
          <w:p w:rsidR="0046285D" w:rsidRDefault="00E078E0">
            <w:pPr>
              <w:jc w:val="center"/>
            </w:pPr>
            <w:r>
              <w:rPr>
                <w:rFonts w:eastAsiaTheme="minorEastAsia"/>
                <w:color w:val="000000"/>
                <w:sz w:val="24"/>
              </w:rPr>
              <w:t>601166</w:t>
            </w:r>
          </w:p>
        </w:tc>
        <w:tc>
          <w:tcPr>
            <w:tcW w:w="1701" w:type="dxa"/>
            <w:vAlign w:val="center"/>
          </w:tcPr>
          <w:p w:rsidR="0046285D" w:rsidRDefault="00E078E0">
            <w:pPr>
              <w:jc w:val="center"/>
            </w:pPr>
            <w:r>
              <w:rPr>
                <w:rFonts w:eastAsiaTheme="minorEastAsia"/>
                <w:color w:val="000000"/>
                <w:sz w:val="24"/>
              </w:rPr>
              <w:t>兴业银行</w:t>
            </w:r>
          </w:p>
        </w:tc>
        <w:tc>
          <w:tcPr>
            <w:tcW w:w="1276" w:type="dxa"/>
            <w:vAlign w:val="center"/>
          </w:tcPr>
          <w:p w:rsidR="0046285D" w:rsidRDefault="00E078E0">
            <w:pPr>
              <w:jc w:val="right"/>
            </w:pPr>
            <w:r>
              <w:rPr>
                <w:rFonts w:eastAsiaTheme="minorEastAsia"/>
                <w:color w:val="000000"/>
                <w:sz w:val="24"/>
              </w:rPr>
              <w:t>125,403</w:t>
            </w:r>
          </w:p>
        </w:tc>
        <w:tc>
          <w:tcPr>
            <w:tcW w:w="1842" w:type="dxa"/>
            <w:vAlign w:val="center"/>
          </w:tcPr>
          <w:p w:rsidR="0046285D" w:rsidRDefault="00E078E0">
            <w:pPr>
              <w:jc w:val="right"/>
            </w:pPr>
            <w:r>
              <w:rPr>
                <w:rFonts w:eastAsiaTheme="minorEastAsia"/>
                <w:color w:val="000000"/>
                <w:sz w:val="24"/>
              </w:rPr>
              <w:t>1,978,859.34</w:t>
            </w:r>
          </w:p>
        </w:tc>
        <w:tc>
          <w:tcPr>
            <w:tcW w:w="1616" w:type="dxa"/>
            <w:vAlign w:val="center"/>
          </w:tcPr>
          <w:p w:rsidR="0046285D" w:rsidRDefault="00E078E0">
            <w:pPr>
              <w:jc w:val="right"/>
            </w:pPr>
            <w:r>
              <w:rPr>
                <w:rFonts w:eastAsiaTheme="minorEastAsia"/>
                <w:color w:val="000000"/>
                <w:sz w:val="24"/>
              </w:rPr>
              <w:t>2.55</w:t>
            </w:r>
          </w:p>
        </w:tc>
      </w:tr>
    </w:tbl>
    <w:p w:rsidR="006F20EC" w:rsidRPr="005E324A" w:rsidRDefault="006F20EC" w:rsidP="006B10DA">
      <w:pPr>
        <w:autoSpaceDE w:val="0"/>
        <w:autoSpaceDN w:val="0"/>
        <w:adjustRightInd w:val="0"/>
        <w:spacing w:line="360" w:lineRule="auto"/>
        <w:jc w:val="left"/>
        <w:rPr>
          <w:rFonts w:eastAsiaTheme="minorEastAsia"/>
          <w:color w:val="000000"/>
          <w:sz w:val="24"/>
        </w:rPr>
      </w:pPr>
    </w:p>
    <w:p w:rsidR="000625A6" w:rsidRPr="005E324A" w:rsidRDefault="000625A6" w:rsidP="003A4DA3">
      <w:pPr>
        <w:spacing w:line="360" w:lineRule="auto"/>
        <w:rPr>
          <w:rFonts w:eastAsiaTheme="minorEastAsia"/>
          <w:b/>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5.3.2</w:t>
        </w:r>
        <w:r w:rsidR="002E45F3" w:rsidRPr="005E324A">
          <w:rPr>
            <w:rFonts w:eastAsiaTheme="minorEastAsia"/>
            <w:b/>
            <w:color w:val="000000"/>
            <w:kern w:val="0"/>
            <w:sz w:val="24"/>
          </w:rPr>
          <w:t>报告</w:t>
        </w:r>
      </w:smartTag>
      <w:r w:rsidR="005D44E4" w:rsidRPr="005E324A">
        <w:rPr>
          <w:rFonts w:eastAsiaTheme="minorEastAsia"/>
          <w:b/>
          <w:color w:val="000000"/>
          <w:kern w:val="0"/>
          <w:sz w:val="24"/>
        </w:rPr>
        <w:t>期末</w:t>
      </w:r>
      <w:r w:rsidR="005D44E4" w:rsidRPr="005E324A">
        <w:rPr>
          <w:rFonts w:eastAsiaTheme="minorEastAsia"/>
          <w:b/>
          <w:sz w:val="24"/>
        </w:rPr>
        <w:t>积极</w:t>
      </w:r>
      <w:r w:rsidRPr="005E324A">
        <w:rPr>
          <w:rFonts w:eastAsiaTheme="minorEastAsia"/>
          <w:b/>
          <w:sz w:val="24"/>
        </w:rPr>
        <w:t>投资按公允价值占基金资产净值比例大小排序的前五名股票投资明细</w:t>
      </w:r>
    </w:p>
    <w:p w:rsidR="00220542"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5.4 </w:t>
      </w:r>
      <w:r w:rsidRPr="005E324A">
        <w:rPr>
          <w:rFonts w:eastAsiaTheme="minorEastAsia"/>
          <w:b/>
          <w:color w:val="000000"/>
          <w:kern w:val="0"/>
          <w:sz w:val="24"/>
        </w:rPr>
        <w:t>报告期末按债券品种分类的债券投资组合</w:t>
      </w:r>
    </w:p>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本基金本报告期末未持有债券。</w:t>
      </w:r>
    </w:p>
    <w:p w:rsidR="00220542"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5.5 </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的前五名债券投资明细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本基金本报告期末未持有债券。</w:t>
      </w:r>
    </w:p>
    <w:p w:rsidR="00220542"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5.6</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的前十名资产支持证券投资明细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本基金本报告期末未持有资产支持证券。</w:t>
      </w:r>
    </w:p>
    <w:p w:rsidR="001C123E" w:rsidRPr="005E324A" w:rsidRDefault="001C123E" w:rsidP="001C123E">
      <w:pPr>
        <w:autoSpaceDE w:val="0"/>
        <w:autoSpaceDN w:val="0"/>
        <w:adjustRightInd w:val="0"/>
        <w:spacing w:line="360" w:lineRule="auto"/>
        <w:jc w:val="left"/>
        <w:rPr>
          <w:rFonts w:eastAsiaTheme="minorEastAsia"/>
          <w:b/>
          <w:bCs/>
          <w:color w:val="000000"/>
          <w:kern w:val="0"/>
          <w:sz w:val="24"/>
        </w:rPr>
      </w:pPr>
      <w:r w:rsidRPr="005E324A">
        <w:rPr>
          <w:rFonts w:eastAsiaTheme="minorEastAsia"/>
          <w:b/>
          <w:bCs/>
          <w:color w:val="000000"/>
          <w:kern w:val="0"/>
          <w:sz w:val="24"/>
        </w:rPr>
        <w:t xml:space="preserve">5.7 </w:t>
      </w:r>
      <w:r w:rsidRPr="005E324A">
        <w:rPr>
          <w:rFonts w:eastAsiaTheme="minorEastAsia"/>
          <w:b/>
          <w:bCs/>
          <w:color w:val="000000"/>
          <w:kern w:val="0"/>
          <w:sz w:val="24"/>
        </w:rPr>
        <w:t>报告期末按公允价值占基金资产净值比例大小排序的前五名贵金属投资明细</w:t>
      </w:r>
    </w:p>
    <w:p w:rsidR="001C123E" w:rsidRPr="005E324A" w:rsidRDefault="001C123E" w:rsidP="001C123E">
      <w:pPr>
        <w:widowControl/>
        <w:spacing w:line="360" w:lineRule="auto"/>
        <w:jc w:val="left"/>
        <w:rPr>
          <w:szCs w:val="21"/>
        </w:rPr>
      </w:pPr>
      <w:r w:rsidRPr="005E324A">
        <w:rPr>
          <w:szCs w:val="21"/>
        </w:rPr>
        <w:t>本基金本报告期末未持有贵金属。</w:t>
      </w:r>
    </w:p>
    <w:p w:rsidR="001C123E" w:rsidRPr="005E324A" w:rsidRDefault="001C123E" w:rsidP="0019563C">
      <w:pPr>
        <w:autoSpaceDE w:val="0"/>
        <w:autoSpaceDN w:val="0"/>
        <w:adjustRightInd w:val="0"/>
        <w:spacing w:line="360" w:lineRule="auto"/>
        <w:jc w:val="left"/>
        <w:rPr>
          <w:rFonts w:eastAsiaTheme="minorEastAsia"/>
          <w:color w:val="000000"/>
          <w:kern w:val="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5.8</w:t>
      </w:r>
      <w:r w:rsidR="00D43EDF" w:rsidRPr="005E324A">
        <w:rPr>
          <w:rFonts w:eastAsiaTheme="minorEastAsia"/>
          <w:b/>
          <w:bCs/>
          <w:color w:val="000000"/>
          <w:sz w:val="24"/>
        </w:rPr>
        <w:t>报告期末按公允价值占基金资产净值比例大小排序</w:t>
      </w:r>
      <w:r w:rsidR="00220542" w:rsidRPr="005E324A">
        <w:rPr>
          <w:rFonts w:eastAsiaTheme="minorEastAsia"/>
          <w:b/>
          <w:bCs/>
          <w:color w:val="000000"/>
          <w:sz w:val="24"/>
        </w:rPr>
        <w:t>的前五名权证投资明细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本基金本报告期末未持有权证。</w:t>
      </w:r>
    </w:p>
    <w:p w:rsidR="00695296" w:rsidRPr="005E324A" w:rsidRDefault="00695296" w:rsidP="0019563C">
      <w:pPr>
        <w:autoSpaceDE w:val="0"/>
        <w:autoSpaceDN w:val="0"/>
        <w:adjustRightInd w:val="0"/>
        <w:spacing w:line="360" w:lineRule="auto"/>
        <w:jc w:val="left"/>
        <w:rPr>
          <w:rFonts w:eastAsiaTheme="minorEastAsia"/>
          <w:color w:val="000000"/>
          <w:kern w:val="0"/>
          <w:sz w:val="24"/>
        </w:rPr>
      </w:pPr>
    </w:p>
    <w:p w:rsidR="00E57068" w:rsidRPr="005E324A" w:rsidRDefault="001C123E" w:rsidP="00E57068">
      <w:pPr>
        <w:adjustRightInd w:val="0"/>
        <w:snapToGrid w:val="0"/>
        <w:spacing w:line="360" w:lineRule="auto"/>
        <w:rPr>
          <w:rFonts w:eastAsiaTheme="minorEastAsia"/>
          <w:b/>
          <w:sz w:val="24"/>
        </w:rPr>
      </w:pPr>
      <w:r w:rsidRPr="005E324A">
        <w:rPr>
          <w:rFonts w:eastAsiaTheme="minorEastAsia"/>
          <w:b/>
          <w:bCs/>
          <w:color w:val="000000"/>
          <w:kern w:val="0"/>
          <w:sz w:val="24"/>
        </w:rPr>
        <w:t>5.9</w:t>
      </w:r>
      <w:r w:rsidR="00E57068" w:rsidRPr="005E324A">
        <w:rPr>
          <w:rFonts w:eastAsiaTheme="minorEastAsia"/>
          <w:b/>
          <w:sz w:val="24"/>
        </w:rPr>
        <w:t>报告期末本基金投资的股指期货交易情况说明</w:t>
      </w:r>
    </w:p>
    <w:p w:rsidR="00E57068" w:rsidRPr="005E324A" w:rsidRDefault="00E57068" w:rsidP="00E57068">
      <w:pPr>
        <w:autoSpaceDE w:val="0"/>
        <w:autoSpaceDN w:val="0"/>
        <w:adjustRightInd w:val="0"/>
        <w:spacing w:line="360" w:lineRule="auto"/>
        <w:jc w:val="left"/>
        <w:rPr>
          <w:rFonts w:eastAsiaTheme="minorEastAsia"/>
          <w:sz w:val="24"/>
        </w:rPr>
      </w:pPr>
      <w:r w:rsidRPr="005E324A">
        <w:rPr>
          <w:rFonts w:eastAsiaTheme="minorEastAsia"/>
          <w:sz w:val="24"/>
        </w:rPr>
        <w:t>本基金本报告期末未持有股指期货。</w:t>
      </w:r>
    </w:p>
    <w:p w:rsidR="00E57068" w:rsidRPr="005E324A" w:rsidRDefault="00E57068" w:rsidP="00E57068">
      <w:pPr>
        <w:autoSpaceDE w:val="0"/>
        <w:autoSpaceDN w:val="0"/>
        <w:adjustRightInd w:val="0"/>
        <w:spacing w:line="360" w:lineRule="auto"/>
        <w:jc w:val="left"/>
        <w:rPr>
          <w:rFonts w:eastAsiaTheme="minorEastAsia"/>
          <w:sz w:val="24"/>
        </w:rPr>
      </w:pPr>
    </w:p>
    <w:p w:rsidR="005E0C14" w:rsidRDefault="00E31EC2" w:rsidP="00576862">
      <w:pPr>
        <w:adjustRightInd w:val="0"/>
        <w:snapToGrid w:val="0"/>
        <w:spacing w:line="360" w:lineRule="auto"/>
        <w:rPr>
          <w:rFonts w:eastAsiaTheme="minorEastAsia"/>
          <w:b/>
          <w:sz w:val="24"/>
        </w:rPr>
      </w:pPr>
      <w:r w:rsidRPr="005E324A">
        <w:rPr>
          <w:rFonts w:eastAsiaTheme="minorEastAsia"/>
          <w:b/>
          <w:sz w:val="24"/>
        </w:rPr>
        <w:t>5</w:t>
      </w:r>
      <w:r w:rsidR="005E0C14" w:rsidRPr="005E324A">
        <w:rPr>
          <w:rFonts w:eastAsiaTheme="minorEastAsia"/>
          <w:b/>
          <w:sz w:val="24"/>
        </w:rPr>
        <w:t>.</w:t>
      </w:r>
      <w:r w:rsidRPr="005E324A">
        <w:rPr>
          <w:rFonts w:eastAsiaTheme="minorEastAsia"/>
          <w:b/>
          <w:sz w:val="24"/>
        </w:rPr>
        <w:t>10</w:t>
      </w:r>
      <w:r w:rsidR="005E0C14" w:rsidRPr="005E324A">
        <w:rPr>
          <w:rFonts w:eastAsiaTheme="minorEastAsia"/>
          <w:b/>
          <w:sz w:val="24"/>
        </w:rPr>
        <w:t>报告期末本基金投资的国债期货交易情况说明</w:t>
      </w:r>
    </w:p>
    <w:p w:rsidR="005E0C14" w:rsidRPr="005E324A" w:rsidRDefault="005E0C14"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本基金本报告期末未持有国债期货。</w:t>
      </w: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w:t>
      </w:r>
      <w:r w:rsidR="001F218E" w:rsidRPr="005E324A">
        <w:rPr>
          <w:rFonts w:eastAsiaTheme="minorEastAsia"/>
          <w:b/>
          <w:color w:val="000000"/>
          <w:kern w:val="0"/>
          <w:sz w:val="24"/>
        </w:rPr>
        <w:t>.</w:t>
      </w:r>
      <w:r w:rsidRPr="005E324A">
        <w:rPr>
          <w:rFonts w:eastAsiaTheme="minorEastAsia"/>
          <w:b/>
          <w:color w:val="000000"/>
          <w:kern w:val="0"/>
          <w:sz w:val="24"/>
        </w:rPr>
        <w:t>11</w:t>
      </w:r>
      <w:r w:rsidR="00220542" w:rsidRPr="005E324A">
        <w:rPr>
          <w:rFonts w:eastAsiaTheme="minorEastAsia"/>
          <w:b/>
          <w:color w:val="000000"/>
          <w:kern w:val="0"/>
          <w:sz w:val="24"/>
        </w:rPr>
        <w:t>投资组合报告附注</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5.11.1</w:t>
      </w:r>
      <w:r w:rsidR="007A6BEA" w:rsidRPr="005E324A">
        <w:rPr>
          <w:rFonts w:eastAsiaTheme="minorEastAsia"/>
          <w:color w:val="000000"/>
          <w:kern w:val="0"/>
          <w:sz w:val="24"/>
        </w:rPr>
        <w:t>报告期内本基金投资的前十名证券的发行主体未被监管部门立案调查，在本报告编制日前一年内本基金投资的前十名证券的发行主体未受到公开谴责和处罚。</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5.11.2</w:t>
      </w:r>
      <w:r w:rsidR="007A6BEA" w:rsidRPr="005E324A">
        <w:rPr>
          <w:rFonts w:eastAsiaTheme="minorEastAsia"/>
          <w:color w:val="000000"/>
          <w:kern w:val="0"/>
          <w:sz w:val="24"/>
        </w:rPr>
        <w:t>本基金投资的前十名股票中，没有超出基金合同规定的备选股票库之外的股票。</w:t>
      </w:r>
    </w:p>
    <w:p w:rsidR="00220542"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5.11.3</w:t>
      </w:r>
      <w:r w:rsidR="00AD5B9B">
        <w:rPr>
          <w:rFonts w:eastAsiaTheme="minorEastAsia" w:hint="eastAsia"/>
          <w:b/>
          <w:bCs/>
          <w:color w:val="000000"/>
          <w:kern w:val="0"/>
          <w:sz w:val="24"/>
        </w:rPr>
        <w:t>期末</w:t>
      </w:r>
      <w:r w:rsidR="00220542" w:rsidRPr="005E324A">
        <w:rPr>
          <w:rFonts w:eastAsiaTheme="minorEastAsia"/>
          <w:b/>
          <w:color w:val="000000"/>
          <w:kern w:val="0"/>
          <w:sz w:val="24"/>
        </w:rPr>
        <w:t>其他</w:t>
      </w:r>
      <w:r w:rsidR="00AD25F6" w:rsidRPr="005E324A">
        <w:rPr>
          <w:rFonts w:eastAsiaTheme="minorEastAsia"/>
          <w:b/>
          <w:color w:val="000000"/>
          <w:kern w:val="0"/>
          <w:sz w:val="24"/>
        </w:rPr>
        <w:t>各项</w:t>
      </w:r>
      <w:r w:rsidR="00220542" w:rsidRPr="005E324A">
        <w:rPr>
          <w:rFonts w:eastAsiaTheme="minorEastAsia"/>
          <w:b/>
          <w:color w:val="000000"/>
          <w:kern w:val="0"/>
          <w:sz w:val="24"/>
        </w:rPr>
        <w:t>资产构成</w:t>
      </w:r>
    </w:p>
    <w:p w:rsidR="00AD5B9B" w:rsidRPr="00AD5B9B" w:rsidRDefault="00AD5B9B" w:rsidP="00AD5B9B">
      <w:pPr>
        <w:autoSpaceDE w:val="0"/>
        <w:autoSpaceDN w:val="0"/>
        <w:adjustRightInd w:val="0"/>
        <w:spacing w:line="360" w:lineRule="auto"/>
        <w:jc w:val="right"/>
        <w:rPr>
          <w:rFonts w:eastAsiaTheme="minorEastAsia"/>
          <w:color w:val="000000"/>
          <w:kern w:val="0"/>
          <w:sz w:val="24"/>
        </w:rPr>
      </w:pPr>
      <w:r w:rsidRPr="00AD5B9B">
        <w:rPr>
          <w:rFonts w:eastAsiaTheme="minorEastAsia" w:hint="eastAsia"/>
          <w:color w:val="000000"/>
          <w:kern w:val="0"/>
          <w:sz w:val="24"/>
        </w:rPr>
        <w:t>金额单位：人民币元</w:t>
      </w:r>
    </w:p>
    <w:tbl>
      <w:tblPr>
        <w:tblStyle w:val="af7"/>
        <w:tblW w:w="0" w:type="auto"/>
        <w:tblLayout w:type="fixed"/>
        <w:tblLook w:val="04A0" w:firstRow="1" w:lastRow="0" w:firstColumn="1" w:lastColumn="0" w:noHBand="0" w:noVBand="1"/>
      </w:tblPr>
      <w:tblGrid>
        <w:gridCol w:w="959"/>
        <w:gridCol w:w="2761"/>
        <w:gridCol w:w="4808"/>
      </w:tblGrid>
      <w:tr w:rsidR="00F46DF9" w:rsidRPr="005E324A" w:rsidTr="00691D14">
        <w:tc>
          <w:tcPr>
            <w:tcW w:w="959"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序号</w:t>
            </w:r>
          </w:p>
        </w:tc>
        <w:tc>
          <w:tcPr>
            <w:tcW w:w="2761"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名称</w:t>
            </w:r>
          </w:p>
        </w:tc>
        <w:tc>
          <w:tcPr>
            <w:tcW w:w="4808" w:type="dxa"/>
          </w:tcPr>
          <w:p w:rsidR="00F46DF9" w:rsidRPr="005E324A" w:rsidRDefault="00AD5B9B" w:rsidP="00723EC0">
            <w:pPr>
              <w:autoSpaceDE w:val="0"/>
              <w:autoSpaceDN w:val="0"/>
              <w:adjustRightInd w:val="0"/>
              <w:spacing w:line="360" w:lineRule="auto"/>
              <w:jc w:val="center"/>
              <w:rPr>
                <w:rFonts w:eastAsiaTheme="minorEastAsia"/>
                <w:color w:val="000000"/>
                <w:sz w:val="24"/>
              </w:rPr>
            </w:pPr>
            <w:r>
              <w:rPr>
                <w:rFonts w:eastAsiaTheme="minorEastAsia"/>
                <w:color w:val="000000"/>
                <w:sz w:val="24"/>
              </w:rPr>
              <w:t>金额</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kern w:val="0"/>
                <w:sz w:val="24"/>
              </w:rPr>
            </w:pPr>
            <w:r w:rsidRPr="005E324A">
              <w:rPr>
                <w:rFonts w:eastAsiaTheme="minorEastAsia"/>
                <w:color w:val="000000"/>
                <w:sz w:val="24"/>
              </w:rPr>
              <w:t>1</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存出保证金</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2,551.45</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2</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应收证券清算款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3</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应收股利</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4</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应收利息</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953.62</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5</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应收申购款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31,677.63</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6</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其他应收款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465C86">
        <w:tc>
          <w:tcPr>
            <w:tcW w:w="959" w:type="dxa"/>
          </w:tcPr>
          <w:p w:rsidR="00952F4F" w:rsidRPr="005E324A" w:rsidRDefault="00952F4F" w:rsidP="00952F4F">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7</w:t>
            </w:r>
          </w:p>
        </w:tc>
        <w:tc>
          <w:tcPr>
            <w:tcW w:w="2761" w:type="dxa"/>
          </w:tcPr>
          <w:p w:rsidR="00952F4F" w:rsidRPr="005E324A" w:rsidRDefault="00952F4F" w:rsidP="00952F4F">
            <w:pPr>
              <w:autoSpaceDE w:val="0"/>
              <w:autoSpaceDN w:val="0"/>
              <w:adjustRightInd w:val="0"/>
              <w:spacing w:before="29" w:line="360" w:lineRule="auto"/>
              <w:ind w:leftChars="50" w:left="105"/>
              <w:rPr>
                <w:rFonts w:eastAsiaTheme="minorEastAsia"/>
                <w:color w:val="000000"/>
                <w:sz w:val="24"/>
              </w:rPr>
            </w:pPr>
            <w:r w:rsidRPr="005E324A">
              <w:rPr>
                <w:rFonts w:eastAsiaTheme="minorEastAsia"/>
                <w:color w:val="000000"/>
                <w:sz w:val="24"/>
              </w:rPr>
              <w:t>待摊费用</w:t>
            </w:r>
          </w:p>
        </w:tc>
        <w:tc>
          <w:tcPr>
            <w:tcW w:w="4808" w:type="dxa"/>
            <w:vAlign w:val="center"/>
          </w:tcPr>
          <w:p w:rsidR="00952F4F" w:rsidRPr="005E324A" w:rsidRDefault="00952F4F" w:rsidP="00952F4F">
            <w:pPr>
              <w:autoSpaceDE w:val="0"/>
              <w:autoSpaceDN w:val="0"/>
              <w:adjustRightInd w:val="0"/>
              <w:spacing w:before="29" w:line="360" w:lineRule="auto"/>
              <w:ind w:left="15"/>
              <w:jc w:val="right"/>
              <w:rPr>
                <w:rFonts w:eastAsiaTheme="minorEastAsia"/>
                <w:color w:val="000000"/>
                <w:sz w:val="24"/>
              </w:rPr>
            </w:pPr>
            <w:r w:rsidRPr="005E324A">
              <w:rPr>
                <w:rFonts w:eastAsiaTheme="minorEastAsia"/>
                <w:color w:val="00000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8</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9</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合计</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35,182.70</w:t>
            </w:r>
          </w:p>
        </w:tc>
      </w:tr>
    </w:tbl>
    <w:p w:rsidR="00220542"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5.11.4</w:t>
      </w:r>
      <w:r w:rsidR="00220542" w:rsidRPr="005E324A">
        <w:rPr>
          <w:rFonts w:eastAsiaTheme="minorEastAsia"/>
          <w:b/>
          <w:color w:val="000000"/>
          <w:kern w:val="0"/>
          <w:sz w:val="24"/>
        </w:rPr>
        <w:t>报告期末持有的处于转股期的可转换债券明细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本基金本报告期末未持有处于转股期的可转换债券。</w:t>
      </w: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w:t>
      </w:r>
      <w:r w:rsidR="00EE53E7" w:rsidRPr="005E324A">
        <w:rPr>
          <w:rFonts w:eastAsiaTheme="minorEastAsia"/>
          <w:b/>
          <w:bCs/>
          <w:color w:val="000000"/>
          <w:kern w:val="0"/>
          <w:sz w:val="24"/>
        </w:rPr>
        <w:t>报告</w:t>
      </w:r>
      <w:r w:rsidR="00EE53E7" w:rsidRPr="005E324A">
        <w:rPr>
          <w:rFonts w:eastAsiaTheme="minorEastAsia"/>
          <w:b/>
          <w:sz w:val="24"/>
        </w:rPr>
        <w:t>期末投资的</w:t>
      </w:r>
      <w:r w:rsidR="00055190" w:rsidRPr="005E324A">
        <w:rPr>
          <w:rFonts w:eastAsiaTheme="minorEastAsia"/>
          <w:b/>
          <w:sz w:val="24"/>
        </w:rPr>
        <w:t>股票中存在流通受限情况的说明</w:t>
      </w:r>
    </w:p>
    <w:p w:rsidR="00634900" w:rsidRDefault="001C123E" w:rsidP="005768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kern w:val="0"/>
          <w:sz w:val="24"/>
        </w:rPr>
      </w:pPr>
      <w:r w:rsidRPr="005E324A">
        <w:rPr>
          <w:rFonts w:eastAsiaTheme="minorEastAsia"/>
          <w:b/>
          <w:bCs/>
          <w:color w:val="000000"/>
          <w:kern w:val="0"/>
          <w:sz w:val="24"/>
        </w:rPr>
        <w:t>5.11.5.1</w:t>
      </w:r>
      <w:r w:rsidR="00EE53E7" w:rsidRPr="005E324A">
        <w:rPr>
          <w:rFonts w:eastAsiaTheme="minorEastAsia"/>
          <w:b/>
          <w:bCs/>
          <w:color w:val="000000"/>
          <w:kern w:val="0"/>
          <w:sz w:val="24"/>
        </w:rPr>
        <w:t>报告</w:t>
      </w:r>
      <w:r w:rsidR="00634900" w:rsidRPr="005E324A">
        <w:rPr>
          <w:b/>
          <w:kern w:val="0"/>
          <w:sz w:val="24"/>
        </w:rPr>
        <w:t>期末指数投资前十名股票中存在流通受限情况的说明</w:t>
      </w:r>
    </w:p>
    <w:p w:rsidR="005D44E4" w:rsidRPr="005E324A"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本基金本报告期末前十名股票中不存在流通受限情况。</w:t>
      </w: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5.11.5.2</w:t>
      </w:r>
      <w:r w:rsidR="006B7BC0" w:rsidRPr="005E324A">
        <w:rPr>
          <w:rFonts w:eastAsiaTheme="minorEastAsia"/>
          <w:b/>
          <w:bCs/>
          <w:color w:val="000000"/>
          <w:kern w:val="0"/>
          <w:sz w:val="24"/>
        </w:rPr>
        <w:t>报告</w:t>
      </w:r>
      <w:r w:rsidR="005D44E4" w:rsidRPr="005E324A">
        <w:rPr>
          <w:rFonts w:eastAsiaTheme="minorEastAsia"/>
          <w:b/>
          <w:sz w:val="24"/>
        </w:rPr>
        <w:t>期末积极投资前五名股票中存在流通受限情况的说明</w:t>
      </w:r>
    </w:p>
    <w:p w:rsidR="005D44E4" w:rsidRPr="005E324A"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本基金本报告期末未持有积极投资股票。</w:t>
      </w:r>
    </w:p>
    <w:p w:rsidR="000627CD" w:rsidRPr="005E324A" w:rsidRDefault="000627CD" w:rsidP="00576862">
      <w:pPr>
        <w:spacing w:line="360" w:lineRule="auto"/>
        <w:rPr>
          <w:rFonts w:eastAsiaTheme="minorEastAsia"/>
          <w:bCs/>
          <w:color w:val="000000"/>
          <w:sz w:val="24"/>
        </w:rPr>
      </w:pPr>
    </w:p>
    <w:p w:rsidR="00220542" w:rsidRPr="005E324A" w:rsidRDefault="001C123E" w:rsidP="00576862">
      <w:pPr>
        <w:spacing w:line="360" w:lineRule="auto"/>
        <w:rPr>
          <w:rFonts w:eastAsiaTheme="minorEastAsia"/>
          <w:b/>
          <w:color w:val="000000"/>
          <w:sz w:val="24"/>
        </w:rPr>
      </w:pPr>
      <w:r w:rsidRPr="005E324A">
        <w:rPr>
          <w:rFonts w:eastAsiaTheme="minorEastAsia"/>
          <w:b/>
          <w:bCs/>
          <w:color w:val="000000"/>
          <w:kern w:val="0"/>
          <w:sz w:val="24"/>
        </w:rPr>
        <w:t>5.11.6</w:t>
      </w:r>
      <w:r w:rsidR="006B5B3E" w:rsidRPr="005E324A">
        <w:rPr>
          <w:rFonts w:eastAsiaTheme="minorEastAsia"/>
          <w:b/>
          <w:bCs/>
          <w:color w:val="000000"/>
          <w:kern w:val="0"/>
          <w:sz w:val="24"/>
        </w:rPr>
        <w:t>投资组合报告附注的其他文字描述部分</w:t>
      </w:r>
    </w:p>
    <w:p w:rsidR="00220542" w:rsidRPr="005E324A" w:rsidRDefault="007A6BEA" w:rsidP="00576862">
      <w:pPr>
        <w:spacing w:line="360" w:lineRule="auto"/>
        <w:ind w:firstLineChars="200" w:firstLine="480"/>
        <w:rPr>
          <w:rFonts w:eastAsiaTheme="minorEastAsia"/>
          <w:color w:val="000000"/>
          <w:sz w:val="24"/>
        </w:rPr>
      </w:pPr>
      <w:r w:rsidRPr="005E324A">
        <w:rPr>
          <w:rFonts w:eastAsiaTheme="minorEastAsia"/>
          <w:color w:val="000000"/>
          <w:kern w:val="0"/>
          <w:sz w:val="24"/>
        </w:rPr>
        <w:t>由于四舍五入的原因，分项之和与合计项之间可能存在尾差。</w:t>
      </w:r>
    </w:p>
    <w:p w:rsidR="00220542" w:rsidRPr="005E324A" w:rsidRDefault="00A52ACA" w:rsidP="00707017">
      <w:pPr>
        <w:pStyle w:val="1"/>
        <w:spacing w:beforeLines="100" w:before="312" w:afterLines="100" w:after="312" w:line="360"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Pr>
          <w:rFonts w:eastAsiaTheme="minorEastAsia" w:hint="eastAsia"/>
          <w:color w:val="000000"/>
          <w:kern w:val="0"/>
          <w:sz w:val="24"/>
          <w:szCs w:val="24"/>
        </w:rPr>
        <w:t xml:space="preserve"> </w:t>
      </w:r>
      <w:r w:rsidR="00740E8D">
        <w:rPr>
          <w:rFonts w:eastAsiaTheme="minorEastAsia"/>
          <w:color w:val="000000"/>
          <w:kern w:val="0"/>
          <w:sz w:val="24"/>
          <w:szCs w:val="24"/>
        </w:rPr>
        <w:t xml:space="preserve"> </w:t>
      </w:r>
      <w:r w:rsidR="00220542" w:rsidRPr="005E324A">
        <w:rPr>
          <w:rFonts w:eastAsiaTheme="minorEastAsia"/>
          <w:color w:val="000000"/>
          <w:kern w:val="0"/>
          <w:sz w:val="24"/>
          <w:szCs w:val="24"/>
        </w:rPr>
        <w:t>开放式基金份额变动</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单位：份</w:t>
      </w:r>
    </w:p>
    <w:tbl>
      <w:tblPr>
        <w:tblW w:w="8719" w:type="dxa"/>
        <w:tblInd w:w="-106" w:type="dxa"/>
        <w:tblLayout w:type="fixed"/>
        <w:tblLook w:val="0000" w:firstRow="0" w:lastRow="0" w:firstColumn="0" w:lastColumn="0" w:noHBand="0" w:noVBand="0"/>
      </w:tblPr>
      <w:tblGrid>
        <w:gridCol w:w="1774"/>
        <w:gridCol w:w="2409"/>
        <w:gridCol w:w="2410"/>
        <w:gridCol w:w="2126"/>
      </w:tblGrid>
      <w:tr w:rsidR="00745829"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项目</w:t>
            </w:r>
          </w:p>
        </w:tc>
        <w:tc>
          <w:tcPr>
            <w:tcW w:w="2409"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5B14F0">
            <w:pPr>
              <w:autoSpaceDE w:val="0"/>
              <w:autoSpaceDN w:val="0"/>
              <w:adjustRightInd w:val="0"/>
              <w:spacing w:before="29" w:line="360" w:lineRule="auto"/>
              <w:ind w:left="17"/>
              <w:jc w:val="right"/>
              <w:rPr>
                <w:rFonts w:eastAsiaTheme="minorEastAsia"/>
                <w:sz w:val="24"/>
              </w:rPr>
            </w:pPr>
            <w:r w:rsidRPr="005E324A">
              <w:rPr>
                <w:rFonts w:eastAsiaTheme="minorEastAsia"/>
                <w:sz w:val="24"/>
              </w:rPr>
              <w:t>E</w:t>
            </w:r>
            <w:r w:rsidRPr="005E324A">
              <w:rPr>
                <w:rFonts w:eastAsiaTheme="minorEastAsia"/>
                <w:sz w:val="24"/>
              </w:rPr>
              <w:t>金融</w:t>
            </w:r>
          </w:p>
        </w:tc>
        <w:tc>
          <w:tcPr>
            <w:tcW w:w="2410"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E</w:t>
            </w:r>
            <w:r w:rsidRPr="005E324A">
              <w:rPr>
                <w:rFonts w:eastAsiaTheme="minorEastAsia"/>
                <w:sz w:val="24"/>
              </w:rPr>
              <w:t>金融</w:t>
            </w:r>
            <w:r w:rsidRPr="005E324A">
              <w:rPr>
                <w:rFonts w:eastAsiaTheme="minorEastAsia"/>
                <w:sz w:val="24"/>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E</w:t>
            </w:r>
            <w:r w:rsidRPr="005E324A">
              <w:rPr>
                <w:rFonts w:eastAsiaTheme="minorEastAsia"/>
                <w:sz w:val="24"/>
              </w:rPr>
              <w:t>金融</w:t>
            </w:r>
            <w:r w:rsidRPr="005E324A">
              <w:rPr>
                <w:rFonts w:eastAsiaTheme="minorEastAsia"/>
                <w:sz w:val="24"/>
              </w:rPr>
              <w:t>B</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本报告期期初基金份额总额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88,651,677.79</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569,765.00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569,765.00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基金总申购份额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1,093,832.13</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减：</w:t>
            </w:r>
            <w:r w:rsidR="00F006CC" w:rsidRPr="005E324A">
              <w:rPr>
                <w:rFonts w:eastAsiaTheme="minorEastAsia"/>
                <w:color w:val="000000"/>
                <w:kern w:val="0"/>
                <w:sz w:val="24"/>
              </w:rPr>
              <w:t>本报告期</w:t>
            </w:r>
            <w:r w:rsidR="004A040B" w:rsidRPr="005E324A">
              <w:rPr>
                <w:rFonts w:eastAsiaTheme="minorEastAsia"/>
                <w:color w:val="000000"/>
                <w:kern w:val="0"/>
                <w:sz w:val="24"/>
              </w:rPr>
              <w:t>期间</w:t>
            </w:r>
            <w:r w:rsidRPr="005E324A">
              <w:rPr>
                <w:rFonts w:eastAsiaTheme="minorEastAsia"/>
                <w:color w:val="000000"/>
                <w:kern w:val="0"/>
                <w:sz w:val="24"/>
              </w:rPr>
              <w:t>基金总赎回份额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4,703,551.70</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491ABD">
        <w:trPr>
          <w:trHeight w:val="1718"/>
        </w:trPr>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基金拆分变动份额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-916.00</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458.00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458.00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本报告期期末基金份额总额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85,041,042.22</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570,223.00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570,223.00</w:t>
            </w:r>
          </w:p>
        </w:tc>
      </w:tr>
    </w:tbl>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注：拆分变动份额为本基金三级份额之间的配对转换份额及基金折算后调整份额。</w:t>
      </w:r>
    </w:p>
    <w:p w:rsidR="003D4E5A" w:rsidRPr="005E324A" w:rsidRDefault="003D4E5A" w:rsidP="00707017">
      <w:pPr>
        <w:pStyle w:val="1"/>
        <w:tabs>
          <w:tab w:val="center" w:pos="4156"/>
          <w:tab w:val="right" w:pos="8312"/>
        </w:tabs>
        <w:spacing w:beforeLines="100" w:before="312" w:afterLines="100" w:after="312" w:line="360" w:lineRule="auto"/>
        <w:jc w:val="center"/>
        <w:rPr>
          <w:sz w:val="24"/>
          <w:szCs w:val="24"/>
        </w:rPr>
      </w:pPr>
      <w:r w:rsidRPr="005E324A">
        <w:rPr>
          <w:rFonts w:eastAsiaTheme="minorEastAsia"/>
          <w:color w:val="000000"/>
          <w:kern w:val="0"/>
          <w:sz w:val="24"/>
          <w:szCs w:val="24"/>
        </w:rPr>
        <w:t xml:space="preserve">§7  </w:t>
      </w:r>
      <w:r w:rsidRPr="005E324A">
        <w:rPr>
          <w:sz w:val="24"/>
          <w:szCs w:val="24"/>
        </w:rPr>
        <w:t>基金管理人运用固有资金投资本基金情况</w:t>
      </w:r>
    </w:p>
    <w:p w:rsidR="003D4E5A" w:rsidRPr="005E324A" w:rsidRDefault="003D4E5A" w:rsidP="003D4E5A">
      <w:pPr>
        <w:spacing w:line="360" w:lineRule="auto"/>
        <w:jc w:val="left"/>
        <w:rPr>
          <w:sz w:val="24"/>
        </w:rPr>
      </w:pPr>
      <w:r w:rsidRPr="005E324A">
        <w:rPr>
          <w:b/>
          <w:sz w:val="24"/>
        </w:rPr>
        <w:t xml:space="preserve">7.1 </w:t>
      </w:r>
      <w:r w:rsidRPr="005E324A">
        <w:rPr>
          <w:b/>
          <w:sz w:val="24"/>
        </w:rPr>
        <w:t>基金管理人持有本基金份额变动情况</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本报告期内未发生基金管理人运用固有资金投资本基金的情况。</w:t>
      </w:r>
    </w:p>
    <w:p w:rsidR="003D4E5A" w:rsidRPr="005E324A" w:rsidRDefault="003D4E5A" w:rsidP="003D4E5A">
      <w:pPr>
        <w:spacing w:line="360" w:lineRule="auto"/>
        <w:jc w:val="left"/>
        <w:rPr>
          <w:sz w:val="24"/>
        </w:rPr>
      </w:pPr>
      <w:r w:rsidRPr="005E324A">
        <w:rPr>
          <w:b/>
          <w:sz w:val="24"/>
        </w:rPr>
        <w:t xml:space="preserve">7.2 </w:t>
      </w:r>
      <w:r w:rsidRPr="005E324A">
        <w:rPr>
          <w:b/>
          <w:sz w:val="24"/>
        </w:rPr>
        <w:t>基金管理人运用固有资金投资本基金交易明细</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本基金管理人本报告期内未进行本基金的申购、赎回、红利再投等。</w:t>
      </w: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w:t>
      </w:r>
      <w:r w:rsidR="00CC0994" w:rsidRPr="005E324A">
        <w:rPr>
          <w:rFonts w:eastAsiaTheme="minorEastAsia"/>
          <w:color w:val="000000"/>
          <w:kern w:val="0"/>
          <w:sz w:val="24"/>
          <w:szCs w:val="24"/>
        </w:rPr>
        <w:t>8</w:t>
      </w:r>
      <w:r w:rsidR="00740E8D">
        <w:rPr>
          <w:rFonts w:eastAsiaTheme="minorEastAsia"/>
          <w:color w:val="000000"/>
          <w:kern w:val="0"/>
          <w:sz w:val="24"/>
          <w:szCs w:val="24"/>
        </w:rPr>
        <w:t xml:space="preserve">  </w:t>
      </w:r>
      <w:r w:rsidRPr="005E324A">
        <w:rPr>
          <w:rFonts w:eastAsiaTheme="minorEastAsia"/>
          <w:color w:val="000000"/>
          <w:kern w:val="0"/>
          <w:sz w:val="24"/>
          <w:szCs w:val="24"/>
        </w:rPr>
        <w:t>备查文件目录</w:t>
      </w:r>
    </w:p>
    <w:p w:rsidR="00220542" w:rsidRPr="005E324A" w:rsidRDefault="00CC0994" w:rsidP="001078B6">
      <w:pPr>
        <w:spacing w:line="360" w:lineRule="auto"/>
        <w:rPr>
          <w:rFonts w:eastAsiaTheme="minorEastAsia"/>
          <w:b/>
          <w:color w:val="000000"/>
          <w:kern w:val="0"/>
          <w:sz w:val="24"/>
        </w:rPr>
      </w:pPr>
      <w:r w:rsidRPr="005E324A">
        <w:rPr>
          <w:rFonts w:eastAsiaTheme="minorEastAsia"/>
          <w:b/>
          <w:color w:val="000000"/>
          <w:sz w:val="24"/>
        </w:rPr>
        <w:t>8</w:t>
      </w:r>
      <w:r w:rsidR="004A3F71" w:rsidRPr="005E324A">
        <w:rPr>
          <w:rFonts w:eastAsiaTheme="minorEastAsia"/>
          <w:b/>
          <w:color w:val="000000"/>
          <w:sz w:val="24"/>
        </w:rPr>
        <w:t>.1</w:t>
      </w:r>
      <w:r w:rsidR="00220542" w:rsidRPr="005E324A">
        <w:rPr>
          <w:rFonts w:eastAsiaTheme="minorEastAsia"/>
          <w:b/>
          <w:color w:val="000000"/>
          <w:sz w:val="24"/>
        </w:rPr>
        <w:t>备查文件目录</w:t>
      </w:r>
    </w:p>
    <w:p w:rsidR="0046285D" w:rsidRDefault="00E078E0">
      <w:pPr>
        <w:spacing w:line="360"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、中国证监会准予交银施罗德中证互联网金融指数分级证券投资基金募集注册的文件；</w:t>
      </w:r>
      <w:r>
        <w:rPr>
          <w:rFonts w:eastAsiaTheme="minorEastAsia"/>
          <w:color w:val="000000"/>
          <w:sz w:val="24"/>
        </w:rPr>
        <w:t xml:space="preserve"> </w:t>
      </w:r>
    </w:p>
    <w:p w:rsidR="0046285D" w:rsidRDefault="00E078E0">
      <w:pPr>
        <w:spacing w:line="360"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、《交银施罗德中证互联网金融指数分级证券投资基金基金合同》；</w:t>
      </w:r>
    </w:p>
    <w:p w:rsidR="0046285D" w:rsidRDefault="00E078E0">
      <w:pPr>
        <w:spacing w:line="360"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、《交银施罗德中证互联网金融指数分级证券投资基金招募说明书》；</w:t>
      </w:r>
      <w:r>
        <w:rPr>
          <w:rFonts w:eastAsiaTheme="minorEastAsia"/>
          <w:color w:val="000000"/>
          <w:sz w:val="24"/>
        </w:rPr>
        <w:t xml:space="preserve"> </w:t>
      </w:r>
    </w:p>
    <w:p w:rsidR="0046285D" w:rsidRDefault="00E078E0">
      <w:pPr>
        <w:spacing w:line="360"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、《交银施罗德中证互联网金融指数分级证券投资基金托管协议》；</w:t>
      </w:r>
      <w:r>
        <w:rPr>
          <w:rFonts w:eastAsiaTheme="minorEastAsia"/>
          <w:color w:val="000000"/>
          <w:sz w:val="24"/>
        </w:rPr>
        <w:t xml:space="preserve"> </w:t>
      </w:r>
    </w:p>
    <w:p w:rsidR="0046285D" w:rsidRDefault="00E078E0">
      <w:pPr>
        <w:spacing w:line="360"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46285D" w:rsidRDefault="00E078E0">
      <w:pPr>
        <w:spacing w:line="360"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46285D" w:rsidRDefault="00E078E0">
      <w:pPr>
        <w:spacing w:line="360"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、关于申请募集注册交银施罗德中证互联网金融指数分级证券投资基金的法律意见书；</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8</w:t>
      </w:r>
      <w:r w:rsidRPr="005E324A">
        <w:rPr>
          <w:rFonts w:eastAsiaTheme="minorEastAsia"/>
          <w:color w:val="000000"/>
          <w:sz w:val="24"/>
        </w:rPr>
        <w:t>、报告期内交银施罗德中证互联网金融指数分级证券投资基金在指定报刊上各项公告的原稿。</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8.2</w:t>
      </w:r>
      <w:r w:rsidR="00220542" w:rsidRPr="005E324A">
        <w:rPr>
          <w:rFonts w:eastAsiaTheme="minorEastAsia"/>
          <w:b/>
          <w:color w:val="000000"/>
          <w:sz w:val="24"/>
        </w:rPr>
        <w:t>存放地点</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备查文件存放于基金管理人的办公场所。</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8.3</w:t>
      </w:r>
      <w:r w:rsidR="00220542" w:rsidRPr="005E324A">
        <w:rPr>
          <w:rFonts w:eastAsiaTheme="minorEastAsia"/>
          <w:b/>
          <w:color w:val="000000"/>
          <w:sz w:val="24"/>
        </w:rPr>
        <w:t>查阅方式</w:t>
      </w:r>
    </w:p>
    <w:p w:rsidR="0046285D" w:rsidRDefault="00E078E0">
      <w:pPr>
        <w:spacing w:line="360"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066BC3" w:rsidRDefault="007A6BEA" w:rsidP="00066BC3">
      <w:pPr>
        <w:spacing w:line="360" w:lineRule="auto"/>
        <w:ind w:firstLineChars="200" w:firstLine="480"/>
        <w:rPr>
          <w:rFonts w:eastAsiaTheme="minorEastAsia"/>
          <w:color w:val="000000"/>
          <w:sz w:val="24"/>
        </w:rPr>
      </w:pPr>
      <w:r w:rsidRPr="005E324A">
        <w:rPr>
          <w:rFonts w:eastAsiaTheme="minorEastAsia"/>
          <w:color w:val="000000"/>
          <w:sz w:val="24"/>
        </w:rPr>
        <w:t>投资者对本报告书如有疑问，可咨询本基金管理人交银施罗德基金管理有限公司。本公司客户服务中心电话：</w:t>
      </w:r>
      <w:r w:rsidRPr="005E324A">
        <w:rPr>
          <w:rFonts w:eastAsiaTheme="minorEastAsia"/>
          <w:color w:val="000000"/>
          <w:sz w:val="24"/>
        </w:rPr>
        <w:t>400-700-5000</w:t>
      </w:r>
      <w:r w:rsidRPr="005E324A">
        <w:rPr>
          <w:rFonts w:eastAsiaTheme="minorEastAsia"/>
          <w:color w:val="000000"/>
          <w:sz w:val="24"/>
        </w:rPr>
        <w:t>（免长途话费），</w:t>
      </w:r>
      <w:r w:rsidRPr="005E324A">
        <w:rPr>
          <w:rFonts w:eastAsiaTheme="minorEastAsia"/>
          <w:color w:val="000000"/>
          <w:sz w:val="24"/>
        </w:rPr>
        <w:t>021-61055000</w:t>
      </w:r>
      <w:r w:rsidRPr="005E324A">
        <w:rPr>
          <w:rFonts w:eastAsiaTheme="minorEastAsia"/>
          <w:color w:val="000000"/>
          <w:sz w:val="24"/>
        </w:rPr>
        <w:t>，电子邮件：</w:t>
      </w:r>
      <w:r w:rsidRPr="005E324A">
        <w:rPr>
          <w:rFonts w:eastAsiaTheme="minorEastAsia"/>
          <w:color w:val="000000"/>
          <w:sz w:val="24"/>
        </w:rPr>
        <w:t>services@jysld.com</w:t>
      </w:r>
      <w:r w:rsidRPr="005E324A">
        <w:rPr>
          <w:rFonts w:eastAsiaTheme="minorEastAsia"/>
          <w:color w:val="000000"/>
          <w:sz w:val="24"/>
        </w:rPr>
        <w:t>。</w:t>
      </w:r>
    </w:p>
    <w:sectPr w:rsidR="009B1B32" w:rsidRPr="00066BC3" w:rsidSect="00DB4450">
      <w:footerReference w:type="even" r:id="rId14"/>
      <w:footerReference w:type="defaul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8E0" w:rsidRDefault="00E078E0">
      <w:r>
        <w:separator/>
      </w:r>
    </w:p>
  </w:endnote>
  <w:endnote w:type="continuationSeparator" w:id="0">
    <w:p w:rsidR="00E078E0" w:rsidRDefault="00E0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1D0DB0" w:rsidRDefault="003A4DA3" w:rsidP="00230A66">
    <w:pPr>
      <w:pStyle w:val="a6"/>
      <w:jc w:val="center"/>
    </w:pPr>
    <w:r>
      <w:rPr>
        <w:rFonts w:hint="eastAsia"/>
        <w:kern w:val="0"/>
        <w:szCs w:val="21"/>
      </w:rPr>
      <w:t>第</w:t>
    </w:r>
    <w:r w:rsidR="00BC7B74">
      <w:rPr>
        <w:kern w:val="0"/>
        <w:szCs w:val="21"/>
      </w:rPr>
      <w:fldChar w:fldCharType="begin"/>
    </w:r>
    <w:r>
      <w:rPr>
        <w:kern w:val="0"/>
        <w:szCs w:val="21"/>
      </w:rPr>
      <w:instrText xml:space="preserve"> PAGE </w:instrText>
    </w:r>
    <w:r w:rsidR="00BC7B74">
      <w:rPr>
        <w:kern w:val="0"/>
        <w:szCs w:val="21"/>
      </w:rPr>
      <w:fldChar w:fldCharType="separate"/>
    </w:r>
    <w:r w:rsidR="00527866">
      <w:rPr>
        <w:noProof/>
        <w:kern w:val="0"/>
        <w:szCs w:val="21"/>
      </w:rPr>
      <w:t>1</w:t>
    </w:r>
    <w:r w:rsidR="00BC7B74">
      <w:rPr>
        <w:kern w:val="0"/>
        <w:szCs w:val="21"/>
      </w:rPr>
      <w:fldChar w:fldCharType="end"/>
    </w:r>
    <w:r>
      <w:rPr>
        <w:rFonts w:hint="eastAsia"/>
        <w:kern w:val="0"/>
        <w:szCs w:val="21"/>
      </w:rPr>
      <w:t>页共</w:t>
    </w:r>
    <w:r w:rsidR="00BC7B74">
      <w:rPr>
        <w:kern w:val="0"/>
        <w:szCs w:val="21"/>
      </w:rPr>
      <w:fldChar w:fldCharType="begin"/>
    </w:r>
    <w:r>
      <w:rPr>
        <w:kern w:val="0"/>
        <w:szCs w:val="21"/>
      </w:rPr>
      <w:instrText xml:space="preserve"> NUMPAGES </w:instrText>
    </w:r>
    <w:r w:rsidR="00BC7B74">
      <w:rPr>
        <w:kern w:val="0"/>
        <w:szCs w:val="21"/>
      </w:rPr>
      <w:fldChar w:fldCharType="separate"/>
    </w:r>
    <w:r w:rsidR="00527866">
      <w:rPr>
        <w:noProof/>
        <w:kern w:val="0"/>
        <w:szCs w:val="21"/>
      </w:rPr>
      <w:t>31</w:t>
    </w:r>
    <w:r w:rsidR="00BC7B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BC7B74">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end"/>
    </w:r>
  </w:p>
  <w:p w:rsidR="003A4DA3" w:rsidRDefault="003A4DA3">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BC7B74">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separate"/>
    </w:r>
    <w:r w:rsidR="00B41949">
      <w:rPr>
        <w:rStyle w:val="a7"/>
        <w:noProof/>
      </w:rPr>
      <w:t>6</w:t>
    </w:r>
    <w:r>
      <w:rPr>
        <w:rStyle w:val="a7"/>
      </w:rPr>
      <w:fldChar w:fldCharType="end"/>
    </w:r>
  </w:p>
  <w:p w:rsidR="003A4DA3" w:rsidRDefault="003A4D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8E0" w:rsidRDefault="00E078E0">
      <w:r>
        <w:separator/>
      </w:r>
    </w:p>
  </w:footnote>
  <w:footnote w:type="continuationSeparator" w:id="0">
    <w:p w:rsidR="00E078E0" w:rsidRDefault="00E07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527866" w:rsidRDefault="00527866" w:rsidP="00527866">
    <w:pPr>
      <w:pStyle w:val="a9"/>
      <w:pBdr>
        <w:bottom w:val="single" w:sz="6" w:space="0" w:color="auto"/>
      </w:pBdr>
      <w:ind w:firstLine="480"/>
      <w:jc w:val="right"/>
      <w:rPr>
        <w:sz w:val="24"/>
        <w:szCs w:val="24"/>
      </w:rPr>
    </w:pPr>
    <w:r w:rsidRPr="003E676C">
      <w:rPr>
        <w:sz w:val="24"/>
        <w:szCs w:val="24"/>
      </w:rPr>
      <w:t>交银施罗德中证互联网金融指数分级证券投资基金</w:t>
    </w:r>
    <w:r w:rsidRPr="003E676C">
      <w:rPr>
        <w:sz w:val="24"/>
        <w:szCs w:val="24"/>
      </w:rPr>
      <w:t>2020</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10A83"/>
    <w:rsid w:val="00010A8E"/>
    <w:rsid w:val="00010AC3"/>
    <w:rsid w:val="00010CC6"/>
    <w:rsid w:val="00011EB5"/>
    <w:rsid w:val="0001280C"/>
    <w:rsid w:val="000148F1"/>
    <w:rsid w:val="0001536C"/>
    <w:rsid w:val="00017581"/>
    <w:rsid w:val="00020149"/>
    <w:rsid w:val="00020583"/>
    <w:rsid w:val="00021DD4"/>
    <w:rsid w:val="00023BE7"/>
    <w:rsid w:val="00026AAE"/>
    <w:rsid w:val="00037FCF"/>
    <w:rsid w:val="000421B8"/>
    <w:rsid w:val="0004364B"/>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66BC3"/>
    <w:rsid w:val="00070CD1"/>
    <w:rsid w:val="0007171B"/>
    <w:rsid w:val="00072E56"/>
    <w:rsid w:val="00074E9F"/>
    <w:rsid w:val="00081D05"/>
    <w:rsid w:val="00085449"/>
    <w:rsid w:val="00087CF7"/>
    <w:rsid w:val="00090B0F"/>
    <w:rsid w:val="0009101F"/>
    <w:rsid w:val="00091214"/>
    <w:rsid w:val="00094876"/>
    <w:rsid w:val="00095912"/>
    <w:rsid w:val="00095CE0"/>
    <w:rsid w:val="00096933"/>
    <w:rsid w:val="00097230"/>
    <w:rsid w:val="0009778D"/>
    <w:rsid w:val="000A44BE"/>
    <w:rsid w:val="000A457E"/>
    <w:rsid w:val="000A53FD"/>
    <w:rsid w:val="000A549A"/>
    <w:rsid w:val="000A72F2"/>
    <w:rsid w:val="000B0C56"/>
    <w:rsid w:val="000B3E43"/>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34E1"/>
    <w:rsid w:val="000F60FF"/>
    <w:rsid w:val="000F635F"/>
    <w:rsid w:val="000F6C61"/>
    <w:rsid w:val="001008A1"/>
    <w:rsid w:val="00100C12"/>
    <w:rsid w:val="00102E56"/>
    <w:rsid w:val="001049B6"/>
    <w:rsid w:val="001051C6"/>
    <w:rsid w:val="001078B6"/>
    <w:rsid w:val="0011177A"/>
    <w:rsid w:val="00116E31"/>
    <w:rsid w:val="00120BED"/>
    <w:rsid w:val="0012304E"/>
    <w:rsid w:val="001248EF"/>
    <w:rsid w:val="001257C7"/>
    <w:rsid w:val="00126DDF"/>
    <w:rsid w:val="001270BF"/>
    <w:rsid w:val="00127BAC"/>
    <w:rsid w:val="00134868"/>
    <w:rsid w:val="001366D4"/>
    <w:rsid w:val="00142A56"/>
    <w:rsid w:val="00144DF5"/>
    <w:rsid w:val="00145A97"/>
    <w:rsid w:val="00146485"/>
    <w:rsid w:val="00147338"/>
    <w:rsid w:val="001506B4"/>
    <w:rsid w:val="00150A6E"/>
    <w:rsid w:val="00150AD6"/>
    <w:rsid w:val="00153B40"/>
    <w:rsid w:val="00154ADA"/>
    <w:rsid w:val="00154D81"/>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EF3"/>
    <w:rsid w:val="00182F00"/>
    <w:rsid w:val="0018325A"/>
    <w:rsid w:val="00183C9E"/>
    <w:rsid w:val="00184556"/>
    <w:rsid w:val="00186199"/>
    <w:rsid w:val="00191D0B"/>
    <w:rsid w:val="001928F7"/>
    <w:rsid w:val="00194537"/>
    <w:rsid w:val="0019563C"/>
    <w:rsid w:val="00197F50"/>
    <w:rsid w:val="001A21A9"/>
    <w:rsid w:val="001A363B"/>
    <w:rsid w:val="001A59D8"/>
    <w:rsid w:val="001A5F99"/>
    <w:rsid w:val="001A5FA6"/>
    <w:rsid w:val="001B1EC4"/>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1CD7"/>
    <w:rsid w:val="001E2A6A"/>
    <w:rsid w:val="001E3DC2"/>
    <w:rsid w:val="001E56FF"/>
    <w:rsid w:val="001E5C6B"/>
    <w:rsid w:val="001E6E4D"/>
    <w:rsid w:val="001F03E1"/>
    <w:rsid w:val="001F218E"/>
    <w:rsid w:val="001F3CC6"/>
    <w:rsid w:val="001F40BA"/>
    <w:rsid w:val="001F4530"/>
    <w:rsid w:val="001F4905"/>
    <w:rsid w:val="002010DE"/>
    <w:rsid w:val="00202968"/>
    <w:rsid w:val="00202C32"/>
    <w:rsid w:val="00203AEF"/>
    <w:rsid w:val="00210344"/>
    <w:rsid w:val="00211A26"/>
    <w:rsid w:val="002125F7"/>
    <w:rsid w:val="00213171"/>
    <w:rsid w:val="00214463"/>
    <w:rsid w:val="002146DA"/>
    <w:rsid w:val="00214756"/>
    <w:rsid w:val="00215CF2"/>
    <w:rsid w:val="00215E33"/>
    <w:rsid w:val="00220542"/>
    <w:rsid w:val="00220684"/>
    <w:rsid w:val="00221174"/>
    <w:rsid w:val="00225ADC"/>
    <w:rsid w:val="00230732"/>
    <w:rsid w:val="00230A66"/>
    <w:rsid w:val="00230EC2"/>
    <w:rsid w:val="00233896"/>
    <w:rsid w:val="002359EB"/>
    <w:rsid w:val="002363AB"/>
    <w:rsid w:val="0024172D"/>
    <w:rsid w:val="0024260D"/>
    <w:rsid w:val="00243E40"/>
    <w:rsid w:val="00245012"/>
    <w:rsid w:val="0024504E"/>
    <w:rsid w:val="0024554B"/>
    <w:rsid w:val="0024651F"/>
    <w:rsid w:val="00250BE3"/>
    <w:rsid w:val="00251290"/>
    <w:rsid w:val="0025158D"/>
    <w:rsid w:val="00251D17"/>
    <w:rsid w:val="0025281A"/>
    <w:rsid w:val="00253D3C"/>
    <w:rsid w:val="0025435F"/>
    <w:rsid w:val="00255292"/>
    <w:rsid w:val="00260200"/>
    <w:rsid w:val="00263563"/>
    <w:rsid w:val="002648D8"/>
    <w:rsid w:val="00270548"/>
    <w:rsid w:val="00272E0C"/>
    <w:rsid w:val="00273F86"/>
    <w:rsid w:val="002752B0"/>
    <w:rsid w:val="002774F0"/>
    <w:rsid w:val="0028459B"/>
    <w:rsid w:val="00284C5F"/>
    <w:rsid w:val="002873F0"/>
    <w:rsid w:val="00292198"/>
    <w:rsid w:val="00295CC6"/>
    <w:rsid w:val="002964F9"/>
    <w:rsid w:val="002A1F14"/>
    <w:rsid w:val="002A2678"/>
    <w:rsid w:val="002A2E01"/>
    <w:rsid w:val="002A398F"/>
    <w:rsid w:val="002A44F9"/>
    <w:rsid w:val="002A5C6B"/>
    <w:rsid w:val="002A5D31"/>
    <w:rsid w:val="002A714F"/>
    <w:rsid w:val="002B1851"/>
    <w:rsid w:val="002B27FF"/>
    <w:rsid w:val="002B4429"/>
    <w:rsid w:val="002B4820"/>
    <w:rsid w:val="002B6793"/>
    <w:rsid w:val="002C1726"/>
    <w:rsid w:val="002C1DF3"/>
    <w:rsid w:val="002C21A6"/>
    <w:rsid w:val="002C26D5"/>
    <w:rsid w:val="002C2C24"/>
    <w:rsid w:val="002C5777"/>
    <w:rsid w:val="002D1791"/>
    <w:rsid w:val="002D32E3"/>
    <w:rsid w:val="002E0FEB"/>
    <w:rsid w:val="002E1EBA"/>
    <w:rsid w:val="002E45F3"/>
    <w:rsid w:val="002E7966"/>
    <w:rsid w:val="002F0F79"/>
    <w:rsid w:val="002F280E"/>
    <w:rsid w:val="002F3709"/>
    <w:rsid w:val="002F3A6C"/>
    <w:rsid w:val="002F4296"/>
    <w:rsid w:val="002F74B7"/>
    <w:rsid w:val="00300951"/>
    <w:rsid w:val="003023C9"/>
    <w:rsid w:val="00302CA8"/>
    <w:rsid w:val="00302DE9"/>
    <w:rsid w:val="003041B1"/>
    <w:rsid w:val="00305084"/>
    <w:rsid w:val="00307735"/>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22AA"/>
    <w:rsid w:val="0035432B"/>
    <w:rsid w:val="00357EB5"/>
    <w:rsid w:val="00361E7E"/>
    <w:rsid w:val="00370AA4"/>
    <w:rsid w:val="003713CA"/>
    <w:rsid w:val="00371FF4"/>
    <w:rsid w:val="00373015"/>
    <w:rsid w:val="00377520"/>
    <w:rsid w:val="00380D36"/>
    <w:rsid w:val="003822D3"/>
    <w:rsid w:val="0038308F"/>
    <w:rsid w:val="0038409E"/>
    <w:rsid w:val="00386630"/>
    <w:rsid w:val="00390522"/>
    <w:rsid w:val="00390B25"/>
    <w:rsid w:val="00390C86"/>
    <w:rsid w:val="00397156"/>
    <w:rsid w:val="00397960"/>
    <w:rsid w:val="003A0A5A"/>
    <w:rsid w:val="003A12DE"/>
    <w:rsid w:val="003A3BC4"/>
    <w:rsid w:val="003A458A"/>
    <w:rsid w:val="003A4DA3"/>
    <w:rsid w:val="003A52D2"/>
    <w:rsid w:val="003B07C8"/>
    <w:rsid w:val="003B2082"/>
    <w:rsid w:val="003B2A2E"/>
    <w:rsid w:val="003B2F13"/>
    <w:rsid w:val="003B405E"/>
    <w:rsid w:val="003B57D3"/>
    <w:rsid w:val="003C1F58"/>
    <w:rsid w:val="003C792F"/>
    <w:rsid w:val="003D124B"/>
    <w:rsid w:val="003D18F3"/>
    <w:rsid w:val="003D4E5A"/>
    <w:rsid w:val="003D5951"/>
    <w:rsid w:val="003D78B5"/>
    <w:rsid w:val="003E1062"/>
    <w:rsid w:val="003E244F"/>
    <w:rsid w:val="003E3AE8"/>
    <w:rsid w:val="003E5D05"/>
    <w:rsid w:val="003E62A6"/>
    <w:rsid w:val="003E695F"/>
    <w:rsid w:val="003E6C9B"/>
    <w:rsid w:val="003E709C"/>
    <w:rsid w:val="003E7B89"/>
    <w:rsid w:val="003F20D3"/>
    <w:rsid w:val="003F4241"/>
    <w:rsid w:val="003F7C45"/>
    <w:rsid w:val="0040132C"/>
    <w:rsid w:val="00405085"/>
    <w:rsid w:val="004066FC"/>
    <w:rsid w:val="00407C10"/>
    <w:rsid w:val="004113B4"/>
    <w:rsid w:val="00414827"/>
    <w:rsid w:val="00414CF1"/>
    <w:rsid w:val="00416C10"/>
    <w:rsid w:val="004217C8"/>
    <w:rsid w:val="004222C8"/>
    <w:rsid w:val="0042253F"/>
    <w:rsid w:val="00424EF3"/>
    <w:rsid w:val="004268BB"/>
    <w:rsid w:val="00431047"/>
    <w:rsid w:val="004318F0"/>
    <w:rsid w:val="00431B86"/>
    <w:rsid w:val="00431BC5"/>
    <w:rsid w:val="004408EC"/>
    <w:rsid w:val="00441B38"/>
    <w:rsid w:val="00441D14"/>
    <w:rsid w:val="00441E6A"/>
    <w:rsid w:val="00443C8F"/>
    <w:rsid w:val="00452481"/>
    <w:rsid w:val="004542DD"/>
    <w:rsid w:val="00454C9D"/>
    <w:rsid w:val="00456CE0"/>
    <w:rsid w:val="004575E9"/>
    <w:rsid w:val="00457804"/>
    <w:rsid w:val="0046285D"/>
    <w:rsid w:val="004646BF"/>
    <w:rsid w:val="00464744"/>
    <w:rsid w:val="00465C86"/>
    <w:rsid w:val="004665E3"/>
    <w:rsid w:val="004731F1"/>
    <w:rsid w:val="0047652F"/>
    <w:rsid w:val="00480BC8"/>
    <w:rsid w:val="00481265"/>
    <w:rsid w:val="004814BF"/>
    <w:rsid w:val="004828AE"/>
    <w:rsid w:val="0048587E"/>
    <w:rsid w:val="00487C2B"/>
    <w:rsid w:val="00491ABD"/>
    <w:rsid w:val="0049297D"/>
    <w:rsid w:val="004929F2"/>
    <w:rsid w:val="00495A03"/>
    <w:rsid w:val="00497079"/>
    <w:rsid w:val="004A040B"/>
    <w:rsid w:val="004A1BBA"/>
    <w:rsid w:val="004A3E3C"/>
    <w:rsid w:val="004A3F71"/>
    <w:rsid w:val="004A67B5"/>
    <w:rsid w:val="004B0E6D"/>
    <w:rsid w:val="004B16E8"/>
    <w:rsid w:val="004B2326"/>
    <w:rsid w:val="004B6250"/>
    <w:rsid w:val="004B76B1"/>
    <w:rsid w:val="004C0057"/>
    <w:rsid w:val="004C0541"/>
    <w:rsid w:val="004C2C46"/>
    <w:rsid w:val="004C7235"/>
    <w:rsid w:val="004C7955"/>
    <w:rsid w:val="004D047F"/>
    <w:rsid w:val="004D3249"/>
    <w:rsid w:val="004D3D96"/>
    <w:rsid w:val="004D650F"/>
    <w:rsid w:val="004E2133"/>
    <w:rsid w:val="004E32E2"/>
    <w:rsid w:val="004E5AB9"/>
    <w:rsid w:val="004E60FB"/>
    <w:rsid w:val="004F779C"/>
    <w:rsid w:val="004F7846"/>
    <w:rsid w:val="005000D4"/>
    <w:rsid w:val="005015FA"/>
    <w:rsid w:val="00505411"/>
    <w:rsid w:val="00510CAF"/>
    <w:rsid w:val="0051160A"/>
    <w:rsid w:val="00511C1E"/>
    <w:rsid w:val="005128C5"/>
    <w:rsid w:val="00514754"/>
    <w:rsid w:val="0051478B"/>
    <w:rsid w:val="0051524D"/>
    <w:rsid w:val="0051566A"/>
    <w:rsid w:val="00515D7B"/>
    <w:rsid w:val="005166E9"/>
    <w:rsid w:val="0052009E"/>
    <w:rsid w:val="00523C1F"/>
    <w:rsid w:val="00525E59"/>
    <w:rsid w:val="00527866"/>
    <w:rsid w:val="00530D61"/>
    <w:rsid w:val="005318CC"/>
    <w:rsid w:val="00531D1B"/>
    <w:rsid w:val="005349B1"/>
    <w:rsid w:val="005359A3"/>
    <w:rsid w:val="005374BC"/>
    <w:rsid w:val="00537A4E"/>
    <w:rsid w:val="00543188"/>
    <w:rsid w:val="00543367"/>
    <w:rsid w:val="00543BFA"/>
    <w:rsid w:val="005448DA"/>
    <w:rsid w:val="00547D9C"/>
    <w:rsid w:val="00547DA1"/>
    <w:rsid w:val="005505E1"/>
    <w:rsid w:val="0055513C"/>
    <w:rsid w:val="00557A54"/>
    <w:rsid w:val="00560C94"/>
    <w:rsid w:val="0056150F"/>
    <w:rsid w:val="0056291C"/>
    <w:rsid w:val="00562C0D"/>
    <w:rsid w:val="00565A63"/>
    <w:rsid w:val="00566588"/>
    <w:rsid w:val="0057155E"/>
    <w:rsid w:val="0057275D"/>
    <w:rsid w:val="00576862"/>
    <w:rsid w:val="005800A9"/>
    <w:rsid w:val="00580488"/>
    <w:rsid w:val="0058074D"/>
    <w:rsid w:val="00580FD1"/>
    <w:rsid w:val="00582FAD"/>
    <w:rsid w:val="00583489"/>
    <w:rsid w:val="005840E4"/>
    <w:rsid w:val="00585C67"/>
    <w:rsid w:val="00590FE4"/>
    <w:rsid w:val="00591D9C"/>
    <w:rsid w:val="00597057"/>
    <w:rsid w:val="00597D8B"/>
    <w:rsid w:val="005A1C30"/>
    <w:rsid w:val="005A229D"/>
    <w:rsid w:val="005A2D75"/>
    <w:rsid w:val="005A3295"/>
    <w:rsid w:val="005A46FF"/>
    <w:rsid w:val="005A5AE2"/>
    <w:rsid w:val="005B011E"/>
    <w:rsid w:val="005B03C0"/>
    <w:rsid w:val="005B14F0"/>
    <w:rsid w:val="005B2E84"/>
    <w:rsid w:val="005B7B0E"/>
    <w:rsid w:val="005C526E"/>
    <w:rsid w:val="005C5409"/>
    <w:rsid w:val="005C69AC"/>
    <w:rsid w:val="005C6DCF"/>
    <w:rsid w:val="005C722E"/>
    <w:rsid w:val="005D01A4"/>
    <w:rsid w:val="005D14DE"/>
    <w:rsid w:val="005D44E4"/>
    <w:rsid w:val="005D45B3"/>
    <w:rsid w:val="005D4CEB"/>
    <w:rsid w:val="005E0C14"/>
    <w:rsid w:val="005E1D51"/>
    <w:rsid w:val="005E324A"/>
    <w:rsid w:val="005E7140"/>
    <w:rsid w:val="005F04E6"/>
    <w:rsid w:val="005F43B9"/>
    <w:rsid w:val="005F621F"/>
    <w:rsid w:val="005F68CB"/>
    <w:rsid w:val="005F6A4A"/>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6A06"/>
    <w:rsid w:val="00657CAF"/>
    <w:rsid w:val="00661974"/>
    <w:rsid w:val="00662F58"/>
    <w:rsid w:val="006636AA"/>
    <w:rsid w:val="00664551"/>
    <w:rsid w:val="0066704D"/>
    <w:rsid w:val="006676A0"/>
    <w:rsid w:val="006706B6"/>
    <w:rsid w:val="00670857"/>
    <w:rsid w:val="00671124"/>
    <w:rsid w:val="006727B0"/>
    <w:rsid w:val="0067307E"/>
    <w:rsid w:val="006848C1"/>
    <w:rsid w:val="006868CD"/>
    <w:rsid w:val="00687AD5"/>
    <w:rsid w:val="00691D14"/>
    <w:rsid w:val="00693A72"/>
    <w:rsid w:val="00695251"/>
    <w:rsid w:val="00695296"/>
    <w:rsid w:val="00695ADE"/>
    <w:rsid w:val="00695C0D"/>
    <w:rsid w:val="00696356"/>
    <w:rsid w:val="006A5E68"/>
    <w:rsid w:val="006A72C6"/>
    <w:rsid w:val="006B02DA"/>
    <w:rsid w:val="006B10DA"/>
    <w:rsid w:val="006B2065"/>
    <w:rsid w:val="006B267A"/>
    <w:rsid w:val="006B3940"/>
    <w:rsid w:val="006B5B3E"/>
    <w:rsid w:val="006B7BC0"/>
    <w:rsid w:val="006C168D"/>
    <w:rsid w:val="006C642C"/>
    <w:rsid w:val="006C6FC6"/>
    <w:rsid w:val="006D0E4F"/>
    <w:rsid w:val="006D2BAB"/>
    <w:rsid w:val="006D676F"/>
    <w:rsid w:val="006D7693"/>
    <w:rsid w:val="006E063E"/>
    <w:rsid w:val="006E231B"/>
    <w:rsid w:val="006E346E"/>
    <w:rsid w:val="006E34B7"/>
    <w:rsid w:val="006F103E"/>
    <w:rsid w:val="006F20EC"/>
    <w:rsid w:val="006F4CD8"/>
    <w:rsid w:val="006F53D9"/>
    <w:rsid w:val="007004DC"/>
    <w:rsid w:val="007027B6"/>
    <w:rsid w:val="00703E8A"/>
    <w:rsid w:val="00707017"/>
    <w:rsid w:val="00707FB8"/>
    <w:rsid w:val="0071006D"/>
    <w:rsid w:val="00711522"/>
    <w:rsid w:val="007124FE"/>
    <w:rsid w:val="00713186"/>
    <w:rsid w:val="00713757"/>
    <w:rsid w:val="00716F79"/>
    <w:rsid w:val="00717772"/>
    <w:rsid w:val="00721AF1"/>
    <w:rsid w:val="0072280F"/>
    <w:rsid w:val="00722B5E"/>
    <w:rsid w:val="00723EC0"/>
    <w:rsid w:val="0072708F"/>
    <w:rsid w:val="00727C6C"/>
    <w:rsid w:val="0073150B"/>
    <w:rsid w:val="00732D1D"/>
    <w:rsid w:val="00736034"/>
    <w:rsid w:val="0073681C"/>
    <w:rsid w:val="00740619"/>
    <w:rsid w:val="00740E8D"/>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674F7"/>
    <w:rsid w:val="0077111A"/>
    <w:rsid w:val="00772272"/>
    <w:rsid w:val="00774535"/>
    <w:rsid w:val="007756ED"/>
    <w:rsid w:val="00775D23"/>
    <w:rsid w:val="007870FC"/>
    <w:rsid w:val="0078729B"/>
    <w:rsid w:val="00787CD0"/>
    <w:rsid w:val="00791053"/>
    <w:rsid w:val="00791A3A"/>
    <w:rsid w:val="00794196"/>
    <w:rsid w:val="007951F3"/>
    <w:rsid w:val="0079671E"/>
    <w:rsid w:val="00797637"/>
    <w:rsid w:val="007A3680"/>
    <w:rsid w:val="007A59B8"/>
    <w:rsid w:val="007A6BEA"/>
    <w:rsid w:val="007B2862"/>
    <w:rsid w:val="007B662A"/>
    <w:rsid w:val="007C45A3"/>
    <w:rsid w:val="007C6049"/>
    <w:rsid w:val="007C7E22"/>
    <w:rsid w:val="007D1C16"/>
    <w:rsid w:val="007D28C9"/>
    <w:rsid w:val="007D3CC8"/>
    <w:rsid w:val="007D47D8"/>
    <w:rsid w:val="007D62F9"/>
    <w:rsid w:val="007D63A4"/>
    <w:rsid w:val="007E008D"/>
    <w:rsid w:val="007E1AA2"/>
    <w:rsid w:val="007E1AD0"/>
    <w:rsid w:val="007E312F"/>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0096"/>
    <w:rsid w:val="008A2F16"/>
    <w:rsid w:val="008A4909"/>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E7E2C"/>
    <w:rsid w:val="008F2477"/>
    <w:rsid w:val="00900BC9"/>
    <w:rsid w:val="00900DD1"/>
    <w:rsid w:val="009010F0"/>
    <w:rsid w:val="00901162"/>
    <w:rsid w:val="0090223A"/>
    <w:rsid w:val="009028E2"/>
    <w:rsid w:val="00903210"/>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4753"/>
    <w:rsid w:val="00945CF5"/>
    <w:rsid w:val="00946EE4"/>
    <w:rsid w:val="009500A1"/>
    <w:rsid w:val="0095037E"/>
    <w:rsid w:val="009525EF"/>
    <w:rsid w:val="00952AAD"/>
    <w:rsid w:val="00952F4F"/>
    <w:rsid w:val="00954567"/>
    <w:rsid w:val="009547A9"/>
    <w:rsid w:val="00957466"/>
    <w:rsid w:val="0096260B"/>
    <w:rsid w:val="00963F05"/>
    <w:rsid w:val="00965469"/>
    <w:rsid w:val="009664D5"/>
    <w:rsid w:val="00970C69"/>
    <w:rsid w:val="00971F1C"/>
    <w:rsid w:val="0097211D"/>
    <w:rsid w:val="00972E10"/>
    <w:rsid w:val="009730E7"/>
    <w:rsid w:val="009746CA"/>
    <w:rsid w:val="0097608D"/>
    <w:rsid w:val="0097659D"/>
    <w:rsid w:val="0097692D"/>
    <w:rsid w:val="00981963"/>
    <w:rsid w:val="00983C82"/>
    <w:rsid w:val="00983D29"/>
    <w:rsid w:val="00983E6E"/>
    <w:rsid w:val="00984520"/>
    <w:rsid w:val="0098545C"/>
    <w:rsid w:val="00990AAA"/>
    <w:rsid w:val="00992BA2"/>
    <w:rsid w:val="00992F83"/>
    <w:rsid w:val="0099508A"/>
    <w:rsid w:val="00997231"/>
    <w:rsid w:val="009974EB"/>
    <w:rsid w:val="009A1126"/>
    <w:rsid w:val="009A44CF"/>
    <w:rsid w:val="009A5029"/>
    <w:rsid w:val="009A63AC"/>
    <w:rsid w:val="009B1584"/>
    <w:rsid w:val="009B1B32"/>
    <w:rsid w:val="009B21CA"/>
    <w:rsid w:val="009B2648"/>
    <w:rsid w:val="009C03E5"/>
    <w:rsid w:val="009C070C"/>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11A"/>
    <w:rsid w:val="009E6401"/>
    <w:rsid w:val="009E6C54"/>
    <w:rsid w:val="009F2261"/>
    <w:rsid w:val="009F2A25"/>
    <w:rsid w:val="009F34A7"/>
    <w:rsid w:val="009F3EB4"/>
    <w:rsid w:val="009F5235"/>
    <w:rsid w:val="009F531A"/>
    <w:rsid w:val="009F6550"/>
    <w:rsid w:val="009F7655"/>
    <w:rsid w:val="009F786E"/>
    <w:rsid w:val="00A008DA"/>
    <w:rsid w:val="00A00902"/>
    <w:rsid w:val="00A039FF"/>
    <w:rsid w:val="00A05ACE"/>
    <w:rsid w:val="00A078CB"/>
    <w:rsid w:val="00A14AE3"/>
    <w:rsid w:val="00A16675"/>
    <w:rsid w:val="00A21501"/>
    <w:rsid w:val="00A22CD6"/>
    <w:rsid w:val="00A234EC"/>
    <w:rsid w:val="00A2417A"/>
    <w:rsid w:val="00A2610D"/>
    <w:rsid w:val="00A26668"/>
    <w:rsid w:val="00A27804"/>
    <w:rsid w:val="00A36822"/>
    <w:rsid w:val="00A36AB5"/>
    <w:rsid w:val="00A37A23"/>
    <w:rsid w:val="00A411D1"/>
    <w:rsid w:val="00A43389"/>
    <w:rsid w:val="00A43E71"/>
    <w:rsid w:val="00A45753"/>
    <w:rsid w:val="00A47B15"/>
    <w:rsid w:val="00A52ACA"/>
    <w:rsid w:val="00A52F84"/>
    <w:rsid w:val="00A5533F"/>
    <w:rsid w:val="00A56B05"/>
    <w:rsid w:val="00A57678"/>
    <w:rsid w:val="00A60E2F"/>
    <w:rsid w:val="00A63284"/>
    <w:rsid w:val="00A643EB"/>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A1B53"/>
    <w:rsid w:val="00AA3556"/>
    <w:rsid w:val="00AA35FD"/>
    <w:rsid w:val="00AA3DB7"/>
    <w:rsid w:val="00AB0340"/>
    <w:rsid w:val="00AB3012"/>
    <w:rsid w:val="00AB321C"/>
    <w:rsid w:val="00AB3450"/>
    <w:rsid w:val="00AB4065"/>
    <w:rsid w:val="00AB5B99"/>
    <w:rsid w:val="00AB688F"/>
    <w:rsid w:val="00AB75EA"/>
    <w:rsid w:val="00AB7AA2"/>
    <w:rsid w:val="00AC4BC1"/>
    <w:rsid w:val="00AD04BD"/>
    <w:rsid w:val="00AD1C72"/>
    <w:rsid w:val="00AD25F6"/>
    <w:rsid w:val="00AD5B9B"/>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25CAD"/>
    <w:rsid w:val="00B306AA"/>
    <w:rsid w:val="00B32AB3"/>
    <w:rsid w:val="00B34E7C"/>
    <w:rsid w:val="00B368EA"/>
    <w:rsid w:val="00B37EEF"/>
    <w:rsid w:val="00B41949"/>
    <w:rsid w:val="00B424F8"/>
    <w:rsid w:val="00B437C5"/>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77EA4"/>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B0187"/>
    <w:rsid w:val="00BB1EB3"/>
    <w:rsid w:val="00BB2678"/>
    <w:rsid w:val="00BC013A"/>
    <w:rsid w:val="00BC1F94"/>
    <w:rsid w:val="00BC2343"/>
    <w:rsid w:val="00BC41FB"/>
    <w:rsid w:val="00BC7B74"/>
    <w:rsid w:val="00BD172A"/>
    <w:rsid w:val="00BD30C8"/>
    <w:rsid w:val="00BD3EB4"/>
    <w:rsid w:val="00BD40FB"/>
    <w:rsid w:val="00BD5C65"/>
    <w:rsid w:val="00BD71EE"/>
    <w:rsid w:val="00BE1074"/>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4D56"/>
    <w:rsid w:val="00C152FE"/>
    <w:rsid w:val="00C16739"/>
    <w:rsid w:val="00C22C7D"/>
    <w:rsid w:val="00C22CCE"/>
    <w:rsid w:val="00C231D6"/>
    <w:rsid w:val="00C23BA2"/>
    <w:rsid w:val="00C24971"/>
    <w:rsid w:val="00C272C4"/>
    <w:rsid w:val="00C31C12"/>
    <w:rsid w:val="00C32AF2"/>
    <w:rsid w:val="00C331A9"/>
    <w:rsid w:val="00C33204"/>
    <w:rsid w:val="00C338EB"/>
    <w:rsid w:val="00C3465D"/>
    <w:rsid w:val="00C35643"/>
    <w:rsid w:val="00C379E9"/>
    <w:rsid w:val="00C4274D"/>
    <w:rsid w:val="00C439FB"/>
    <w:rsid w:val="00C43F23"/>
    <w:rsid w:val="00C45069"/>
    <w:rsid w:val="00C50011"/>
    <w:rsid w:val="00C50D3F"/>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A3F"/>
    <w:rsid w:val="00C96C12"/>
    <w:rsid w:val="00C96F5F"/>
    <w:rsid w:val="00CA5927"/>
    <w:rsid w:val="00CA79EC"/>
    <w:rsid w:val="00CB0992"/>
    <w:rsid w:val="00CB39C2"/>
    <w:rsid w:val="00CB4664"/>
    <w:rsid w:val="00CB4C8C"/>
    <w:rsid w:val="00CB6782"/>
    <w:rsid w:val="00CC080A"/>
    <w:rsid w:val="00CC0994"/>
    <w:rsid w:val="00CD04B1"/>
    <w:rsid w:val="00CD0AAD"/>
    <w:rsid w:val="00CD38A5"/>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167A4"/>
    <w:rsid w:val="00D200BD"/>
    <w:rsid w:val="00D22399"/>
    <w:rsid w:val="00D33751"/>
    <w:rsid w:val="00D33924"/>
    <w:rsid w:val="00D34559"/>
    <w:rsid w:val="00D36F6E"/>
    <w:rsid w:val="00D3705B"/>
    <w:rsid w:val="00D37343"/>
    <w:rsid w:val="00D4205E"/>
    <w:rsid w:val="00D43EDF"/>
    <w:rsid w:val="00D45DB6"/>
    <w:rsid w:val="00D5574C"/>
    <w:rsid w:val="00D55B61"/>
    <w:rsid w:val="00D604CE"/>
    <w:rsid w:val="00D61982"/>
    <w:rsid w:val="00D6267A"/>
    <w:rsid w:val="00D67D12"/>
    <w:rsid w:val="00D7585A"/>
    <w:rsid w:val="00D77B06"/>
    <w:rsid w:val="00D80618"/>
    <w:rsid w:val="00D82494"/>
    <w:rsid w:val="00D84A4B"/>
    <w:rsid w:val="00D84FD2"/>
    <w:rsid w:val="00D92168"/>
    <w:rsid w:val="00D940B5"/>
    <w:rsid w:val="00D95CB0"/>
    <w:rsid w:val="00D977C0"/>
    <w:rsid w:val="00DA00A3"/>
    <w:rsid w:val="00DA13F3"/>
    <w:rsid w:val="00DA1F44"/>
    <w:rsid w:val="00DA23C3"/>
    <w:rsid w:val="00DA2DE3"/>
    <w:rsid w:val="00DA7146"/>
    <w:rsid w:val="00DA716A"/>
    <w:rsid w:val="00DB1F4F"/>
    <w:rsid w:val="00DB37EE"/>
    <w:rsid w:val="00DB4450"/>
    <w:rsid w:val="00DB7B69"/>
    <w:rsid w:val="00DC234A"/>
    <w:rsid w:val="00DC27AD"/>
    <w:rsid w:val="00DC41E4"/>
    <w:rsid w:val="00DC5116"/>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5B32"/>
    <w:rsid w:val="00E067FB"/>
    <w:rsid w:val="00E078E0"/>
    <w:rsid w:val="00E104FA"/>
    <w:rsid w:val="00E1082A"/>
    <w:rsid w:val="00E11166"/>
    <w:rsid w:val="00E11B68"/>
    <w:rsid w:val="00E13182"/>
    <w:rsid w:val="00E15383"/>
    <w:rsid w:val="00E1738C"/>
    <w:rsid w:val="00E210DA"/>
    <w:rsid w:val="00E22D28"/>
    <w:rsid w:val="00E230E3"/>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6760B"/>
    <w:rsid w:val="00E722B7"/>
    <w:rsid w:val="00E72395"/>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0A02"/>
    <w:rsid w:val="00ED48AC"/>
    <w:rsid w:val="00EE01D9"/>
    <w:rsid w:val="00EE224C"/>
    <w:rsid w:val="00EE26F3"/>
    <w:rsid w:val="00EE4874"/>
    <w:rsid w:val="00EE53E7"/>
    <w:rsid w:val="00EE68BF"/>
    <w:rsid w:val="00EE79A6"/>
    <w:rsid w:val="00EF03C6"/>
    <w:rsid w:val="00EF6111"/>
    <w:rsid w:val="00EF698A"/>
    <w:rsid w:val="00F005A0"/>
    <w:rsid w:val="00F006CC"/>
    <w:rsid w:val="00F05EAD"/>
    <w:rsid w:val="00F06616"/>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3D24"/>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85CF4"/>
    <w:rsid w:val="00F91F6D"/>
    <w:rsid w:val="00F966DC"/>
    <w:rsid w:val="00F97B71"/>
    <w:rsid w:val="00FA2DDA"/>
    <w:rsid w:val="00FA34CA"/>
    <w:rsid w:val="00FA4A55"/>
    <w:rsid w:val="00FA4D4F"/>
    <w:rsid w:val="00FA54E8"/>
    <w:rsid w:val="00FA7193"/>
    <w:rsid w:val="00FA72DD"/>
    <w:rsid w:val="00FA7910"/>
    <w:rsid w:val="00FB2D17"/>
    <w:rsid w:val="00FB2F69"/>
    <w:rsid w:val="00FB368B"/>
    <w:rsid w:val="00FB45FF"/>
    <w:rsid w:val="00FB572A"/>
    <w:rsid w:val="00FB5D97"/>
    <w:rsid w:val="00FB60BE"/>
    <w:rsid w:val="00FC1CA5"/>
    <w:rsid w:val="00FC219C"/>
    <w:rsid w:val="00FC2979"/>
    <w:rsid w:val="00FD1C3C"/>
    <w:rsid w:val="00FD1E02"/>
    <w:rsid w:val="00FD38A8"/>
    <w:rsid w:val="00FD5F64"/>
    <w:rsid w:val="00FD6AC8"/>
    <w:rsid w:val="00FE349A"/>
    <w:rsid w:val="00FE3EA1"/>
    <w:rsid w:val="00FE4818"/>
    <w:rsid w:val="00FE5D80"/>
    <w:rsid w:val="00FE67F1"/>
    <w:rsid w:val="00FF1577"/>
    <w:rsid w:val="00FF351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2EA5CF29-2580-442E-B86E-0CCBDF5D1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FD1E02"/>
    <w:pPr>
      <w:keepNext/>
      <w:keepLines/>
      <w:spacing w:before="340" w:after="330" w:line="578" w:lineRule="auto"/>
      <w:outlineLvl w:val="0"/>
    </w:pPr>
    <w:rPr>
      <w:b/>
      <w:bCs/>
      <w:kern w:val="44"/>
      <w:sz w:val="44"/>
      <w:szCs w:val="44"/>
    </w:rPr>
  </w:style>
  <w:style w:type="paragraph" w:styleId="2">
    <w:name w:val="heading 2"/>
    <w:basedOn w:val="a"/>
    <w:next w:val="a0"/>
    <w:qFormat/>
    <w:rsid w:val="00C1289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12898"/>
    <w:pPr>
      <w:ind w:firstLineChars="200" w:firstLine="420"/>
    </w:pPr>
  </w:style>
  <w:style w:type="paragraph" w:styleId="a4">
    <w:name w:val="Body Text Indent"/>
    <w:basedOn w:val="a"/>
    <w:rsid w:val="00C1289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C12898"/>
    <w:rPr>
      <w:rFonts w:ascii="宋体" w:hAnsi="Courier New"/>
      <w:szCs w:val="21"/>
    </w:rPr>
  </w:style>
  <w:style w:type="paragraph" w:styleId="20">
    <w:name w:val="Body Text Indent 2"/>
    <w:basedOn w:val="a"/>
    <w:rsid w:val="00C12898"/>
    <w:pPr>
      <w:spacing w:line="560" w:lineRule="exact"/>
      <w:ind w:firstLineChars="200" w:firstLine="480"/>
    </w:pPr>
    <w:rPr>
      <w:rFonts w:ascii="宋体" w:hAnsi="宋体"/>
      <w:color w:val="FF0000"/>
      <w:sz w:val="24"/>
    </w:rPr>
  </w:style>
  <w:style w:type="paragraph" w:styleId="a6">
    <w:name w:val="footer"/>
    <w:basedOn w:val="a"/>
    <w:rsid w:val="00C12898"/>
    <w:pPr>
      <w:tabs>
        <w:tab w:val="center" w:pos="4153"/>
        <w:tab w:val="right" w:pos="8306"/>
      </w:tabs>
      <w:snapToGrid w:val="0"/>
      <w:jc w:val="left"/>
    </w:pPr>
    <w:rPr>
      <w:sz w:val="18"/>
      <w:szCs w:val="18"/>
    </w:rPr>
  </w:style>
  <w:style w:type="character" w:styleId="a7">
    <w:name w:val="page number"/>
    <w:basedOn w:val="a1"/>
    <w:rsid w:val="00C12898"/>
  </w:style>
  <w:style w:type="character" w:styleId="a8">
    <w:name w:val="Hyperlink"/>
    <w:basedOn w:val="a1"/>
    <w:rsid w:val="00C12898"/>
    <w:rPr>
      <w:color w:val="0000FF"/>
      <w:u w:val="single"/>
    </w:rPr>
  </w:style>
  <w:style w:type="paragraph" w:styleId="3">
    <w:name w:val="Body Text Indent 3"/>
    <w:basedOn w:val="a"/>
    <w:rsid w:val="00C12898"/>
    <w:pPr>
      <w:spacing w:line="560" w:lineRule="exact"/>
      <w:ind w:firstLineChars="200" w:firstLine="420"/>
    </w:pPr>
    <w:rPr>
      <w:rFonts w:ascii="Arial" w:hAnsi="Arial" w:cs="Arial"/>
      <w:color w:val="FF0000"/>
    </w:rPr>
  </w:style>
  <w:style w:type="paragraph" w:styleId="a9">
    <w:name w:val="header"/>
    <w:basedOn w:val="a"/>
    <w:link w:val="Char0"/>
    <w:uiPriority w:val="99"/>
    <w:rsid w:val="00C12898"/>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C12898"/>
    <w:rPr>
      <w:color w:val="800080"/>
      <w:u w:val="single"/>
    </w:rPr>
  </w:style>
  <w:style w:type="paragraph" w:styleId="ab">
    <w:name w:val="List"/>
    <w:basedOn w:val="ac"/>
    <w:rsid w:val="00C12898"/>
    <w:pPr>
      <w:spacing w:after="220" w:line="220" w:lineRule="atLeast"/>
      <w:ind w:left="1440" w:hanging="360"/>
    </w:pPr>
    <w:rPr>
      <w:szCs w:val="20"/>
    </w:rPr>
  </w:style>
  <w:style w:type="paragraph" w:styleId="ac">
    <w:name w:val="Body Text"/>
    <w:basedOn w:val="a"/>
    <w:rsid w:val="00C12898"/>
    <w:pPr>
      <w:spacing w:after="120"/>
    </w:pPr>
  </w:style>
  <w:style w:type="paragraph" w:styleId="ad">
    <w:name w:val="Date"/>
    <w:basedOn w:val="a"/>
    <w:next w:val="a"/>
    <w:link w:val="Char1"/>
    <w:rsid w:val="00C12898"/>
    <w:rPr>
      <w:sz w:val="24"/>
      <w:szCs w:val="20"/>
    </w:rPr>
  </w:style>
  <w:style w:type="character" w:customStyle="1" w:styleId="c1">
    <w:name w:val="c1"/>
    <w:basedOn w:val="a1"/>
    <w:rsid w:val="00C12898"/>
    <w:rPr>
      <w:color w:val="000000"/>
      <w:sz w:val="18"/>
      <w:szCs w:val="18"/>
    </w:rPr>
  </w:style>
  <w:style w:type="paragraph" w:styleId="10">
    <w:name w:val="index 1"/>
    <w:basedOn w:val="a"/>
    <w:next w:val="a"/>
    <w:autoRedefine/>
    <w:semiHidden/>
    <w:rsid w:val="00C12898"/>
    <w:pPr>
      <w:jc w:val="right"/>
    </w:pPr>
    <w:rPr>
      <w:color w:val="008000"/>
    </w:rPr>
  </w:style>
  <w:style w:type="paragraph" w:customStyle="1" w:styleId="font5">
    <w:name w:val="font5"/>
    <w:basedOn w:val="a"/>
    <w:rsid w:val="00C1289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C1289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C12898"/>
    <w:rPr>
      <w:sz w:val="18"/>
      <w:szCs w:val="18"/>
    </w:rPr>
  </w:style>
  <w:style w:type="character" w:styleId="af">
    <w:name w:val="annotation reference"/>
    <w:basedOn w:val="a1"/>
    <w:semiHidden/>
    <w:rsid w:val="00C12898"/>
    <w:rPr>
      <w:sz w:val="21"/>
      <w:szCs w:val="21"/>
    </w:rPr>
  </w:style>
  <w:style w:type="paragraph" w:styleId="af0">
    <w:name w:val="annotation text"/>
    <w:basedOn w:val="a"/>
    <w:semiHidden/>
    <w:rsid w:val="00C12898"/>
    <w:pPr>
      <w:jc w:val="left"/>
    </w:pPr>
  </w:style>
  <w:style w:type="paragraph" w:styleId="af1">
    <w:name w:val="annotation subject"/>
    <w:basedOn w:val="af0"/>
    <w:next w:val="af0"/>
    <w:semiHidden/>
    <w:rsid w:val="00C12898"/>
    <w:rPr>
      <w:b/>
      <w:bCs/>
    </w:rPr>
  </w:style>
  <w:style w:type="paragraph" w:customStyle="1" w:styleId="Char2">
    <w:name w:val="Char"/>
    <w:basedOn w:val="a"/>
    <w:rsid w:val="00C12898"/>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42253F"/>
    <w:rPr>
      <w:rFonts w:ascii="宋体" w:hAnsi="Courier New"/>
      <w:kern w:val="2"/>
      <w:sz w:val="21"/>
      <w:szCs w:val="21"/>
    </w:rPr>
  </w:style>
  <w:style w:type="paragraph" w:customStyle="1" w:styleId="Default">
    <w:name w:val="Default"/>
    <w:rsid w:val="00695296"/>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FB572A"/>
    <w:rPr>
      <w:kern w:val="2"/>
      <w:sz w:val="18"/>
      <w:szCs w:val="18"/>
    </w:rPr>
  </w:style>
  <w:style w:type="character" w:customStyle="1" w:styleId="1Char">
    <w:name w:val="标题 1 Char"/>
    <w:basedOn w:val="a1"/>
    <w:link w:val="1"/>
    <w:uiPriority w:val="99"/>
    <w:rsid w:val="00FD1E02"/>
    <w:rPr>
      <w:b/>
      <w:bCs/>
      <w:kern w:val="44"/>
      <w:sz w:val="44"/>
      <w:szCs w:val="44"/>
    </w:rPr>
  </w:style>
  <w:style w:type="paragraph" w:styleId="HTML">
    <w:name w:val="HTML Preformatted"/>
    <w:basedOn w:val="a"/>
    <w:link w:val="HTMLChar"/>
    <w:uiPriority w:val="99"/>
    <w:unhideWhenUsed/>
    <w:rsid w:val="006349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634900"/>
    <w:rPr>
      <w:rFonts w:ascii="宋体" w:hAnsi="宋体" w:cs="宋体"/>
      <w:sz w:val="24"/>
      <w:szCs w:val="24"/>
    </w:rPr>
  </w:style>
  <w:style w:type="character" w:customStyle="1" w:styleId="Char1">
    <w:name w:val="日期 Char"/>
    <w:basedOn w:val="a1"/>
    <w:link w:val="ad"/>
    <w:rsid w:val="00F27C38"/>
    <w:rPr>
      <w:kern w:val="2"/>
      <w:sz w:val="24"/>
    </w:rPr>
  </w:style>
  <w:style w:type="character" w:styleId="af8">
    <w:name w:val="Strong"/>
    <w:basedOn w:val="a1"/>
    <w:uiPriority w:val="22"/>
    <w:qFormat/>
    <w:rsid w:val="00C427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7524708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7698193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81725568">
      <w:bodyDiv w:val="1"/>
      <w:marLeft w:val="0"/>
      <w:marRight w:val="0"/>
      <w:marTop w:val="0"/>
      <w:marBottom w:val="0"/>
      <w:divBdr>
        <w:top w:val="none" w:sz="0" w:space="0" w:color="auto"/>
        <w:left w:val="none" w:sz="0" w:space="0" w:color="auto"/>
        <w:bottom w:val="none" w:sz="0" w:space="0" w:color="auto"/>
        <w:right w:val="none" w:sz="0" w:space="0" w:color="auto"/>
      </w:divBdr>
    </w:div>
    <w:div w:id="1649044647">
      <w:bodyDiv w:val="1"/>
      <w:marLeft w:val="0"/>
      <w:marRight w:val="0"/>
      <w:marTop w:val="0"/>
      <w:marBottom w:val="0"/>
      <w:divBdr>
        <w:top w:val="none" w:sz="0" w:space="0" w:color="auto"/>
        <w:left w:val="none" w:sz="0" w:space="0" w:color="auto"/>
        <w:bottom w:val="none" w:sz="0" w:space="0" w:color="auto"/>
        <w:right w:val="none" w:sz="0" w:space="0" w:color="auto"/>
      </w:divBdr>
    </w:div>
    <w:div w:id="1970474325">
      <w:bodyDiv w:val="1"/>
      <w:marLeft w:val="0"/>
      <w:marRight w:val="0"/>
      <w:marTop w:val="0"/>
      <w:marBottom w:val="0"/>
      <w:divBdr>
        <w:top w:val="none" w:sz="0" w:space="0" w:color="auto"/>
        <w:left w:val="none" w:sz="0" w:space="0" w:color="auto"/>
        <w:bottom w:val="none" w:sz="0" w:space="0" w:color="auto"/>
        <w:right w:val="none" w:sz="0" w:space="0" w:color="auto"/>
      </w:divBdr>
    </w:div>
    <w:div w:id="21201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14</Pages>
  <Words>1135</Words>
  <Characters>6476</Characters>
  <Application>Microsoft Office Word</Application>
  <DocSecurity>0</DocSecurity>
  <Lines>53</Lines>
  <Paragraphs>15</Paragraphs>
  <ScaleCrop>false</ScaleCrop>
  <Company>TRT. Ltd. Co.</Company>
  <LinksUpToDate>false</LinksUpToDate>
  <CharactersWithSpaces>7596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207</cp:revision>
  <cp:lastPrinted>2007-07-19T00:46:00Z</cp:lastPrinted>
  <dcterms:created xsi:type="dcterms:W3CDTF">2012-11-28T02:28:00Z</dcterms:created>
  <dcterms:modified xsi:type="dcterms:W3CDTF">2020-07-17T06:02:00Z</dcterms:modified>
</cp:coreProperties>
</file>