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交银施罗德品质升级混合型证券投资基金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2020年第2季度报告</w:t>
      </w:r>
    </w:p>
    <w:p w:rsidP="00C15CAC" w:rsidR="004061AC" w:rsidRDefault="00655CD8" w:rsidRPr="0081286B">
      <w:pPr>
        <w:spacing w:before="29" w:line="288" w:lineRule="auto"/>
        <w:jc w:val="center"/>
        <w:rPr>
          <w:b/>
          <w:sz w:val="36"/>
          <w:szCs w:val="36"/>
        </w:rPr>
      </w:pPr>
      <w:r w:rsidRPr="0081286B">
        <w:rPr>
          <w:b/>
          <w:sz w:val="36"/>
          <w:szCs w:val="36"/>
        </w:rPr>
        <w:t>2020年6月30日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二〇二〇年七月二十一日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基金托管人中国农业银行股份有限公司根据本基金合同规定，于2020年7月20日复核了本报告中的财务指标、净值表现和投资组合报告等内容，保证复核内容不存在虚假记载、误导性陈述或者重大遗漏。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交银品质升级混合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005004</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005004</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2018年2月8日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261,627,700.41</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本基金在有效控制投资风险的前提下，聚焦居民生活品质升级的方向和趋势，通过把握消费成长领域的投资机会，力争为基金份额持有人获得超越业绩比较基准的收益。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沪深300指数收益率×60%+中证综合债券指数收益率×40%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(2020年4月1日-2020年6月30日)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80,270,664.44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125,355,949.03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0.3795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366,546,433.80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1.4010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38.45%</w:t>
            </w:r>
          </w:p>
        </w:tc>
        <w:tc>
          <w:tcPr>
            <w:vAlign w:val="center"/>
          </w:tcPr>
          <w:p>
            <w:pPr>
              <w:jc w:val="center"/>
            </w:pPr>
            <w:r>
              <w:rPr>
                <w:color w:val="000000"/>
                <w:sz w:val="24"/>
                <w:szCs w:val="24"/>
              </w:rPr>
              <w:t>1.17%</w:t>
            </w:r>
          </w:p>
        </w:tc>
        <w:tc>
          <w:tcPr>
            <w:vAlign w:val="center"/>
          </w:tcPr>
          <w:p>
            <w:pPr>
              <w:jc w:val="center"/>
            </w:pPr>
            <w:r>
              <w:rPr>
                <w:color w:val="000000"/>
                <w:sz w:val="24"/>
                <w:szCs w:val="24"/>
              </w:rPr>
              <w:t>7.54%</w:t>
            </w:r>
          </w:p>
        </w:tc>
        <w:tc>
          <w:tcPr>
            <w:vAlign w:val="center"/>
          </w:tcPr>
          <w:p>
            <w:pPr>
              <w:jc w:val="center"/>
            </w:pPr>
            <w:r>
              <w:rPr>
                <w:color w:val="000000"/>
                <w:sz w:val="24"/>
                <w:szCs w:val="24"/>
              </w:rPr>
              <w:t>0.54%</w:t>
            </w:r>
          </w:p>
        </w:tc>
        <w:tc>
          <w:tcPr>
            <w:vAlign w:val="center"/>
          </w:tcPr>
          <w:p>
            <w:pPr>
              <w:jc w:val="center"/>
            </w:pPr>
            <w:r>
              <w:rPr>
                <w:color w:val="000000"/>
                <w:sz w:val="24"/>
                <w:szCs w:val="24"/>
              </w:rPr>
              <w:t>30.91%</w:t>
            </w:r>
          </w:p>
        </w:tc>
        <w:tc>
          <w:tcPr>
            <w:vAlign w:val="center"/>
          </w:tcPr>
          <w:p>
            <w:pPr>
              <w:jc w:val="center"/>
            </w:pPr>
            <w:r>
              <w:rPr>
                <w:color w:val="000000"/>
                <w:sz w:val="24"/>
                <w:szCs w:val="24"/>
              </w:rPr>
              <w:t>0.63%</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32.17%</w:t>
            </w:r>
          </w:p>
        </w:tc>
        <w:tc>
          <w:tcPr>
            <w:vAlign w:val="center"/>
          </w:tcPr>
          <w:p>
            <w:pPr>
              <w:jc w:val="center"/>
            </w:pPr>
            <w:r>
              <w:rPr>
                <w:color w:val="000000"/>
                <w:sz w:val="24"/>
                <w:szCs w:val="24"/>
              </w:rPr>
              <w:t>1.68%</w:t>
            </w:r>
          </w:p>
        </w:tc>
        <w:tc>
          <w:tcPr>
            <w:vAlign w:val="center"/>
          </w:tcPr>
          <w:p>
            <w:pPr>
              <w:jc w:val="center"/>
            </w:pPr>
            <w:r>
              <w:rPr>
                <w:color w:val="000000"/>
                <w:sz w:val="24"/>
                <w:szCs w:val="24"/>
              </w:rPr>
              <w:t>2.27%</w:t>
            </w:r>
          </w:p>
        </w:tc>
        <w:tc>
          <w:tcPr>
            <w:vAlign w:val="center"/>
          </w:tcPr>
          <w:p>
            <w:pPr>
              <w:jc w:val="center"/>
            </w:pPr>
            <w:r>
              <w:rPr>
                <w:color w:val="000000"/>
                <w:sz w:val="24"/>
                <w:szCs w:val="24"/>
              </w:rPr>
              <w:t>0.90%</w:t>
            </w:r>
          </w:p>
        </w:tc>
        <w:tc>
          <w:tcPr>
            <w:vAlign w:val="center"/>
          </w:tcPr>
          <w:p>
            <w:pPr>
              <w:jc w:val="center"/>
            </w:pPr>
            <w:r>
              <w:rPr>
                <w:color w:val="000000"/>
                <w:sz w:val="24"/>
                <w:szCs w:val="24"/>
              </w:rPr>
              <w:t>29.90%</w:t>
            </w:r>
          </w:p>
        </w:tc>
        <w:tc>
          <w:tcPr>
            <w:vAlign w:val="center"/>
          </w:tcPr>
          <w:p>
            <w:pPr>
              <w:jc w:val="center"/>
            </w:pPr>
            <w:r>
              <w:rPr>
                <w:color w:val="000000"/>
                <w:sz w:val="24"/>
                <w:szCs w:val="24"/>
              </w:rPr>
              <w:t>0.78%</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37.79%</w:t>
            </w:r>
          </w:p>
        </w:tc>
        <w:tc>
          <w:tcPr>
            <w:vAlign w:val="center"/>
          </w:tcPr>
          <w:p>
            <w:pPr>
              <w:jc w:val="center"/>
            </w:pPr>
            <w:r>
              <w:rPr>
                <w:color w:val="000000"/>
                <w:sz w:val="24"/>
                <w:szCs w:val="24"/>
              </w:rPr>
              <w:t>1.40%</w:t>
            </w:r>
          </w:p>
        </w:tc>
        <w:tc>
          <w:tcPr>
            <w:vAlign w:val="center"/>
          </w:tcPr>
          <w:p>
            <w:pPr>
              <w:jc w:val="center"/>
            </w:pPr>
            <w:r>
              <w:rPr>
                <w:color w:val="000000"/>
                <w:sz w:val="24"/>
                <w:szCs w:val="24"/>
              </w:rPr>
              <w:t>7.78%</w:t>
            </w:r>
          </w:p>
        </w:tc>
        <w:tc>
          <w:tcPr>
            <w:vAlign w:val="center"/>
          </w:tcPr>
          <w:p>
            <w:pPr>
              <w:jc w:val="center"/>
            </w:pPr>
            <w:r>
              <w:rPr>
                <w:color w:val="000000"/>
                <w:sz w:val="24"/>
                <w:szCs w:val="24"/>
              </w:rPr>
              <w:t>0.72%</w:t>
            </w:r>
          </w:p>
        </w:tc>
        <w:tc>
          <w:tcPr>
            <w:vAlign w:val="center"/>
          </w:tcPr>
          <w:p>
            <w:pPr>
              <w:jc w:val="center"/>
            </w:pPr>
            <w:r>
              <w:rPr>
                <w:color w:val="000000"/>
                <w:sz w:val="24"/>
                <w:szCs w:val="24"/>
              </w:rPr>
              <w:t>30.01%</w:t>
            </w:r>
          </w:p>
        </w:tc>
        <w:tc>
          <w:tcPr>
            <w:vAlign w:val="center"/>
          </w:tcPr>
          <w:p>
            <w:pPr>
              <w:jc w:val="center"/>
            </w:pPr>
            <w:r>
              <w:rPr>
                <w:color w:val="000000"/>
                <w:sz w:val="24"/>
                <w:szCs w:val="24"/>
              </w:rPr>
              <w:t>0.68%</w:t>
            </w:r>
          </w:p>
        </w:tc>
      </w:tr>
      <w:tr>
        <w:tc>
          <w:tcPr>
            <w:vAlign w:val="center"/>
          </w:tcPr>
          <w:p>
            <w:pPr>
              <w:jc w:val="left"/>
            </w:pPr>
            <w:r>
              <w:rPr>
                <w:color w:val="000000"/>
                <w:sz w:val="24"/>
                <w:szCs w:val="24"/>
              </w:rPr>
              <w:t>自基金合同生效起至今</w:t>
            </w:r>
          </w:p>
        </w:tc>
        <w:tc>
          <w:tcPr>
            <w:vAlign w:val="center"/>
          </w:tcPr>
          <w:p>
            <w:pPr>
              <w:jc w:val="center"/>
            </w:pPr>
            <w:r>
              <w:rPr>
                <w:color w:val="000000"/>
                <w:sz w:val="24"/>
                <w:szCs w:val="24"/>
              </w:rPr>
              <w:t>40.10%</w:t>
            </w:r>
          </w:p>
        </w:tc>
        <w:tc>
          <w:tcPr>
            <w:vAlign w:val="center"/>
          </w:tcPr>
          <w:p>
            <w:pPr>
              <w:jc w:val="center"/>
            </w:pPr>
            <w:r>
              <w:rPr>
                <w:color w:val="000000"/>
                <w:sz w:val="24"/>
                <w:szCs w:val="24"/>
              </w:rPr>
              <w:t>1.48%</w:t>
            </w:r>
          </w:p>
        </w:tc>
        <w:tc>
          <w:tcPr>
            <w:vAlign w:val="center"/>
          </w:tcPr>
          <w:p>
            <w:pPr>
              <w:jc w:val="center"/>
            </w:pPr>
            <w:r>
              <w:rPr>
                <w:color w:val="000000"/>
                <w:sz w:val="24"/>
                <w:szCs w:val="24"/>
              </w:rPr>
              <w:t>9.02%</w:t>
            </w:r>
          </w:p>
        </w:tc>
        <w:tc>
          <w:tcPr>
            <w:vAlign w:val="center"/>
          </w:tcPr>
          <w:p>
            <w:pPr>
              <w:jc w:val="center"/>
            </w:pPr>
            <w:r>
              <w:rPr>
                <w:color w:val="000000"/>
                <w:sz w:val="24"/>
                <w:szCs w:val="24"/>
              </w:rPr>
              <w:t>0.81%</w:t>
            </w:r>
          </w:p>
        </w:tc>
        <w:tc>
          <w:tcPr>
            <w:vAlign w:val="center"/>
          </w:tcPr>
          <w:p>
            <w:pPr>
              <w:jc w:val="center"/>
            </w:pPr>
            <w:r>
              <w:rPr>
                <w:color w:val="000000"/>
                <w:sz w:val="24"/>
                <w:szCs w:val="24"/>
              </w:rPr>
              <w:t>31.08%</w:t>
            </w:r>
          </w:p>
        </w:tc>
        <w:tc>
          <w:tcPr>
            <w:vAlign w:val="center"/>
          </w:tcPr>
          <w:p>
            <w:pPr>
              <w:jc w:val="center"/>
            </w:pPr>
            <w:r>
              <w:rPr>
                <w:color w:val="000000"/>
                <w:sz w:val="24"/>
                <w:szCs w:val="24"/>
              </w:rPr>
              <w:t>0.67%</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交银施罗德品质升级混合型证券投资基金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2018年2月8日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韩威俊</w:t>
            </w:r>
          </w:p>
        </w:tc>
        <w:tc>
          <w:tcPr>
            <w:vAlign w:val="center"/>
          </w:tcPr>
          <w:p>
            <w:pPr>
              <w:jc w:val="center"/>
            </w:pPr>
            <w:r>
              <w:rPr>
                <w:color w:val="000000"/>
                <w:sz w:val="24"/>
                <w:szCs w:val="24"/>
              </w:rPr>
              <w:t>交银策略回报灵活配置混合、交银消费新驱动股票、交银股息优化混合、交银品质升级混合的基金经理</w:t>
            </w:r>
          </w:p>
        </w:tc>
        <w:tc>
          <w:tcPr>
            <w:vAlign w:val="center"/>
          </w:tcPr>
          <w:p>
            <w:pPr>
              <w:jc w:val="center"/>
            </w:pPr>
            <w:r>
              <w:rPr>
                <w:color w:val="000000"/>
                <w:sz w:val="24"/>
                <w:szCs w:val="24"/>
              </w:rPr>
              <w:t>2018-02-08</w:t>
            </w:r>
          </w:p>
        </w:tc>
        <w:tc>
          <w:tcPr>
            <w:vAlign w:val="center"/>
          </w:tcPr>
          <w:p>
            <w:pPr>
              <w:jc w:val="center"/>
            </w:pPr>
            <w:r>
              <w:rPr>
                <w:color w:val="000000"/>
                <w:sz w:val="24"/>
                <w:szCs w:val="24"/>
              </w:rPr>
              <w:t>-</w:t>
            </w:r>
          </w:p>
        </w:tc>
        <w:tc>
          <w:tcPr>
            <w:vAlign w:val="center"/>
          </w:tcPr>
          <w:p>
            <w:pPr>
              <w:jc w:val="center"/>
            </w:pPr>
            <w:r>
              <w:rPr>
                <w:color w:val="000000"/>
                <w:sz w:val="24"/>
                <w:szCs w:val="24"/>
              </w:rPr>
              <w:t>14年</w:t>
            </w:r>
          </w:p>
        </w:tc>
        <w:tc>
          <w:tcPr>
            <w:vAlign w:val="center"/>
          </w:tcPr>
          <w:p>
            <w:pPr>
              <w:jc w:val="both"/>
            </w:pPr>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2013年加入交银施罗德基金管理有限公司，历任行业分析师。2017年6月3日至2020年5月26日担任交银施罗德趋势优先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回顾2020年二季度，新冠疫情对国内影响开始弱化，经济出现比较明显的弱复苏。海外市场流动性泛滥，导致全球资本市场溢价率快速提升。A股市场在5-6月份出现了比较明显的持续上涨，各行业龙头公司在风险偏好提升和流动性推动下，出现了比较明显的估值溢价。从目前情况来看，海外疫情出现反复，中国经济逐步恢复以后，中国资产（包括货币、债券、股票）在全球市场的吸引力大幅提升，海外资金或将继续快速流入中国，带动国内利率水平进一步回落以及债券价格和股票价格上升。</w:t>
      </w:r>
    </w:p>
    <w:p>
      <w:pPr>
        <w:spacing w:before="29" w:line="288" w:lineRule="auto"/>
        <w:ind w:firstLine="480" w:firstLineChars="200"/>
        <w:rPr>
          <w:color w:val="000000"/>
          <w:sz w:val="24"/>
          <w:szCs w:val="24"/>
        </w:rPr>
      </w:pPr>
      <w:r>
        <w:rPr>
          <w:color w:val="000000"/>
          <w:sz w:val="24"/>
          <w:szCs w:val="24"/>
        </w:rPr>
        <w:t>本基金在2020年二季度主要以消费白马龙头作为底仓的配置思路，持仓上适当做了一些微调，集中到中报较好而且后续增速较快的公司上，整体集中度略微下降。二季度整个消费医药明显跑赢市场，后续随着中秋国庆来临，国内消费行业有望全面复苏，全年绝对收益或将仍然值得期待。</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三季度：（1）结合疫情后消费复苏的节奏，适当做一些重仓股的结构调整。在追求全年绝对收益的前提下，逐步布局市值相对低估，长期空间巨大的消费服务类龙头公司；（2）海外疫情持续，与海外需求高度相关的制造业等龙头企业，可能在三季度存在一定机会，特别是目前渗透率较低的新能源汽车和光伏等产业。</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317,801,056.33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85.08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317,801,056.33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85.08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42,050,830.17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11.26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13,687,395.41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3.66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373,539,281.91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267,151,972.86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72.88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12,766.32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10,372,953.57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10,326,121.00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10,967,964.00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503,106.08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0.14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18,466,172.50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317,801,056.33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86.70</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000858</w:t>
            </w:r>
          </w:p>
        </w:tc>
        <w:tc>
          <w:tcPr>
            <w:vAlign w:val="center"/>
          </w:tcPr>
          <w:p>
            <w:pPr>
              <w:jc w:val="center"/>
            </w:pPr>
            <w:r>
              <w:rPr>
                <w:color w:val="000000"/>
                <w:sz w:val="24"/>
                <w:szCs w:val="24"/>
              </w:rPr>
              <w:t>五粮液</w:t>
            </w:r>
          </w:p>
        </w:tc>
        <w:tc>
          <w:tcPr>
            <w:vAlign w:val="center"/>
          </w:tcPr>
          <w:p>
            <w:pPr>
              <w:jc w:val="right"/>
            </w:pPr>
            <w:r>
              <w:rPr>
                <w:color w:val="000000"/>
                <w:sz w:val="24"/>
                <w:szCs w:val="24"/>
              </w:rPr>
              <w:t>192,945</w:t>
            </w:r>
          </w:p>
        </w:tc>
        <w:tc>
          <w:tcPr>
            <w:vAlign w:val="center"/>
          </w:tcPr>
          <w:p>
            <w:pPr>
              <w:jc w:val="right"/>
            </w:pPr>
            <w:r>
              <w:rPr>
                <w:color w:val="000000"/>
                <w:sz w:val="24"/>
                <w:szCs w:val="24"/>
              </w:rPr>
              <w:t>33,016,748.40</w:t>
            </w:r>
          </w:p>
        </w:tc>
        <w:tc>
          <w:tcPr>
            <w:vAlign w:val="center"/>
          </w:tcPr>
          <w:p>
            <w:pPr>
              <w:jc w:val="right"/>
            </w:pPr>
            <w:r>
              <w:rPr>
                <w:color w:val="000000"/>
                <w:sz w:val="24"/>
                <w:szCs w:val="24"/>
              </w:rPr>
              <w:t>9.01</w:t>
            </w:r>
          </w:p>
        </w:tc>
      </w:tr>
      <w:tr>
        <w:tc>
          <w:tcPr>
            <w:vAlign w:val="center"/>
          </w:tcPr>
          <w:p>
            <w:pPr>
              <w:jc w:val="center"/>
            </w:pPr>
            <w:r>
              <w:rPr>
                <w:color w:val="000000"/>
                <w:sz w:val="24"/>
                <w:szCs w:val="24"/>
              </w:rPr>
              <w:t>2</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22,131</w:t>
            </w:r>
          </w:p>
        </w:tc>
        <w:tc>
          <w:tcPr>
            <w:vAlign w:val="center"/>
          </w:tcPr>
          <w:p>
            <w:pPr>
              <w:jc w:val="right"/>
            </w:pPr>
            <w:r>
              <w:rPr>
                <w:color w:val="000000"/>
                <w:sz w:val="24"/>
                <w:szCs w:val="24"/>
              </w:rPr>
              <w:t>32,374,997.28</w:t>
            </w:r>
          </w:p>
        </w:tc>
        <w:tc>
          <w:tcPr>
            <w:vAlign w:val="center"/>
          </w:tcPr>
          <w:p>
            <w:pPr>
              <w:jc w:val="right"/>
            </w:pPr>
            <w:r>
              <w:rPr>
                <w:color w:val="000000"/>
                <w:sz w:val="24"/>
                <w:szCs w:val="24"/>
              </w:rPr>
              <w:t>8.83</w:t>
            </w:r>
          </w:p>
        </w:tc>
      </w:tr>
      <w:tr>
        <w:tc>
          <w:tcPr>
            <w:vAlign w:val="center"/>
          </w:tcPr>
          <w:p>
            <w:pPr>
              <w:jc w:val="center"/>
            </w:pPr>
            <w:r>
              <w:rPr>
                <w:color w:val="000000"/>
                <w:sz w:val="24"/>
                <w:szCs w:val="24"/>
              </w:rPr>
              <w:t>3</w:t>
            </w:r>
          </w:p>
        </w:tc>
        <w:tc>
          <w:tcPr>
            <w:vAlign w:val="center"/>
          </w:tcPr>
          <w:p>
            <w:pPr>
              <w:jc w:val="center"/>
            </w:pPr>
            <w:r>
              <w:rPr>
                <w:color w:val="000000"/>
                <w:sz w:val="24"/>
                <w:szCs w:val="24"/>
              </w:rPr>
              <w:t>300146</w:t>
            </w:r>
          </w:p>
        </w:tc>
        <w:tc>
          <w:tcPr>
            <w:vAlign w:val="center"/>
          </w:tcPr>
          <w:p>
            <w:pPr>
              <w:jc w:val="center"/>
            </w:pPr>
            <w:r>
              <w:rPr>
                <w:color w:val="000000"/>
                <w:sz w:val="24"/>
                <w:szCs w:val="24"/>
              </w:rPr>
              <w:t>汤臣倍健</w:t>
            </w:r>
          </w:p>
        </w:tc>
        <w:tc>
          <w:tcPr>
            <w:vAlign w:val="center"/>
          </w:tcPr>
          <w:p>
            <w:pPr>
              <w:jc w:val="right"/>
            </w:pPr>
            <w:r>
              <w:rPr>
                <w:color w:val="000000"/>
                <w:sz w:val="24"/>
                <w:szCs w:val="24"/>
              </w:rPr>
              <w:t>1,479,021</w:t>
            </w:r>
          </w:p>
        </w:tc>
        <w:tc>
          <w:tcPr>
            <w:vAlign w:val="center"/>
          </w:tcPr>
          <w:p>
            <w:pPr>
              <w:jc w:val="right"/>
            </w:pPr>
            <w:r>
              <w:rPr>
                <w:color w:val="000000"/>
                <w:sz w:val="24"/>
                <w:szCs w:val="24"/>
              </w:rPr>
              <w:t>29,121,923.49</w:t>
            </w:r>
          </w:p>
        </w:tc>
        <w:tc>
          <w:tcPr>
            <w:vAlign w:val="center"/>
          </w:tcPr>
          <w:p>
            <w:pPr>
              <w:jc w:val="right"/>
            </w:pPr>
            <w:r>
              <w:rPr>
                <w:color w:val="000000"/>
                <w:sz w:val="24"/>
                <w:szCs w:val="24"/>
              </w:rPr>
              <w:t>7.94</w:t>
            </w:r>
          </w:p>
        </w:tc>
      </w:tr>
      <w:tr>
        <w:tc>
          <w:tcPr>
            <w:vAlign w:val="center"/>
          </w:tcPr>
          <w:p>
            <w:pPr>
              <w:jc w:val="center"/>
            </w:pPr>
            <w:r>
              <w:rPr>
                <w:color w:val="000000"/>
                <w:sz w:val="24"/>
                <w:szCs w:val="24"/>
              </w:rPr>
              <w:t>4</w:t>
            </w:r>
          </w:p>
        </w:tc>
        <w:tc>
          <w:tcPr>
            <w:vAlign w:val="center"/>
          </w:tcPr>
          <w:p>
            <w:pPr>
              <w:jc w:val="center"/>
            </w:pPr>
            <w:r>
              <w:rPr>
                <w:color w:val="000000"/>
                <w:sz w:val="24"/>
                <w:szCs w:val="24"/>
              </w:rPr>
              <w:t>002304</w:t>
            </w:r>
          </w:p>
        </w:tc>
        <w:tc>
          <w:tcPr>
            <w:vAlign w:val="center"/>
          </w:tcPr>
          <w:p>
            <w:pPr>
              <w:jc w:val="center"/>
            </w:pPr>
            <w:r>
              <w:rPr>
                <w:color w:val="000000"/>
                <w:sz w:val="24"/>
                <w:szCs w:val="24"/>
              </w:rPr>
              <w:t>洋河股份</w:t>
            </w:r>
          </w:p>
        </w:tc>
        <w:tc>
          <w:tcPr>
            <w:vAlign w:val="center"/>
          </w:tcPr>
          <w:p>
            <w:pPr>
              <w:jc w:val="right"/>
            </w:pPr>
            <w:r>
              <w:rPr>
                <w:color w:val="000000"/>
                <w:sz w:val="24"/>
                <w:szCs w:val="24"/>
              </w:rPr>
              <w:t>207,451</w:t>
            </w:r>
          </w:p>
        </w:tc>
        <w:tc>
          <w:tcPr>
            <w:vAlign w:val="center"/>
          </w:tcPr>
          <w:p>
            <w:pPr>
              <w:jc w:val="right"/>
            </w:pPr>
            <w:r>
              <w:rPr>
                <w:color w:val="000000"/>
                <w:sz w:val="24"/>
                <w:szCs w:val="24"/>
              </w:rPr>
              <w:t>21,811,398.14</w:t>
            </w:r>
          </w:p>
        </w:tc>
        <w:tc>
          <w:tcPr>
            <w:vAlign w:val="center"/>
          </w:tcPr>
          <w:p>
            <w:pPr>
              <w:jc w:val="right"/>
            </w:pPr>
            <w:r>
              <w:rPr>
                <w:color w:val="000000"/>
                <w:sz w:val="24"/>
                <w:szCs w:val="24"/>
              </w:rPr>
              <w:t>5.95</w:t>
            </w:r>
          </w:p>
        </w:tc>
      </w:tr>
      <w:tr>
        <w:tc>
          <w:tcPr>
            <w:vAlign w:val="center"/>
          </w:tcPr>
          <w:p>
            <w:pPr>
              <w:jc w:val="center"/>
            </w:pPr>
            <w:r>
              <w:rPr>
                <w:color w:val="000000"/>
                <w:sz w:val="24"/>
                <w:szCs w:val="24"/>
              </w:rPr>
              <w:t>5</w:t>
            </w:r>
          </w:p>
        </w:tc>
        <w:tc>
          <w:tcPr>
            <w:vAlign w:val="center"/>
          </w:tcPr>
          <w:p>
            <w:pPr>
              <w:jc w:val="center"/>
            </w:pPr>
            <w:r>
              <w:rPr>
                <w:color w:val="000000"/>
                <w:sz w:val="24"/>
                <w:szCs w:val="24"/>
              </w:rPr>
              <w:t>600276</w:t>
            </w:r>
          </w:p>
        </w:tc>
        <w:tc>
          <w:tcPr>
            <w:vAlign w:val="center"/>
          </w:tcPr>
          <w:p>
            <w:pPr>
              <w:jc w:val="center"/>
            </w:pPr>
            <w:r>
              <w:rPr>
                <w:color w:val="000000"/>
                <w:sz w:val="24"/>
                <w:szCs w:val="24"/>
              </w:rPr>
              <w:t>恒瑞医药</w:t>
            </w:r>
          </w:p>
        </w:tc>
        <w:tc>
          <w:tcPr>
            <w:vAlign w:val="center"/>
          </w:tcPr>
          <w:p>
            <w:pPr>
              <w:jc w:val="right"/>
            </w:pPr>
            <w:r>
              <w:rPr>
                <w:color w:val="000000"/>
                <w:sz w:val="24"/>
                <w:szCs w:val="24"/>
              </w:rPr>
              <w:t>198,673</w:t>
            </w:r>
          </w:p>
        </w:tc>
        <w:tc>
          <w:tcPr>
            <w:vAlign w:val="center"/>
          </w:tcPr>
          <w:p>
            <w:pPr>
              <w:jc w:val="right"/>
            </w:pPr>
            <w:r>
              <w:rPr>
                <w:color w:val="000000"/>
                <w:sz w:val="24"/>
                <w:szCs w:val="24"/>
              </w:rPr>
              <w:t>18,337,517.90</w:t>
            </w:r>
          </w:p>
        </w:tc>
        <w:tc>
          <w:tcPr>
            <w:vAlign w:val="center"/>
          </w:tcPr>
          <w:p>
            <w:pPr>
              <w:jc w:val="right"/>
            </w:pPr>
            <w:r>
              <w:rPr>
                <w:color w:val="000000"/>
                <w:sz w:val="24"/>
                <w:szCs w:val="24"/>
              </w:rPr>
              <w:t>5.00</w:t>
            </w:r>
          </w:p>
        </w:tc>
      </w:tr>
      <w:tr>
        <w:tc>
          <w:tcPr>
            <w:vAlign w:val="center"/>
          </w:tcPr>
          <w:p>
            <w:pPr>
              <w:jc w:val="center"/>
            </w:pPr>
            <w:r>
              <w:rPr>
                <w:color w:val="000000"/>
                <w:sz w:val="24"/>
                <w:szCs w:val="24"/>
              </w:rPr>
              <w:t>6</w:t>
            </w:r>
          </w:p>
        </w:tc>
        <w:tc>
          <w:tcPr>
            <w:vAlign w:val="center"/>
          </w:tcPr>
          <w:p>
            <w:pPr>
              <w:jc w:val="center"/>
            </w:pPr>
            <w:r>
              <w:rPr>
                <w:color w:val="000000"/>
                <w:sz w:val="24"/>
                <w:szCs w:val="24"/>
              </w:rPr>
              <w:t>000651</w:t>
            </w:r>
          </w:p>
        </w:tc>
        <w:tc>
          <w:tcPr>
            <w:vAlign w:val="center"/>
          </w:tcPr>
          <w:p>
            <w:pPr>
              <w:jc w:val="center"/>
            </w:pPr>
            <w:r>
              <w:rPr>
                <w:color w:val="000000"/>
                <w:sz w:val="24"/>
                <w:szCs w:val="24"/>
              </w:rPr>
              <w:t>格力电器</w:t>
            </w:r>
          </w:p>
        </w:tc>
        <w:tc>
          <w:tcPr>
            <w:vAlign w:val="center"/>
          </w:tcPr>
          <w:p>
            <w:pPr>
              <w:jc w:val="right"/>
            </w:pPr>
            <w:r>
              <w:rPr>
                <w:color w:val="000000"/>
                <w:sz w:val="24"/>
                <w:szCs w:val="24"/>
              </w:rPr>
              <w:t>289,227</w:t>
            </w:r>
          </w:p>
        </w:tc>
        <w:tc>
          <w:tcPr>
            <w:vAlign w:val="center"/>
          </w:tcPr>
          <w:p>
            <w:pPr>
              <w:jc w:val="right"/>
            </w:pPr>
            <w:r>
              <w:rPr>
                <w:color w:val="000000"/>
                <w:sz w:val="24"/>
                <w:szCs w:val="24"/>
              </w:rPr>
              <w:t>16,361,571.39</w:t>
            </w:r>
          </w:p>
        </w:tc>
        <w:tc>
          <w:tcPr>
            <w:vAlign w:val="center"/>
          </w:tcPr>
          <w:p>
            <w:pPr>
              <w:jc w:val="right"/>
            </w:pPr>
            <w:r>
              <w:rPr>
                <w:color w:val="000000"/>
                <w:sz w:val="24"/>
                <w:szCs w:val="24"/>
              </w:rPr>
              <w:t>4.46</w:t>
            </w:r>
          </w:p>
        </w:tc>
      </w:tr>
      <w:tr>
        <w:tc>
          <w:tcPr>
            <w:vAlign w:val="center"/>
          </w:tcPr>
          <w:p>
            <w:pPr>
              <w:jc w:val="center"/>
            </w:pPr>
            <w:r>
              <w:rPr>
                <w:color w:val="000000"/>
                <w:sz w:val="24"/>
                <w:szCs w:val="24"/>
              </w:rPr>
              <w:t>7</w:t>
            </w:r>
          </w:p>
        </w:tc>
        <w:tc>
          <w:tcPr>
            <w:vAlign w:val="center"/>
          </w:tcPr>
          <w:p>
            <w:pPr>
              <w:jc w:val="center"/>
            </w:pPr>
            <w:r>
              <w:rPr>
                <w:color w:val="000000"/>
                <w:sz w:val="24"/>
                <w:szCs w:val="24"/>
              </w:rPr>
              <w:t>000799</w:t>
            </w:r>
          </w:p>
        </w:tc>
        <w:tc>
          <w:tcPr>
            <w:vAlign w:val="center"/>
          </w:tcPr>
          <w:p>
            <w:pPr>
              <w:jc w:val="center"/>
            </w:pPr>
            <w:r>
              <w:rPr>
                <w:color w:val="000000"/>
                <w:sz w:val="24"/>
                <w:szCs w:val="24"/>
              </w:rPr>
              <w:t>酒鬼酒</w:t>
            </w:r>
          </w:p>
        </w:tc>
        <w:tc>
          <w:tcPr>
            <w:vAlign w:val="center"/>
          </w:tcPr>
          <w:p>
            <w:pPr>
              <w:jc w:val="right"/>
            </w:pPr>
            <w:r>
              <w:rPr>
                <w:color w:val="000000"/>
                <w:sz w:val="24"/>
                <w:szCs w:val="24"/>
              </w:rPr>
              <w:t>212,100</w:t>
            </w:r>
          </w:p>
        </w:tc>
        <w:tc>
          <w:tcPr>
            <w:vAlign w:val="center"/>
          </w:tcPr>
          <w:p>
            <w:pPr>
              <w:jc w:val="right"/>
            </w:pPr>
            <w:r>
              <w:rPr>
                <w:color w:val="000000"/>
                <w:sz w:val="24"/>
                <w:szCs w:val="24"/>
              </w:rPr>
              <w:t>16,227,771.00</w:t>
            </w:r>
          </w:p>
        </w:tc>
        <w:tc>
          <w:tcPr>
            <w:vAlign w:val="center"/>
          </w:tcPr>
          <w:p>
            <w:pPr>
              <w:jc w:val="right"/>
            </w:pPr>
            <w:r>
              <w:rPr>
                <w:color w:val="000000"/>
                <w:sz w:val="24"/>
                <w:szCs w:val="24"/>
              </w:rPr>
              <w:t>4.43</w:t>
            </w:r>
          </w:p>
        </w:tc>
      </w:tr>
      <w:tr>
        <w:tc>
          <w:tcPr>
            <w:vAlign w:val="center"/>
          </w:tcPr>
          <w:p>
            <w:pPr>
              <w:jc w:val="center"/>
            </w:pPr>
            <w:r>
              <w:rPr>
                <w:color w:val="000000"/>
                <w:sz w:val="24"/>
                <w:szCs w:val="24"/>
              </w:rPr>
              <w:t>8</w:t>
            </w:r>
          </w:p>
        </w:tc>
        <w:tc>
          <w:tcPr>
            <w:vAlign w:val="center"/>
          </w:tcPr>
          <w:p>
            <w:pPr>
              <w:jc w:val="center"/>
            </w:pPr>
            <w:r>
              <w:rPr>
                <w:color w:val="000000"/>
                <w:sz w:val="24"/>
                <w:szCs w:val="24"/>
              </w:rPr>
              <w:t>600600</w:t>
            </w:r>
          </w:p>
        </w:tc>
        <w:tc>
          <w:tcPr>
            <w:vAlign w:val="center"/>
          </w:tcPr>
          <w:p>
            <w:pPr>
              <w:jc w:val="center"/>
            </w:pPr>
            <w:r>
              <w:rPr>
                <w:color w:val="000000"/>
                <w:sz w:val="24"/>
                <w:szCs w:val="24"/>
              </w:rPr>
              <w:t>青岛啤酒</w:t>
            </w:r>
          </w:p>
        </w:tc>
        <w:tc>
          <w:tcPr>
            <w:vAlign w:val="center"/>
          </w:tcPr>
          <w:p>
            <w:pPr>
              <w:jc w:val="right"/>
            </w:pPr>
            <w:r>
              <w:rPr>
                <w:color w:val="000000"/>
                <w:sz w:val="24"/>
                <w:szCs w:val="24"/>
              </w:rPr>
              <w:t>208,550</w:t>
            </w:r>
          </w:p>
        </w:tc>
        <w:tc>
          <w:tcPr>
            <w:vAlign w:val="center"/>
          </w:tcPr>
          <w:p>
            <w:pPr>
              <w:jc w:val="right"/>
            </w:pPr>
            <w:r>
              <w:rPr>
                <w:color w:val="000000"/>
                <w:sz w:val="24"/>
                <w:szCs w:val="24"/>
              </w:rPr>
              <w:t>15,954,075.00</w:t>
            </w:r>
          </w:p>
        </w:tc>
        <w:tc>
          <w:tcPr>
            <w:vAlign w:val="center"/>
          </w:tcPr>
          <w:p>
            <w:pPr>
              <w:jc w:val="right"/>
            </w:pPr>
            <w:r>
              <w:rPr>
                <w:color w:val="000000"/>
                <w:sz w:val="24"/>
                <w:szCs w:val="24"/>
              </w:rPr>
              <w:t>4.35</w:t>
            </w:r>
          </w:p>
        </w:tc>
      </w:tr>
      <w:tr>
        <w:tc>
          <w:tcPr>
            <w:vAlign w:val="center"/>
          </w:tcPr>
          <w:p>
            <w:pPr>
              <w:jc w:val="center"/>
            </w:pPr>
            <w:r>
              <w:rPr>
                <w:color w:val="000000"/>
                <w:sz w:val="24"/>
                <w:szCs w:val="24"/>
              </w:rPr>
              <w:t>9</w:t>
            </w:r>
          </w:p>
        </w:tc>
        <w:tc>
          <w:tcPr>
            <w:vAlign w:val="center"/>
          </w:tcPr>
          <w:p>
            <w:pPr>
              <w:jc w:val="center"/>
            </w:pPr>
            <w:r>
              <w:rPr>
                <w:color w:val="000000"/>
                <w:sz w:val="24"/>
                <w:szCs w:val="24"/>
              </w:rPr>
              <w:t>603882</w:t>
            </w:r>
          </w:p>
        </w:tc>
        <w:tc>
          <w:tcPr>
            <w:vAlign w:val="center"/>
          </w:tcPr>
          <w:p>
            <w:pPr>
              <w:jc w:val="center"/>
            </w:pPr>
            <w:r>
              <w:rPr>
                <w:color w:val="000000"/>
                <w:sz w:val="24"/>
                <w:szCs w:val="24"/>
              </w:rPr>
              <w:t>金域医学</w:t>
            </w:r>
          </w:p>
        </w:tc>
        <w:tc>
          <w:tcPr>
            <w:vAlign w:val="center"/>
          </w:tcPr>
          <w:p>
            <w:pPr>
              <w:jc w:val="right"/>
            </w:pPr>
            <w:r>
              <w:rPr>
                <w:color w:val="000000"/>
                <w:sz w:val="24"/>
                <w:szCs w:val="24"/>
              </w:rPr>
              <w:t>143,656</w:t>
            </w:r>
          </w:p>
        </w:tc>
        <w:tc>
          <w:tcPr>
            <w:vAlign w:val="center"/>
          </w:tcPr>
          <w:p>
            <w:pPr>
              <w:jc w:val="right"/>
            </w:pPr>
            <w:r>
              <w:rPr>
                <w:color w:val="000000"/>
                <w:sz w:val="24"/>
                <w:szCs w:val="24"/>
              </w:rPr>
              <w:t>12,857,212.00</w:t>
            </w:r>
          </w:p>
        </w:tc>
        <w:tc>
          <w:tcPr>
            <w:vAlign w:val="center"/>
          </w:tcPr>
          <w:p>
            <w:pPr>
              <w:jc w:val="right"/>
            </w:pPr>
            <w:r>
              <w:rPr>
                <w:color w:val="000000"/>
                <w:sz w:val="24"/>
                <w:szCs w:val="24"/>
              </w:rPr>
              <w:t>3.51</w:t>
            </w:r>
          </w:p>
        </w:tc>
      </w:tr>
      <w:tr>
        <w:tc>
          <w:tcPr>
            <w:vAlign w:val="center"/>
          </w:tcPr>
          <w:p>
            <w:pPr>
              <w:jc w:val="center"/>
            </w:pPr>
            <w:r>
              <w:rPr>
                <w:color w:val="000000"/>
                <w:sz w:val="24"/>
                <w:szCs w:val="24"/>
              </w:rPr>
              <w:t>10</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195,300</w:t>
            </w:r>
          </w:p>
        </w:tc>
        <w:tc>
          <w:tcPr>
            <w:vAlign w:val="center"/>
          </w:tcPr>
          <w:p>
            <w:pPr>
              <w:jc w:val="right"/>
            </w:pPr>
            <w:r>
              <w:rPr>
                <w:color w:val="000000"/>
                <w:sz w:val="24"/>
                <w:szCs w:val="24"/>
              </w:rPr>
              <w:t>11,327,400.00</w:t>
            </w:r>
          </w:p>
        </w:tc>
        <w:tc>
          <w:tcPr>
            <w:vAlign w:val="center"/>
          </w:tcPr>
          <w:p>
            <w:pPr>
              <w:jc w:val="right"/>
            </w:pPr>
            <w:r>
              <w:rPr>
                <w:color w:val="000000"/>
                <w:sz w:val="24"/>
                <w:szCs w:val="24"/>
              </w:rPr>
              <w:t>3.09</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262,291.98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8,885,445.68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8,040.68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4,531,617.07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13,687,395.41</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410,096,895.64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62,894,829.20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211,364,024.43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261,627,700.41</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1、中国证监会准予交银施罗德品质升级混合型证券投资基金募集注册的文件；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2、《交银施罗德品质升级混合型证券投资基金基金合同》；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3、《交银施罗德品质升级混合型证券投资基金招募说明书》；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4、《交银施罗德品质升级混合型证券投资基金托管协议》；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5、关于申请募集注册交银施罗德品质升级混合型证券投资基金的法律意见书；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8、报告期内交银施罗德品质升级混合型证券投资基金在指定报刊上各项公告的原稿。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交银施罗德品质升级混合型证券投资基金2020年第2季度报告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