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交银施罗德稳固收益债券型证券投资基金</w:t>
      </w:r>
    </w:p>
    <w:p w:rsidP="00C15CAC" w:rsidR="002279D3" w:rsidRDefault="002279D3" w:rsidRPr="0081286B">
      <w:pPr>
        <w:spacing w:before="29" w:line="288" w:lineRule="auto"/>
        <w:jc w:val="center"/>
        <w:rPr>
          <w:b/>
          <w:sz w:val="36"/>
          <w:szCs w:val="36"/>
        </w:rPr>
      </w:pPr>
      <w:r w:rsidRPr="0081286B">
        <w:rPr>
          <w:b/>
          <w:sz w:val="36"/>
          <w:szCs w:val="36"/>
        </w:rPr>
        <w:t>2020年第2季度报告</w:t>
      </w:r>
    </w:p>
    <w:p w:rsidP="00C15CAC" w:rsidR="004061AC" w:rsidRDefault="00655CD8" w:rsidRPr="0081286B">
      <w:pPr>
        <w:spacing w:before="29" w:line="288" w:lineRule="auto"/>
        <w:jc w:val="center"/>
        <w:rPr>
          <w:b/>
          <w:sz w:val="36"/>
          <w:szCs w:val="36"/>
        </w:rPr>
      </w:pPr>
      <w:r w:rsidRPr="0081286B">
        <w:rPr>
          <w:b/>
          <w:sz w:val="36"/>
          <w:szCs w:val="36"/>
        </w:rPr>
        <w:t>2020年6月30日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二〇二〇年七月二十一日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基金托管人中国农业银行股份有限公司根据本基金合同规定，于2020年7月20日复核了本报告中的财务指标、净值表现和投资组合报告等内容，保证复核内容不存在虚假记载、误导性陈述或者重大遗漏。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本报告期自2020年4月1日起至6月30日止。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交银稳固收益债券</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519726</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519726</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2019年5月31日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61,037,729.39</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在追求本金安全、有效控制风险的基础上，力争实现基金资产的持续稳定增值。</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pPr>
              <w:adjustRightInd w:val="0"/>
              <w:spacing w:before="29" w:line="288" w:lineRule="auto"/>
              <w:ind w:left="17"/>
              <w:jc w:val="left"/>
              <w:rPr>
                <w:color w:val="000000"/>
                <w:sz w:val="24"/>
                <w:szCs w:val="24"/>
              </w:rPr>
            </w:pPr>
            <w:r>
              <w:rPr>
                <w:color w:val="000000"/>
                <w:kern w:val="0"/>
                <w:sz w:val="24"/>
                <w:szCs w:val="24"/>
              </w:rPr>
              <w:t>本基金在逐期追求投资本金安全的风险控制目标下追求基金收益的稳定递增。自转型完成之日起，本基金以3 年为一个运作周期逐期运作，每一运作周期期满后且后一运作周期起始日前，安排不少于5 个工作日的运作调整期，除对持续持有期少于7日的基金份额持有人收取不低于1.5%的赎回费以外，投资者在运作调整期内办理本基金的申购和赎回业务时不收取申购、赎回费用。</w:t>
            </w:r>
          </w:p>
          <w:p>
            <w:pPr>
              <w:adjustRightInd w:val="0"/>
              <w:spacing w:before="29" w:line="288" w:lineRule="auto"/>
              <w:ind w:left="17"/>
              <w:jc w:val="left"/>
              <w:rPr>
                <w:color w:val="000000"/>
                <w:sz w:val="24"/>
                <w:szCs w:val="24"/>
              </w:rPr>
            </w:pPr>
            <w:r>
              <w:rPr>
                <w:color w:val="000000"/>
                <w:kern w:val="0"/>
                <w:sz w:val="24"/>
                <w:szCs w:val="24"/>
              </w:rPr>
              <w:t>本基金在每一运作周期的投资目标为力求期末基金份额净值加上该运作周期累计分红金额不低于该运作周期第1 个工作日的基金份额净值。在每一运作周期中，本基金通过适当的投资策略和运作机制，优化基金组合的风险收益和流动性，增强对组合流动性的保护，力争实现设定的投资目标，满足投资人获取持续稳定收益的需求。</w:t>
            </w:r>
          </w:p>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本基金不设置担保人或保本义务人，不承诺基金份额持有人在本基金运作周期期满时可以获得保本金额的保证。</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三年期银行定期存款税后收益率</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本基金为债券型证券投资基金，其长期平均的预期收益和风险高于货币市场基金，低于混合型基金和股票型基金。</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注：本基金于2019年5月31日由交银施罗德荣祥保本混合型证券投资基金转型为交银施罗德稳固收益债券型证券投资基金，新基金合同及托管协议即日起生效。</w:t>
      </w:r>
    </w:p>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(2020年4月1日-2020年6月30日)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1,493,253.02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1,191,821.47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0.0142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69,925,229.44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1.146</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1.42%</w:t>
            </w:r>
          </w:p>
        </w:tc>
        <w:tc>
          <w:tcPr>
            <w:vAlign w:val="center"/>
          </w:tcPr>
          <w:p>
            <w:pPr>
              <w:jc w:val="center"/>
            </w:pPr>
            <w:r>
              <w:rPr>
                <w:color w:val="000000"/>
                <w:sz w:val="24"/>
                <w:szCs w:val="24"/>
              </w:rPr>
              <w:t>0.14%</w:t>
            </w:r>
          </w:p>
        </w:tc>
        <w:tc>
          <w:tcPr>
            <w:vAlign w:val="center"/>
          </w:tcPr>
          <w:p>
            <w:pPr>
              <w:jc w:val="center"/>
            </w:pPr>
            <w:r>
              <w:rPr>
                <w:color w:val="000000"/>
                <w:sz w:val="24"/>
                <w:szCs w:val="24"/>
              </w:rPr>
              <w:t>0.70%</w:t>
            </w:r>
          </w:p>
        </w:tc>
        <w:tc>
          <w:tcPr>
            <w:vAlign w:val="center"/>
          </w:tcPr>
          <w:p>
            <w:pPr>
              <w:jc w:val="center"/>
            </w:pPr>
            <w:r>
              <w:rPr>
                <w:color w:val="000000"/>
                <w:sz w:val="24"/>
                <w:szCs w:val="24"/>
              </w:rPr>
              <w:t>0.01%</w:t>
            </w:r>
          </w:p>
        </w:tc>
        <w:tc>
          <w:tcPr>
            <w:vAlign w:val="center"/>
          </w:tcPr>
          <w:p>
            <w:pPr>
              <w:jc w:val="center"/>
            </w:pPr>
            <w:r>
              <w:rPr>
                <w:color w:val="000000"/>
                <w:sz w:val="24"/>
                <w:szCs w:val="24"/>
              </w:rPr>
              <w:t>0.72%</w:t>
            </w:r>
          </w:p>
        </w:tc>
        <w:tc>
          <w:tcPr>
            <w:vAlign w:val="center"/>
          </w:tcPr>
          <w:p>
            <w:pPr>
              <w:jc w:val="center"/>
            </w:pPr>
            <w:r>
              <w:rPr>
                <w:color w:val="000000"/>
                <w:sz w:val="24"/>
                <w:szCs w:val="24"/>
              </w:rPr>
              <w:t>0.13%</w:t>
            </w:r>
          </w:p>
        </w:tc>
      </w:tr>
      <w:tr>
        <w:tc>
          <w:tcPr>
            <w:vAlign w:val="center"/>
          </w:tcPr>
          <w:p>
            <w:pPr>
              <w:jc w:val="left"/>
            </w:pPr>
            <w:r>
              <w:rPr>
                <w:color w:val="000000"/>
                <w:sz w:val="24"/>
                <w:szCs w:val="24"/>
              </w:rPr>
              <w:t>过去六个月</w:t>
            </w:r>
          </w:p>
        </w:tc>
        <w:tc>
          <w:tcPr>
            <w:vAlign w:val="center"/>
          </w:tcPr>
          <w:p>
            <w:pPr>
              <w:jc w:val="center"/>
            </w:pPr>
            <w:r>
              <w:rPr>
                <w:color w:val="000000"/>
                <w:sz w:val="24"/>
                <w:szCs w:val="24"/>
              </w:rPr>
              <w:t>3.06%</w:t>
            </w:r>
          </w:p>
        </w:tc>
        <w:tc>
          <w:tcPr>
            <w:vAlign w:val="center"/>
          </w:tcPr>
          <w:p>
            <w:pPr>
              <w:jc w:val="center"/>
            </w:pPr>
            <w:r>
              <w:rPr>
                <w:color w:val="000000"/>
                <w:sz w:val="24"/>
                <w:szCs w:val="24"/>
              </w:rPr>
              <w:t>0.22%</w:t>
            </w:r>
          </w:p>
        </w:tc>
        <w:tc>
          <w:tcPr>
            <w:vAlign w:val="center"/>
          </w:tcPr>
          <w:p>
            <w:pPr>
              <w:jc w:val="center"/>
            </w:pPr>
            <w:r>
              <w:rPr>
                <w:color w:val="000000"/>
                <w:sz w:val="24"/>
                <w:szCs w:val="24"/>
              </w:rPr>
              <w:t>1.39%</w:t>
            </w:r>
          </w:p>
        </w:tc>
        <w:tc>
          <w:tcPr>
            <w:vAlign w:val="center"/>
          </w:tcPr>
          <w:p>
            <w:pPr>
              <w:jc w:val="center"/>
            </w:pPr>
            <w:r>
              <w:rPr>
                <w:color w:val="000000"/>
                <w:sz w:val="24"/>
                <w:szCs w:val="24"/>
              </w:rPr>
              <w:t>0.01%</w:t>
            </w:r>
          </w:p>
        </w:tc>
        <w:tc>
          <w:tcPr>
            <w:vAlign w:val="center"/>
          </w:tcPr>
          <w:p>
            <w:pPr>
              <w:jc w:val="center"/>
            </w:pPr>
            <w:r>
              <w:rPr>
                <w:color w:val="000000"/>
                <w:sz w:val="24"/>
                <w:szCs w:val="24"/>
              </w:rPr>
              <w:t>1.67%</w:t>
            </w:r>
          </w:p>
        </w:tc>
        <w:tc>
          <w:tcPr>
            <w:vAlign w:val="center"/>
          </w:tcPr>
          <w:p>
            <w:pPr>
              <w:jc w:val="center"/>
            </w:pPr>
            <w:r>
              <w:rPr>
                <w:color w:val="000000"/>
                <w:sz w:val="24"/>
                <w:szCs w:val="24"/>
              </w:rPr>
              <w:t>0.21%</w:t>
            </w:r>
          </w:p>
        </w:tc>
      </w:tr>
      <w:tr>
        <w:tc>
          <w:tcPr>
            <w:vAlign w:val="center"/>
          </w:tcPr>
          <w:p>
            <w:pPr>
              <w:jc w:val="left"/>
            </w:pPr>
            <w:r>
              <w:rPr>
                <w:color w:val="000000"/>
                <w:sz w:val="24"/>
                <w:szCs w:val="24"/>
              </w:rPr>
              <w:t>过去一年</w:t>
            </w:r>
          </w:p>
        </w:tc>
        <w:tc>
          <w:tcPr>
            <w:vAlign w:val="center"/>
          </w:tcPr>
          <w:p>
            <w:pPr>
              <w:jc w:val="center"/>
            </w:pPr>
            <w:r>
              <w:rPr>
                <w:color w:val="000000"/>
                <w:sz w:val="24"/>
                <w:szCs w:val="24"/>
              </w:rPr>
              <w:t>6.51%</w:t>
            </w:r>
          </w:p>
        </w:tc>
        <w:tc>
          <w:tcPr>
            <w:vAlign w:val="center"/>
          </w:tcPr>
          <w:p>
            <w:pPr>
              <w:jc w:val="center"/>
            </w:pPr>
            <w:r>
              <w:rPr>
                <w:color w:val="000000"/>
                <w:sz w:val="24"/>
                <w:szCs w:val="24"/>
              </w:rPr>
              <w:t>0.18%</w:t>
            </w:r>
          </w:p>
        </w:tc>
        <w:tc>
          <w:tcPr>
            <w:vAlign w:val="center"/>
          </w:tcPr>
          <w:p>
            <w:pPr>
              <w:jc w:val="center"/>
            </w:pPr>
            <w:r>
              <w:rPr>
                <w:color w:val="000000"/>
                <w:sz w:val="24"/>
                <w:szCs w:val="24"/>
              </w:rPr>
              <w:t>2.80%</w:t>
            </w:r>
          </w:p>
        </w:tc>
        <w:tc>
          <w:tcPr>
            <w:vAlign w:val="center"/>
          </w:tcPr>
          <w:p>
            <w:pPr>
              <w:jc w:val="center"/>
            </w:pPr>
            <w:r>
              <w:rPr>
                <w:color w:val="000000"/>
                <w:sz w:val="24"/>
                <w:szCs w:val="24"/>
              </w:rPr>
              <w:t>0.01%</w:t>
            </w:r>
          </w:p>
        </w:tc>
        <w:tc>
          <w:tcPr>
            <w:vAlign w:val="center"/>
          </w:tcPr>
          <w:p>
            <w:pPr>
              <w:jc w:val="center"/>
            </w:pPr>
            <w:r>
              <w:rPr>
                <w:color w:val="000000"/>
                <w:sz w:val="24"/>
                <w:szCs w:val="24"/>
              </w:rPr>
              <w:t>3.71%</w:t>
            </w:r>
          </w:p>
        </w:tc>
        <w:tc>
          <w:tcPr>
            <w:vAlign w:val="center"/>
          </w:tcPr>
          <w:p>
            <w:pPr>
              <w:jc w:val="center"/>
            </w:pPr>
            <w:r>
              <w:rPr>
                <w:color w:val="000000"/>
                <w:sz w:val="24"/>
                <w:szCs w:val="24"/>
              </w:rPr>
              <w:t>0.17%</w:t>
            </w:r>
          </w:p>
        </w:tc>
      </w:tr>
      <w:tr>
        <w:tc>
          <w:tcPr>
            <w:vAlign w:val="center"/>
          </w:tcPr>
          <w:p>
            <w:pPr>
              <w:jc w:val="left"/>
            </w:pPr>
            <w:r>
              <w:rPr>
                <w:color w:val="000000"/>
                <w:sz w:val="24"/>
                <w:szCs w:val="24"/>
              </w:rPr>
              <w:t>自基金合同生效起至今</w:t>
            </w:r>
          </w:p>
        </w:tc>
        <w:tc>
          <w:tcPr>
            <w:vAlign w:val="center"/>
          </w:tcPr>
          <w:p>
            <w:pPr>
              <w:jc w:val="center"/>
            </w:pPr>
            <w:r>
              <w:rPr>
                <w:color w:val="000000"/>
                <w:sz w:val="24"/>
                <w:szCs w:val="24"/>
              </w:rPr>
              <w:t>6.60%</w:t>
            </w:r>
          </w:p>
        </w:tc>
        <w:tc>
          <w:tcPr>
            <w:vAlign w:val="center"/>
          </w:tcPr>
          <w:p>
            <w:pPr>
              <w:jc w:val="center"/>
            </w:pPr>
            <w:r>
              <w:rPr>
                <w:color w:val="000000"/>
                <w:sz w:val="24"/>
                <w:szCs w:val="24"/>
              </w:rPr>
              <w:t>0.17%</w:t>
            </w:r>
          </w:p>
        </w:tc>
        <w:tc>
          <w:tcPr>
            <w:vAlign w:val="center"/>
          </w:tcPr>
          <w:p>
            <w:pPr>
              <w:jc w:val="center"/>
            </w:pPr>
            <w:r>
              <w:rPr>
                <w:color w:val="000000"/>
                <w:sz w:val="24"/>
                <w:szCs w:val="24"/>
              </w:rPr>
              <w:t>3.03%</w:t>
            </w:r>
          </w:p>
        </w:tc>
        <w:tc>
          <w:tcPr>
            <w:vAlign w:val="center"/>
          </w:tcPr>
          <w:p>
            <w:pPr>
              <w:jc w:val="center"/>
            </w:pPr>
            <w:r>
              <w:rPr>
                <w:color w:val="000000"/>
                <w:sz w:val="24"/>
                <w:szCs w:val="24"/>
              </w:rPr>
              <w:t>0.01%</w:t>
            </w:r>
          </w:p>
        </w:tc>
        <w:tc>
          <w:tcPr>
            <w:vAlign w:val="center"/>
          </w:tcPr>
          <w:p>
            <w:pPr>
              <w:jc w:val="center"/>
            </w:pPr>
            <w:r>
              <w:rPr>
                <w:color w:val="000000"/>
                <w:sz w:val="24"/>
                <w:szCs w:val="24"/>
              </w:rPr>
              <w:t>3.57%</w:t>
            </w:r>
          </w:p>
        </w:tc>
        <w:tc>
          <w:tcPr>
            <w:vAlign w:val="center"/>
          </w:tcPr>
          <w:p>
            <w:pPr>
              <w:jc w:val="center"/>
            </w:pPr>
            <w:r>
              <w:rPr>
                <w:color w:val="000000"/>
                <w:sz w:val="24"/>
                <w:szCs w:val="24"/>
              </w:rPr>
              <w:t>0.16%</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自基金转型以来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交银施罗德稳固收益债券型证券投资基金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2019年5月31日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2020年6月30日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由交银施罗德荣祥保本混合型证券投资基金转型而来。基金转型日为2019年5月31日。本基金的投资转型期为交银施罗德荣祥保本混合型证券投资基金保本周期到期选择期截止日次日（即2019年5月31日）起的3个月。截至投资转型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凌超</w:t>
            </w:r>
          </w:p>
        </w:tc>
        <w:tc>
          <w:tcPr>
            <w:vAlign w:val="center"/>
          </w:tcPr>
          <w:p>
            <w:pPr>
              <w:jc w:val="center"/>
            </w:pPr>
            <w:r>
              <w:rPr>
                <w:color w:val="000000"/>
                <w:sz w:val="24"/>
                <w:szCs w:val="24"/>
              </w:rPr>
              <w:t>交银定期支付月月丰债券、交银增强收益债券、交银强化回报债券、交银周期回报灵活配置混合、交银新回报灵活配置混合、交银多策略回报灵活配置混合、交银优选回报灵活配置混合、交银优择回报灵活配置混合、交银瑞鑫定期开放灵活配置混合、交银增利增强债券、交银恒益灵活配置混合、交银裕祥纯债债券、交银稳固收益债券的基金经理，公司固定收益(公募)投资副总监</w:t>
            </w:r>
          </w:p>
        </w:tc>
        <w:tc>
          <w:tcPr>
            <w:vAlign w:val="center"/>
          </w:tcPr>
          <w:p>
            <w:pPr>
              <w:jc w:val="center"/>
            </w:pPr>
            <w:r>
              <w:rPr>
                <w:color w:val="000000"/>
                <w:sz w:val="24"/>
                <w:szCs w:val="24"/>
              </w:rPr>
              <w:t>2019-02-28</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凌超先生，华中科技大学数量经济学硕士、武汉科技大学信息与计算科学学士。2006年至2009年任长江证券股份有限公司研究员、投资经理，2009年至2012年任光大保德信基金有限管理公司研究员、基金助理、基金经理，2012年至2016年任海富通基金管理有限公司投资顾问、基金经理，2016年至2017年任天弘基金管理有限公司固定收益部副总经理、基金经理。2010年8月31日至2012年3月1日任光大保德信货币市场基金基金经理，2013年12月19日至2016年1月12日任海富通一年定期开放债券型证券投资基金基金经理，2014年4月2日至2016年1月12日任海富通纯债债券型证券投资基金基金经理，2014年12月1日至2016年1月12日任海富通稳固收益债券型证券投资基金基金经理，2016年5月14日至2017年7月13日任天弘弘利债券型证券投资基金基金经理，2016年5月14日至2017年7月13日任天弘裕利灵活配置混合型证券投资基金基金经理，2016年5月14日至2017年7月13日任天弘债券型发起式证券投资基金基金经理。2017年7月加入交银施罗德基金管理有限公司。2019年2月28日至2019年5月30日担任转型前的交银施罗德荣祥保本混合型证券投资基金的基金经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本报告期内，债券市场初期走势仍然较为火热，但随着后期资金面利率水平上行、央行货币政策防空转及经济逐步复苏的影响，收益率呈现先下后上的V型走势。四月，因市场资金面仍然相对宽裕，国外新冠病情持续发酵，受悲观预期影响，债市仍在持续火热。但步入五月伊始，国内疫情逐步控制，经济逐步恢复企稳，央行开始关注资金空转的影响，引导资金利率水平上行，政策开始趋向精准投放以提高信用派生的针对性和有效性，债券收益率开始触底回升；进入六月，经济持续恢复，资金利率水平维持在高位，信用派生政策持续发力，债券利率持续上行后，逐步进入高位震荡状态。</w:t>
      </w:r>
    </w:p>
    <w:p>
      <w:pPr>
        <w:spacing w:before="29" w:line="288" w:lineRule="auto"/>
        <w:ind w:firstLine="480" w:firstLineChars="200"/>
        <w:rPr>
          <w:color w:val="000000"/>
          <w:sz w:val="24"/>
          <w:szCs w:val="24"/>
        </w:rPr>
      </w:pPr>
      <w:r>
        <w:rPr>
          <w:color w:val="000000"/>
          <w:sz w:val="24"/>
          <w:szCs w:val="24"/>
        </w:rPr>
        <w:t>二季度，权益市场走势较为良好，在经济逐步企稳恢复、全球流动性同时宽裕的背景下，主要指数表现趋势上涨的势头，特别是创业板指数更是持续上行并创出年内新高。在四月，市场逐步企稳恢复，消费医药和业绩较好的科技类个股表现突出，五月国内经济逐步恢复，经济托底相关政策也不断出台，市场出现进一步回暖，医药消费、消费电子龙头品种、新能源汽车产业链等品种均表现亮眼。步入六月之后，虽然国外疫情仍然持续，但各国主要股指均进一步回升，部分指数甚至接近大跌之前的位置。A股主要指数也大幅恢复，创业板指数更是创下年内新高。</w:t>
      </w:r>
    </w:p>
    <w:p>
      <w:pPr>
        <w:spacing w:before="29" w:line="288" w:lineRule="auto"/>
        <w:ind w:firstLine="480" w:firstLineChars="200"/>
        <w:rPr>
          <w:color w:val="000000"/>
          <w:sz w:val="24"/>
          <w:szCs w:val="24"/>
        </w:rPr>
      </w:pPr>
      <w:r>
        <w:rPr>
          <w:color w:val="000000"/>
          <w:sz w:val="24"/>
          <w:szCs w:val="24"/>
        </w:rPr>
        <w:t>因此在基金操作中，债券部分我们利率债底仓基本维持中短久期没有变化。权益方面，保持中上水平的仓位，参与了医药消费、新能源车和科技类等主流板块的投资机会。随着相关行业的不断上涨，在季末对组合行业配置进行了一定调整，使之更趋于平衡，以提高配置结构的稳定性。</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三季度，随着经济的逐步复苏，新冠疫情影响的逐步趋弱，债券预期将维持震荡的格局。目前来看，政策带来的经济复苏更多是出于对冲经济下滑幅度和就业维持稳定的良好状态，在不出现政策大幅度向投资转向的背景下，经济向上弹性较弱，债券收益率暂时看不到太大上行空间。由于经济目前仍在复苏过程之中，货币政策短期进一步宽松的可能性下降，债市在目前收益率水平下趋于震荡的概率偏大。权益方面，在增量资金不断涌入市场的背景下，仍然较为看好市场的表现，关注景气度较好和政策受益板块的相关投资机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10,097,913.36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13.95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10,097,913.36</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13.95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56,867,254.20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56,867,254.20</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78.55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4,345,520.37</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6.00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1,087,441.14</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1.50</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72,398,129.07</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4,898,299.36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722,040.00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2,190,830.00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3.13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1,582,584.00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2.26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704,160.00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10,097,913.36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14.44</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002314</w:t>
            </w:r>
          </w:p>
        </w:tc>
        <w:tc>
          <w:tcPr>
            <w:vAlign w:val="center"/>
          </w:tcPr>
          <w:p>
            <w:pPr>
              <w:jc w:val="center"/>
            </w:pPr>
            <w:r>
              <w:rPr>
                <w:color w:val="000000"/>
                <w:sz w:val="24"/>
                <w:szCs w:val="24"/>
              </w:rPr>
              <w:t>南山控股</w:t>
            </w:r>
          </w:p>
        </w:tc>
        <w:tc>
          <w:tcPr>
            <w:vAlign w:val="center"/>
          </w:tcPr>
          <w:p>
            <w:pPr>
              <w:jc w:val="right"/>
            </w:pPr>
            <w:r>
              <w:rPr>
                <w:color w:val="000000"/>
                <w:sz w:val="24"/>
                <w:szCs w:val="24"/>
              </w:rPr>
              <w:t>420,900</w:t>
            </w:r>
          </w:p>
        </w:tc>
        <w:tc>
          <w:tcPr>
            <w:vAlign w:val="center"/>
          </w:tcPr>
          <w:p>
            <w:pPr>
              <w:jc w:val="right"/>
            </w:pPr>
            <w:r>
              <w:rPr>
                <w:color w:val="000000"/>
                <w:sz w:val="24"/>
                <w:szCs w:val="24"/>
              </w:rPr>
              <w:t>1,582,584.00</w:t>
            </w:r>
          </w:p>
        </w:tc>
        <w:tc>
          <w:tcPr>
            <w:vAlign w:val="center"/>
          </w:tcPr>
          <w:p>
            <w:pPr>
              <w:jc w:val="right"/>
            </w:pPr>
            <w:r>
              <w:rPr>
                <w:color w:val="000000"/>
                <w:sz w:val="24"/>
                <w:szCs w:val="24"/>
              </w:rPr>
              <w:t>2.26</w:t>
            </w:r>
          </w:p>
        </w:tc>
      </w:tr>
      <w:tr>
        <w:tc>
          <w:tcPr>
            <w:vAlign w:val="center"/>
          </w:tcPr>
          <w:p>
            <w:pPr>
              <w:jc w:val="center"/>
            </w:pPr>
            <w:r>
              <w:rPr>
                <w:color w:val="000000"/>
                <w:sz w:val="24"/>
                <w:szCs w:val="24"/>
              </w:rPr>
              <w:t>2</w:t>
            </w:r>
          </w:p>
        </w:tc>
        <w:tc>
          <w:tcPr>
            <w:vAlign w:val="center"/>
          </w:tcPr>
          <w:p>
            <w:pPr>
              <w:jc w:val="center"/>
            </w:pPr>
            <w:r>
              <w:rPr>
                <w:color w:val="000000"/>
                <w:sz w:val="24"/>
                <w:szCs w:val="24"/>
              </w:rPr>
              <w:t>002028</w:t>
            </w:r>
          </w:p>
        </w:tc>
        <w:tc>
          <w:tcPr>
            <w:vAlign w:val="center"/>
          </w:tcPr>
          <w:p>
            <w:pPr>
              <w:jc w:val="center"/>
            </w:pPr>
            <w:r>
              <w:rPr>
                <w:color w:val="000000"/>
                <w:sz w:val="24"/>
                <w:szCs w:val="24"/>
              </w:rPr>
              <w:t>思源电气</w:t>
            </w:r>
          </w:p>
        </w:tc>
        <w:tc>
          <w:tcPr>
            <w:vAlign w:val="center"/>
          </w:tcPr>
          <w:p>
            <w:pPr>
              <w:jc w:val="right"/>
            </w:pPr>
            <w:r>
              <w:rPr>
                <w:color w:val="000000"/>
                <w:sz w:val="24"/>
                <w:szCs w:val="24"/>
              </w:rPr>
              <w:t>52,000</w:t>
            </w:r>
          </w:p>
        </w:tc>
        <w:tc>
          <w:tcPr>
            <w:vAlign w:val="center"/>
          </w:tcPr>
          <w:p>
            <w:pPr>
              <w:jc w:val="right"/>
            </w:pPr>
            <w:r>
              <w:rPr>
                <w:color w:val="000000"/>
                <w:sz w:val="24"/>
                <w:szCs w:val="24"/>
              </w:rPr>
              <w:t>1,063,920.00</w:t>
            </w:r>
          </w:p>
        </w:tc>
        <w:tc>
          <w:tcPr>
            <w:vAlign w:val="center"/>
          </w:tcPr>
          <w:p>
            <w:pPr>
              <w:jc w:val="right"/>
            </w:pPr>
            <w:r>
              <w:rPr>
                <w:color w:val="000000"/>
                <w:sz w:val="24"/>
                <w:szCs w:val="24"/>
              </w:rPr>
              <w:t>1.52</w:t>
            </w:r>
          </w:p>
        </w:tc>
      </w:tr>
      <w:tr>
        <w:tc>
          <w:tcPr>
            <w:vAlign w:val="center"/>
          </w:tcPr>
          <w:p>
            <w:pPr>
              <w:jc w:val="center"/>
            </w:pPr>
            <w:r>
              <w:rPr>
                <w:color w:val="000000"/>
                <w:sz w:val="24"/>
                <w:szCs w:val="24"/>
              </w:rPr>
              <w:t>3</w:t>
            </w:r>
          </w:p>
        </w:tc>
        <w:tc>
          <w:tcPr>
            <w:vAlign w:val="center"/>
          </w:tcPr>
          <w:p>
            <w:pPr>
              <w:jc w:val="center"/>
            </w:pPr>
            <w:r>
              <w:rPr>
                <w:color w:val="000000"/>
                <w:sz w:val="24"/>
                <w:szCs w:val="24"/>
              </w:rPr>
              <w:t>603416</w:t>
            </w:r>
          </w:p>
        </w:tc>
        <w:tc>
          <w:tcPr>
            <w:vAlign w:val="center"/>
          </w:tcPr>
          <w:p>
            <w:pPr>
              <w:jc w:val="center"/>
            </w:pPr>
            <w:r>
              <w:rPr>
                <w:color w:val="000000"/>
                <w:sz w:val="24"/>
                <w:szCs w:val="24"/>
              </w:rPr>
              <w:t>信捷电气</w:t>
            </w:r>
          </w:p>
        </w:tc>
        <w:tc>
          <w:tcPr>
            <w:vAlign w:val="center"/>
          </w:tcPr>
          <w:p>
            <w:pPr>
              <w:jc w:val="right"/>
            </w:pPr>
            <w:r>
              <w:rPr>
                <w:color w:val="000000"/>
                <w:sz w:val="24"/>
                <w:szCs w:val="24"/>
              </w:rPr>
              <w:t>26,400</w:t>
            </w:r>
          </w:p>
        </w:tc>
        <w:tc>
          <w:tcPr>
            <w:vAlign w:val="center"/>
          </w:tcPr>
          <w:p>
            <w:pPr>
              <w:jc w:val="right"/>
            </w:pPr>
            <w:r>
              <w:rPr>
                <w:color w:val="000000"/>
                <w:sz w:val="24"/>
                <w:szCs w:val="24"/>
              </w:rPr>
              <w:t>1,052,304.00</w:t>
            </w:r>
          </w:p>
        </w:tc>
        <w:tc>
          <w:tcPr>
            <w:vAlign w:val="center"/>
          </w:tcPr>
          <w:p>
            <w:pPr>
              <w:jc w:val="right"/>
            </w:pPr>
            <w:r>
              <w:rPr>
                <w:color w:val="000000"/>
                <w:sz w:val="24"/>
                <w:szCs w:val="24"/>
              </w:rPr>
              <w:t>1.50</w:t>
            </w:r>
          </w:p>
        </w:tc>
      </w:tr>
      <w:tr>
        <w:tc>
          <w:tcPr>
            <w:vAlign w:val="center"/>
          </w:tcPr>
          <w:p>
            <w:pPr>
              <w:jc w:val="center"/>
            </w:pPr>
            <w:r>
              <w:rPr>
                <w:color w:val="000000"/>
                <w:sz w:val="24"/>
                <w:szCs w:val="24"/>
              </w:rPr>
              <w:t>4</w:t>
            </w:r>
          </w:p>
        </w:tc>
        <w:tc>
          <w:tcPr>
            <w:vAlign w:val="center"/>
          </w:tcPr>
          <w:p>
            <w:pPr>
              <w:jc w:val="center"/>
            </w:pPr>
            <w:r>
              <w:rPr>
                <w:color w:val="000000"/>
                <w:sz w:val="24"/>
                <w:szCs w:val="24"/>
              </w:rPr>
              <w:t>002555</w:t>
            </w:r>
          </w:p>
        </w:tc>
        <w:tc>
          <w:tcPr>
            <w:vAlign w:val="center"/>
          </w:tcPr>
          <w:p>
            <w:pPr>
              <w:jc w:val="center"/>
            </w:pPr>
            <w:r>
              <w:rPr>
                <w:color w:val="000000"/>
                <w:sz w:val="24"/>
                <w:szCs w:val="24"/>
              </w:rPr>
              <w:t>三七互娱</w:t>
            </w:r>
          </w:p>
        </w:tc>
        <w:tc>
          <w:tcPr>
            <w:vAlign w:val="center"/>
          </w:tcPr>
          <w:p>
            <w:pPr>
              <w:jc w:val="right"/>
            </w:pPr>
            <w:r>
              <w:rPr>
                <w:color w:val="000000"/>
                <w:sz w:val="24"/>
                <w:szCs w:val="24"/>
              </w:rPr>
              <w:t>16,000</w:t>
            </w:r>
          </w:p>
        </w:tc>
        <w:tc>
          <w:tcPr>
            <w:vAlign w:val="center"/>
          </w:tcPr>
          <w:p>
            <w:pPr>
              <w:jc w:val="right"/>
            </w:pPr>
            <w:r>
              <w:rPr>
                <w:color w:val="000000"/>
                <w:sz w:val="24"/>
                <w:szCs w:val="24"/>
              </w:rPr>
              <w:t>748,800.00</w:t>
            </w:r>
          </w:p>
        </w:tc>
        <w:tc>
          <w:tcPr>
            <w:vAlign w:val="center"/>
          </w:tcPr>
          <w:p>
            <w:pPr>
              <w:jc w:val="right"/>
            </w:pPr>
            <w:r>
              <w:rPr>
                <w:color w:val="000000"/>
                <w:sz w:val="24"/>
                <w:szCs w:val="24"/>
              </w:rPr>
              <w:t>1.07</w:t>
            </w:r>
          </w:p>
        </w:tc>
      </w:tr>
      <w:tr>
        <w:tc>
          <w:tcPr>
            <w:vAlign w:val="center"/>
          </w:tcPr>
          <w:p>
            <w:pPr>
              <w:jc w:val="center"/>
            </w:pPr>
            <w:r>
              <w:rPr>
                <w:color w:val="000000"/>
                <w:sz w:val="24"/>
                <w:szCs w:val="24"/>
              </w:rPr>
              <w:t>5</w:t>
            </w:r>
          </w:p>
        </w:tc>
        <w:tc>
          <w:tcPr>
            <w:vAlign w:val="center"/>
          </w:tcPr>
          <w:p>
            <w:pPr>
              <w:jc w:val="center"/>
            </w:pPr>
            <w:r>
              <w:rPr>
                <w:color w:val="000000"/>
                <w:sz w:val="24"/>
                <w:szCs w:val="24"/>
              </w:rPr>
              <w:t>300451</w:t>
            </w:r>
          </w:p>
        </w:tc>
        <w:tc>
          <w:tcPr>
            <w:vAlign w:val="center"/>
          </w:tcPr>
          <w:p>
            <w:pPr>
              <w:jc w:val="center"/>
            </w:pPr>
            <w:r>
              <w:rPr>
                <w:color w:val="000000"/>
                <w:sz w:val="24"/>
                <w:szCs w:val="24"/>
              </w:rPr>
              <w:t>创业慧康</w:t>
            </w:r>
          </w:p>
        </w:tc>
        <w:tc>
          <w:tcPr>
            <w:vAlign w:val="center"/>
          </w:tcPr>
          <w:p>
            <w:pPr>
              <w:jc w:val="right"/>
            </w:pPr>
            <w:r>
              <w:rPr>
                <w:color w:val="000000"/>
                <w:sz w:val="24"/>
                <w:szCs w:val="24"/>
              </w:rPr>
              <w:t>39,800</w:t>
            </w:r>
          </w:p>
        </w:tc>
        <w:tc>
          <w:tcPr>
            <w:vAlign w:val="center"/>
          </w:tcPr>
          <w:p>
            <w:pPr>
              <w:jc w:val="right"/>
            </w:pPr>
            <w:r>
              <w:rPr>
                <w:color w:val="000000"/>
                <w:sz w:val="24"/>
                <w:szCs w:val="24"/>
              </w:rPr>
              <w:t>735,902.00</w:t>
            </w:r>
          </w:p>
        </w:tc>
        <w:tc>
          <w:tcPr>
            <w:vAlign w:val="center"/>
          </w:tcPr>
          <w:p>
            <w:pPr>
              <w:jc w:val="right"/>
            </w:pPr>
            <w:r>
              <w:rPr>
                <w:color w:val="000000"/>
                <w:sz w:val="24"/>
                <w:szCs w:val="24"/>
              </w:rPr>
              <w:t>1.05</w:t>
            </w:r>
          </w:p>
        </w:tc>
      </w:tr>
      <w:tr>
        <w:tc>
          <w:tcPr>
            <w:vAlign w:val="center"/>
          </w:tcPr>
          <w:p>
            <w:pPr>
              <w:jc w:val="center"/>
            </w:pPr>
            <w:r>
              <w:rPr>
                <w:color w:val="000000"/>
                <w:sz w:val="24"/>
                <w:szCs w:val="24"/>
              </w:rPr>
              <w:t>6</w:t>
            </w:r>
          </w:p>
        </w:tc>
        <w:tc>
          <w:tcPr>
            <w:vAlign w:val="center"/>
          </w:tcPr>
          <w:p>
            <w:pPr>
              <w:jc w:val="center"/>
            </w:pPr>
            <w:r>
              <w:rPr>
                <w:color w:val="000000"/>
                <w:sz w:val="24"/>
                <w:szCs w:val="24"/>
              </w:rPr>
              <w:t>002352</w:t>
            </w:r>
          </w:p>
        </w:tc>
        <w:tc>
          <w:tcPr>
            <w:vAlign w:val="center"/>
          </w:tcPr>
          <w:p>
            <w:pPr>
              <w:jc w:val="center"/>
            </w:pPr>
            <w:r>
              <w:rPr>
                <w:color w:val="000000"/>
                <w:sz w:val="24"/>
                <w:szCs w:val="24"/>
              </w:rPr>
              <w:t>顺丰控股</w:t>
            </w:r>
          </w:p>
        </w:tc>
        <w:tc>
          <w:tcPr>
            <w:vAlign w:val="center"/>
          </w:tcPr>
          <w:p>
            <w:pPr>
              <w:jc w:val="right"/>
            </w:pPr>
            <w:r>
              <w:rPr>
                <w:color w:val="000000"/>
                <w:sz w:val="24"/>
                <w:szCs w:val="24"/>
              </w:rPr>
              <w:t>13,200</w:t>
            </w:r>
          </w:p>
        </w:tc>
        <w:tc>
          <w:tcPr>
            <w:vAlign w:val="center"/>
          </w:tcPr>
          <w:p>
            <w:pPr>
              <w:jc w:val="right"/>
            </w:pPr>
            <w:r>
              <w:rPr>
                <w:color w:val="000000"/>
                <w:sz w:val="24"/>
                <w:szCs w:val="24"/>
              </w:rPr>
              <w:t>722,040.00</w:t>
            </w:r>
          </w:p>
        </w:tc>
        <w:tc>
          <w:tcPr>
            <w:vAlign w:val="center"/>
          </w:tcPr>
          <w:p>
            <w:pPr>
              <w:jc w:val="right"/>
            </w:pPr>
            <w:r>
              <w:rPr>
                <w:color w:val="000000"/>
                <w:sz w:val="24"/>
                <w:szCs w:val="24"/>
              </w:rPr>
              <w:t>1.03</w:t>
            </w:r>
          </w:p>
        </w:tc>
      </w:tr>
      <w:tr>
        <w:tc>
          <w:tcPr>
            <w:vAlign w:val="center"/>
          </w:tcPr>
          <w:p>
            <w:pPr>
              <w:jc w:val="center"/>
            </w:pPr>
            <w:r>
              <w:rPr>
                <w:color w:val="000000"/>
                <w:sz w:val="24"/>
                <w:szCs w:val="24"/>
              </w:rPr>
              <w:t>7</w:t>
            </w:r>
          </w:p>
        </w:tc>
        <w:tc>
          <w:tcPr>
            <w:vAlign w:val="center"/>
          </w:tcPr>
          <w:p>
            <w:pPr>
              <w:jc w:val="center"/>
            </w:pPr>
            <w:r>
              <w:rPr>
                <w:color w:val="000000"/>
                <w:sz w:val="24"/>
                <w:szCs w:val="24"/>
              </w:rPr>
              <w:t>002409</w:t>
            </w:r>
          </w:p>
        </w:tc>
        <w:tc>
          <w:tcPr>
            <w:vAlign w:val="center"/>
          </w:tcPr>
          <w:p>
            <w:pPr>
              <w:jc w:val="center"/>
            </w:pPr>
            <w:r>
              <w:rPr>
                <w:color w:val="000000"/>
                <w:sz w:val="24"/>
                <w:szCs w:val="24"/>
              </w:rPr>
              <w:t>雅克科技</w:t>
            </w:r>
          </w:p>
        </w:tc>
        <w:tc>
          <w:tcPr>
            <w:vAlign w:val="center"/>
          </w:tcPr>
          <w:p>
            <w:pPr>
              <w:jc w:val="right"/>
            </w:pPr>
            <w:r>
              <w:rPr>
                <w:color w:val="000000"/>
                <w:sz w:val="24"/>
                <w:szCs w:val="24"/>
              </w:rPr>
              <w:t>13,600</w:t>
            </w:r>
          </w:p>
        </w:tc>
        <w:tc>
          <w:tcPr>
            <w:vAlign w:val="center"/>
          </w:tcPr>
          <w:p>
            <w:pPr>
              <w:jc w:val="right"/>
            </w:pPr>
            <w:r>
              <w:rPr>
                <w:color w:val="000000"/>
                <w:sz w:val="24"/>
                <w:szCs w:val="24"/>
              </w:rPr>
              <w:t>709,512.00</w:t>
            </w:r>
          </w:p>
        </w:tc>
        <w:tc>
          <w:tcPr>
            <w:vAlign w:val="center"/>
          </w:tcPr>
          <w:p>
            <w:pPr>
              <w:jc w:val="right"/>
            </w:pPr>
            <w:r>
              <w:rPr>
                <w:color w:val="000000"/>
                <w:sz w:val="24"/>
                <w:szCs w:val="24"/>
              </w:rPr>
              <w:t>1.01</w:t>
            </w:r>
          </w:p>
        </w:tc>
      </w:tr>
      <w:tr>
        <w:tc>
          <w:tcPr>
            <w:vAlign w:val="center"/>
          </w:tcPr>
          <w:p>
            <w:pPr>
              <w:jc w:val="center"/>
            </w:pPr>
            <w:r>
              <w:rPr>
                <w:color w:val="000000"/>
                <w:sz w:val="24"/>
                <w:szCs w:val="24"/>
              </w:rPr>
              <w:t>8</w:t>
            </w:r>
          </w:p>
        </w:tc>
        <w:tc>
          <w:tcPr>
            <w:vAlign w:val="center"/>
          </w:tcPr>
          <w:p>
            <w:pPr>
              <w:jc w:val="center"/>
            </w:pPr>
            <w:r>
              <w:rPr>
                <w:color w:val="000000"/>
                <w:sz w:val="24"/>
                <w:szCs w:val="24"/>
              </w:rPr>
              <w:t>600885</w:t>
            </w:r>
          </w:p>
        </w:tc>
        <w:tc>
          <w:tcPr>
            <w:vAlign w:val="center"/>
          </w:tcPr>
          <w:p>
            <w:pPr>
              <w:jc w:val="center"/>
            </w:pPr>
            <w:r>
              <w:rPr>
                <w:color w:val="000000"/>
                <w:sz w:val="24"/>
                <w:szCs w:val="24"/>
              </w:rPr>
              <w:t>宏发股份</w:t>
            </w:r>
          </w:p>
        </w:tc>
        <w:tc>
          <w:tcPr>
            <w:vAlign w:val="center"/>
          </w:tcPr>
          <w:p>
            <w:pPr>
              <w:jc w:val="right"/>
            </w:pPr>
            <w:r>
              <w:rPr>
                <w:color w:val="000000"/>
                <w:sz w:val="24"/>
                <w:szCs w:val="24"/>
              </w:rPr>
              <w:t>17,628</w:t>
            </w:r>
          </w:p>
        </w:tc>
        <w:tc>
          <w:tcPr>
            <w:vAlign w:val="center"/>
          </w:tcPr>
          <w:p>
            <w:pPr>
              <w:jc w:val="right"/>
            </w:pPr>
            <w:r>
              <w:rPr>
                <w:color w:val="000000"/>
                <w:sz w:val="24"/>
                <w:szCs w:val="24"/>
              </w:rPr>
              <w:t>707,235.36</w:t>
            </w:r>
          </w:p>
        </w:tc>
        <w:tc>
          <w:tcPr>
            <w:vAlign w:val="center"/>
          </w:tcPr>
          <w:p>
            <w:pPr>
              <w:jc w:val="right"/>
            </w:pPr>
            <w:r>
              <w:rPr>
                <w:color w:val="000000"/>
                <w:sz w:val="24"/>
                <w:szCs w:val="24"/>
              </w:rPr>
              <w:t>1.01</w:t>
            </w:r>
          </w:p>
        </w:tc>
      </w:tr>
      <w:tr>
        <w:tc>
          <w:tcPr>
            <w:vAlign w:val="center"/>
          </w:tcPr>
          <w:p>
            <w:pPr>
              <w:jc w:val="center"/>
            </w:pPr>
            <w:r>
              <w:rPr>
                <w:color w:val="000000"/>
                <w:sz w:val="24"/>
                <w:szCs w:val="24"/>
              </w:rPr>
              <w:t>9</w:t>
            </w:r>
          </w:p>
        </w:tc>
        <w:tc>
          <w:tcPr>
            <w:vAlign w:val="center"/>
          </w:tcPr>
          <w:p>
            <w:pPr>
              <w:jc w:val="center"/>
            </w:pPr>
            <w:r>
              <w:rPr>
                <w:color w:val="000000"/>
                <w:sz w:val="24"/>
                <w:szCs w:val="24"/>
              </w:rPr>
              <w:t>300031</w:t>
            </w:r>
          </w:p>
        </w:tc>
        <w:tc>
          <w:tcPr>
            <w:vAlign w:val="center"/>
          </w:tcPr>
          <w:p>
            <w:pPr>
              <w:jc w:val="center"/>
            </w:pPr>
            <w:r>
              <w:rPr>
                <w:color w:val="000000"/>
                <w:sz w:val="24"/>
                <w:szCs w:val="24"/>
              </w:rPr>
              <w:t>宝通科技</w:t>
            </w:r>
          </w:p>
        </w:tc>
        <w:tc>
          <w:tcPr>
            <w:vAlign w:val="center"/>
          </w:tcPr>
          <w:p>
            <w:pPr>
              <w:jc w:val="right"/>
            </w:pPr>
            <w:r>
              <w:rPr>
                <w:color w:val="000000"/>
                <w:sz w:val="24"/>
                <w:szCs w:val="24"/>
              </w:rPr>
              <w:t>28,200</w:t>
            </w:r>
          </w:p>
        </w:tc>
        <w:tc>
          <w:tcPr>
            <w:vAlign w:val="center"/>
          </w:tcPr>
          <w:p>
            <w:pPr>
              <w:jc w:val="right"/>
            </w:pPr>
            <w:r>
              <w:rPr>
                <w:color w:val="000000"/>
                <w:sz w:val="24"/>
                <w:szCs w:val="24"/>
              </w:rPr>
              <w:t>706,128.00</w:t>
            </w:r>
          </w:p>
        </w:tc>
        <w:tc>
          <w:tcPr>
            <w:vAlign w:val="center"/>
          </w:tcPr>
          <w:p>
            <w:pPr>
              <w:jc w:val="right"/>
            </w:pPr>
            <w:r>
              <w:rPr>
                <w:color w:val="000000"/>
                <w:sz w:val="24"/>
                <w:szCs w:val="24"/>
              </w:rPr>
              <w:t>1.01</w:t>
            </w:r>
          </w:p>
        </w:tc>
      </w:tr>
      <w:tr>
        <w:tc>
          <w:tcPr>
            <w:vAlign w:val="center"/>
          </w:tcPr>
          <w:p>
            <w:pPr>
              <w:jc w:val="center"/>
            </w:pPr>
            <w:r>
              <w:rPr>
                <w:color w:val="000000"/>
                <w:sz w:val="24"/>
                <w:szCs w:val="24"/>
              </w:rPr>
              <w:t>10</w:t>
            </w:r>
          </w:p>
        </w:tc>
        <w:tc>
          <w:tcPr>
            <w:vAlign w:val="center"/>
          </w:tcPr>
          <w:p>
            <w:pPr>
              <w:jc w:val="center"/>
            </w:pPr>
            <w:r>
              <w:rPr>
                <w:color w:val="000000"/>
                <w:sz w:val="24"/>
                <w:szCs w:val="24"/>
              </w:rPr>
              <w:t>300413</w:t>
            </w:r>
          </w:p>
        </w:tc>
        <w:tc>
          <w:tcPr>
            <w:vAlign w:val="center"/>
          </w:tcPr>
          <w:p>
            <w:pPr>
              <w:jc w:val="center"/>
            </w:pPr>
            <w:r>
              <w:rPr>
                <w:color w:val="000000"/>
                <w:sz w:val="24"/>
                <w:szCs w:val="24"/>
              </w:rPr>
              <w:t>芒果超媒</w:t>
            </w:r>
          </w:p>
        </w:tc>
        <w:tc>
          <w:tcPr>
            <w:vAlign w:val="center"/>
          </w:tcPr>
          <w:p>
            <w:pPr>
              <w:jc w:val="right"/>
            </w:pPr>
            <w:r>
              <w:rPr>
                <w:color w:val="000000"/>
                <w:sz w:val="24"/>
                <w:szCs w:val="24"/>
              </w:rPr>
              <w:t>10,800</w:t>
            </w:r>
          </w:p>
        </w:tc>
        <w:tc>
          <w:tcPr>
            <w:vAlign w:val="center"/>
          </w:tcPr>
          <w:p>
            <w:pPr>
              <w:jc w:val="right"/>
            </w:pPr>
            <w:r>
              <w:rPr>
                <w:color w:val="000000"/>
                <w:sz w:val="24"/>
                <w:szCs w:val="24"/>
              </w:rPr>
              <w:t>704,160.00</w:t>
            </w:r>
          </w:p>
        </w:tc>
        <w:tc>
          <w:tcPr>
            <w:vAlign w:val="center"/>
          </w:tcPr>
          <w:p>
            <w:pPr>
              <w:jc w:val="right"/>
            </w:pPr>
            <w:r>
              <w:rPr>
                <w:color w:val="000000"/>
                <w:sz w:val="24"/>
                <w:szCs w:val="24"/>
              </w:rPr>
              <w:t>1.01</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9C1009" w:rsidR="00CE7169" w:rsidRDefault="009C1009" w:rsidRPr="00CE7169">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Look w:firstColumn="1" w:firstRow="1" w:lastColumn="0" w:lastRow="0" w:noHBand="0" w:noVBand="1" w:val="04A0"/>
      </w:tblPr>
      <w:tblGrid>
        <w:gridCol w:w="828"/>
        <w:gridCol w:w="3302"/>
        <w:gridCol w:w="2987"/>
        <w:gridCol w:w="1751"/>
      </w:tblGrid>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序号</w:t>
            </w:r>
          </w:p>
        </w:tc>
        <w:tc>
          <w:tcPr>
            <w:tcW w:type="dxa" w:w="3302"/>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债券品种</w:t>
            </w:r>
            <w:r w:rsidR="00F71057" w:rsidRPr="00414345">
              <w:rPr>
                <w:color w:val="000000"/>
                <w:sz w:val="24"/>
                <w:szCs w:val="24"/>
              </w:rPr>
              <w:t/>
            </w:r>
          </w:p>
        </w:tc>
        <w:tc>
          <w:tcPr>
            <w:tcW w:type="dxa" w:w="2987"/>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公允价值</w:t>
            </w:r>
          </w:p>
        </w:tc>
        <w:tc>
          <w:tcPr>
            <w:tcW w:type="dxa" w:w="1751"/>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占基金资产净值比例</w:t>
            </w:r>
            <w:r w:rsidR="003F0956">
              <w:rPr>
                <w:rFonts w:hint="eastAsia"/>
                <w:color w:val="000000"/>
                <w:sz w:val="24"/>
              </w:rPr>
              <w:t>(</w:t>
            </w:r>
            <w:r w:rsidR="003F0956">
              <w:rPr>
                <w:color w:val="000000"/>
                <w:sz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1</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国家债券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46,610,280.00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66.66</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lastRenderedPageBreak/>
              <w:t>2</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央行票据</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3</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金融债券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10,256,974.20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14.67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其中：政策性金融债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10,256,974.20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14.67</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4</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企业债券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C15CAC" w:rsidR="00AC592E" w:rsidRDefault="00AC592E" w:rsidRPr="00414345">
            <w:pPr>
              <w:spacing w:before="29" w:line="288" w:lineRule="auto"/>
              <w:ind w:left="17"/>
              <w:jc w:val="center"/>
              <w:rPr>
                <w:color w:val="000000"/>
                <w:sz w:val="24"/>
                <w:szCs w:val="24"/>
              </w:rPr>
            </w:pPr>
            <w:r w:rsidRPr="00414345">
              <w:rPr>
                <w:color w:val="000000"/>
                <w:sz w:val="24"/>
                <w:szCs w:val="24"/>
              </w:rPr>
              <w:t>5</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type="dxa" w:w="828"/>
            <w:vAlign w:val="center"/>
          </w:tcPr>
          <w:p w:rsidP="00C15CAC" w:rsidR="00FB41D3" w:rsidRDefault="00FB41D3" w:rsidRPr="00414345">
            <w:pPr>
              <w:spacing w:before="29" w:line="288" w:lineRule="auto"/>
              <w:ind w:left="17"/>
              <w:jc w:val="center"/>
              <w:rPr>
                <w:color w:val="000000"/>
                <w:sz w:val="24"/>
                <w:szCs w:val="24"/>
              </w:rPr>
            </w:pPr>
            <w:r w:rsidRPr="00414345">
              <w:rPr>
                <w:color w:val="000000"/>
                <w:sz w:val="24"/>
                <w:szCs w:val="24"/>
              </w:rPr>
              <w:t>6</w:t>
            </w:r>
          </w:p>
        </w:tc>
        <w:tc>
          <w:tcPr>
            <w:tcW w:type="dxa" w:w="3302"/>
            <w:vAlign w:val="center"/>
          </w:tcPr>
          <w:p w:rsidP="00C15CAC" w:rsidR="00FB41D3" w:rsidRDefault="00FB41D3" w:rsidRPr="00414345">
            <w:pPr>
              <w:spacing w:before="29" w:line="288" w:lineRule="auto"/>
              <w:ind w:left="17"/>
              <w:jc w:val="left"/>
              <w:rPr>
                <w:color w:val="000000"/>
                <w:sz w:val="24"/>
                <w:szCs w:val="24"/>
              </w:rPr>
            </w:pPr>
            <w:r w:rsidRPr="00414345">
              <w:rPr>
                <w:color w:val="000000"/>
                <w:sz w:val="24"/>
                <w:szCs w:val="24"/>
              </w:rPr>
              <w:t>中期票据</w:t>
            </w:r>
          </w:p>
        </w:tc>
        <w:tc>
          <w:tcPr>
            <w:tcW w:type="dxa" w:w="2987"/>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FB41D3" w:rsidRDefault="00FB41D3" w:rsidRPr="00414345">
            <w:pPr>
              <w:spacing w:before="29" w:line="288" w:lineRule="auto"/>
              <w:ind w:left="17"/>
              <w:jc w:val="right"/>
              <w:rPr>
                <w:color w:val="000000"/>
                <w:sz w:val="24"/>
                <w:szCs w:val="24"/>
              </w:rPr>
            </w:pPr>
            <w:r w:rsidRPr="00414345">
              <w:rPr>
                <w:color w:val="000000"/>
                <w:sz w:val="24"/>
                <w:szCs w:val="24"/>
              </w:rPr>
              <w:t/>
            </w:r>
            <w:r w:rsidRPr="00414345">
              <w:rPr>
                <w:color w:val="000000"/>
                <w:sz w:val="24"/>
                <w:szCs w:val="24"/>
              </w:rPr>
              <w:lastRenderedPageBreak/>
              <w:t>-</w:t>
            </w:r>
          </w:p>
        </w:tc>
      </w:tr>
      <w:tr w:rsidR="00AC592E" w:rsidRPr="00414345" w:rsidTr="00F323FF">
        <w:trPr>
          <w:jc w:val="center"/>
        </w:trPr>
        <w:tc>
          <w:tcPr>
            <w:tcW w:type="dxa" w:w="828"/>
            <w:vAlign w:val="center"/>
          </w:tcPr>
          <w:p w:rsidP="00C15CAC" w:rsidR="00AC592E" w:rsidRDefault="00FB41D3" w:rsidRPr="00414345">
            <w:pPr>
              <w:spacing w:before="29" w:line="288" w:lineRule="auto"/>
              <w:ind w:left="17"/>
              <w:jc w:val="center"/>
              <w:rPr>
                <w:color w:val="000000"/>
                <w:sz w:val="24"/>
                <w:szCs w:val="24"/>
              </w:rPr>
            </w:pPr>
            <w:r w:rsidRPr="00414345">
              <w:rPr>
                <w:color w:val="000000"/>
                <w:sz w:val="24"/>
                <w:szCs w:val="24"/>
              </w:rPr>
              <w:lastRenderedPageBreak/>
              <w:t>7</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type="dxa" w:w="828"/>
            <w:vAlign w:val="center"/>
          </w:tcPr>
          <w:p w:rsidP="0006711A" w:rsidR="00F323FF" w:rsidRDefault="00F323FF" w:rsidRPr="007A70C2">
            <w:pPr>
              <w:spacing w:before="29" w:line="288" w:lineRule="auto"/>
              <w:ind w:left="17"/>
              <w:jc w:val="center"/>
              <w:rPr>
                <w:color w:val="000000"/>
                <w:sz w:val="24"/>
                <w:szCs w:val="24"/>
              </w:rPr>
            </w:pPr>
            <w:r w:rsidRPr="007A70C2">
              <w:rPr>
                <w:rFonts w:hint="eastAsia"/>
                <w:color w:val="000000"/>
                <w:sz w:val="24"/>
                <w:szCs w:val="24"/>
              </w:rPr>
              <w:t>8</w:t>
            </w:r>
          </w:p>
        </w:tc>
        <w:tc>
          <w:tcPr>
            <w:tcW w:type="dxa" w:w="3302"/>
            <w:vAlign w:val="center"/>
          </w:tcPr>
          <w:p w:rsidP="0006711A" w:rsidR="00F323FF" w:rsidRDefault="00F323FF" w:rsidRPr="007A70C2">
            <w:pPr>
              <w:spacing w:before="29" w:line="288" w:lineRule="auto"/>
              <w:ind w:left="17"/>
              <w:jc w:val="left"/>
              <w:rPr>
                <w:color w:val="000000"/>
                <w:sz w:val="24"/>
                <w:szCs w:val="24"/>
              </w:rPr>
            </w:pPr>
            <w:r w:rsidRPr="007A70C2">
              <w:rPr>
                <w:rFonts w:hint="eastAsia"/>
                <w:color w:val="000000"/>
                <w:sz w:val="24"/>
                <w:szCs w:val="24"/>
              </w:rPr>
              <w:t>同业存单</w:t>
            </w:r>
          </w:p>
        </w:tc>
        <w:tc>
          <w:tcPr>
            <w:tcW w:type="dxa" w:w="2987"/>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c>
          <w:tcPr>
            <w:tcW w:type="dxa" w:w="1751"/>
            <w:vAlign w:val="center"/>
          </w:tcPr>
          <w:p w:rsidP="0006711A" w:rsidR="00F323FF" w:rsidRDefault="00F323FF" w:rsidRPr="007A70C2">
            <w:pPr>
              <w:spacing w:before="29" w:line="288" w:lineRule="auto"/>
              <w:ind w:left="17"/>
              <w:jc w:val="right"/>
              <w:rPr>
                <w:color w:val="000000"/>
                <w:sz w:val="24"/>
                <w:szCs w:val="24"/>
              </w:rPr>
            </w:pPr>
            <w:r w:rsidRPr="007A70C2">
              <w:rPr>
                <w:rFonts w:hint="eastAsia"/>
                <w:color w:val="000000"/>
                <w:sz w:val="24"/>
                <w:szCs w:val="24"/>
              </w:rPr>
              <w:t/>
            </w:r>
            <w:r w:rsidRPr="007A70C2">
              <w:rPr>
                <w:color w:val="000000"/>
                <w:sz w:val="24"/>
                <w:szCs w:val="24"/>
              </w:rPr>
              <w:t/>
            </w:r>
            <w:r w:rsidRPr="007A70C2">
              <w:rPr>
                <w:rFonts w:hint="eastAsia"/>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9</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其他</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type="dxa" w:w="828"/>
            <w:vAlign w:val="center"/>
          </w:tcPr>
          <w:p w:rsidP="00F323FF" w:rsidR="00AC592E" w:rsidRDefault="00AC592E" w:rsidRPr="00414345">
            <w:pPr>
              <w:spacing w:before="29" w:line="288" w:lineRule="auto"/>
              <w:ind w:left="17"/>
              <w:jc w:val="center"/>
              <w:rPr>
                <w:color w:val="000000"/>
                <w:sz w:val="24"/>
                <w:szCs w:val="24"/>
              </w:rPr>
            </w:pPr>
            <w:r w:rsidRPr="00414345">
              <w:rPr>
                <w:color w:val="000000"/>
                <w:sz w:val="24"/>
                <w:szCs w:val="24"/>
              </w:rPr>
              <w:t/>
            </w:r>
            <w:r w:rsidR="00F323FF">
              <w:rPr>
                <w:rFonts w:hint="eastAsia"/>
                <w:color w:val="000000"/>
                <w:sz w:val="24"/>
                <w:szCs w:val="24"/>
              </w:rPr>
              <w:t/>
            </w:r>
            <w:r w:rsidRPr="00414345">
              <w:rPr>
                <w:color w:val="000000"/>
                <w:sz w:val="24"/>
                <w:szCs w:val="24"/>
              </w:rPr>
              <w:t>10</w:t>
            </w:r>
          </w:p>
        </w:tc>
        <w:tc>
          <w:tcPr>
            <w:tcW w:type="dxa" w:w="3302"/>
            <w:vAlign w:val="center"/>
          </w:tcPr>
          <w:p w:rsidP="00C15CAC" w:rsidR="00AC592E" w:rsidRDefault="00AC592E" w:rsidRPr="00414345">
            <w:pPr>
              <w:spacing w:before="29" w:line="288" w:lineRule="auto"/>
              <w:ind w:left="17"/>
              <w:jc w:val="left"/>
              <w:rPr>
                <w:color w:val="000000"/>
                <w:sz w:val="24"/>
                <w:szCs w:val="24"/>
              </w:rPr>
            </w:pPr>
            <w:r w:rsidRPr="00414345">
              <w:rPr>
                <w:color w:val="000000"/>
                <w:sz w:val="24"/>
                <w:szCs w:val="24"/>
              </w:rPr>
              <w:t>合计</w:t>
            </w:r>
          </w:p>
        </w:tc>
        <w:tc>
          <w:tcPr>
            <w:tcW w:type="dxa" w:w="2987"/>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56,867,254.20</w:t>
            </w:r>
          </w:p>
        </w:tc>
        <w:tc>
          <w:tcPr>
            <w:tcW w:type="dxa" w:w="1751"/>
            <w:vAlign w:val="center"/>
          </w:tcPr>
          <w:p w:rsidP="00C15CAC" w:rsidR="00AC592E" w:rsidRDefault="00AC592E" w:rsidRPr="00414345">
            <w:pPr>
              <w:spacing w:before="29" w:line="288" w:lineRule="auto"/>
              <w:ind w:left="17"/>
              <w:jc w:val="right"/>
              <w:rPr>
                <w:color w:val="000000"/>
                <w:sz w:val="24"/>
                <w:szCs w:val="24"/>
              </w:rPr>
            </w:pPr>
            <w:r w:rsidRPr="00414345">
              <w:rPr>
                <w:color w:val="000000"/>
                <w:sz w:val="24"/>
                <w:szCs w:val="24"/>
              </w:rPr>
              <w:t>81.33</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9C1009" w:rsidR="005B4C8F" w:rsidRDefault="009C1009" w:rsidRPr="005B4C8F">
      <w:pPr>
        <w:autoSpaceDE w:val="0"/>
        <w:autoSpaceDN w:val="0"/>
        <w:adjustRightInd w:val="0"/>
        <w:spacing w:before="29" w:line="288" w:lineRule="auto"/>
        <w:jc w:val="right"/>
        <w:rPr>
          <w:bCs/>
          <w:color w:val="000000"/>
          <w:kern w:val="0"/>
          <w:sz w:val="24"/>
          <w:szCs w:val="24"/>
        </w:rPr>
      </w:pPr>
      <w:r w:rsidRPr="009C1009">
        <w:rPr>
          <w:rFonts w:hint="eastAsia"/>
          <w:bCs/>
          <w:color w:val="000000"/>
          <w:kern w:val="0"/>
          <w:sz w:val="24"/>
          <w:szCs w:val="24"/>
        </w:rPr>
        <w:t/>
      </w:r>
      <w:r w:rsidRPr="009C1009">
        <w:rPr>
          <w:rFonts w:hint="eastAsia"/>
          <w:bCs/>
          <w:color w:val="000000"/>
          <w:kern w:val="0"/>
          <w:sz w:val="24"/>
          <w:szCs w:val="24"/>
        </w:rPr>
        <w:t>金额单位：人民币元</w:t>
      </w:r>
    </w:p>
    <w:tbl>
      <w:tblPr>
        <w:tblStyle w:val="af7"/>
        <w:tblW w:type="dxa" w:w="8868"/>
        <w:jc w:val="center"/>
        <w:tblLayout w:type="fixed"/>
        <w:tblCellMar>
          <w:top w:type="dxa" w:w="57"/>
          <w:bottom w:type="dxa" w:w="57"/>
        </w:tblCellMar>
        <w:tblLook w:firstColumn="1" w:firstRow="1" w:lastColumn="0" w:lastRow="0" w:noHBand="0" w:noVBand="1" w:val="04A0"/>
      </w:tblPr>
      <w:tblGrid>
        <w:gridCol w:w="850"/>
        <w:gridCol w:w="1475"/>
        <w:gridCol w:w="1769"/>
        <w:gridCol w:w="1387"/>
        <w:gridCol w:w="2150"/>
        <w:gridCol w:w="1237"/>
      </w:tblGrid>
      <w:tr w:rsidR="00D57B7C" w:rsidRPr="00414345" w:rsidTr="00A324F4">
        <w:trPr>
          <w:jc w:val="center"/>
        </w:trPr>
        <w:tc>
          <w:tcPr>
            <w:tcW w:type="dxa" w:w="817"/>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序号</w:t>
            </w:r>
          </w:p>
        </w:tc>
        <w:tc>
          <w:tcPr>
            <w:tcW w:type="dxa" w:w="141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债券代码</w:t>
            </w:r>
          </w:p>
        </w:tc>
        <w:tc>
          <w:tcPr>
            <w:tcW w:type="dxa" w:w="1701"/>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债券名称</w:t>
            </w:r>
          </w:p>
        </w:tc>
        <w:tc>
          <w:tcPr>
            <w:tcW w:type="dxa" w:w="1334"/>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数量</w:t>
            </w:r>
            <w:r w:rsidR="009D1BD9">
              <w:rPr>
                <w:rFonts w:hint="eastAsia"/>
                <w:color w:val="000000"/>
                <w:sz w:val="24"/>
              </w:rPr>
              <w:t>(</w:t>
            </w:r>
            <w:r w:rsidR="009D1BD9">
              <w:rPr>
                <w:rFonts w:hint="eastAsia"/>
                <w:color w:val="000000"/>
                <w:sz w:val="24"/>
              </w:rPr>
              <w:t>张</w:t>
            </w:r>
            <w:r w:rsidR="009D1BD9">
              <w:rPr>
                <w:color w:val="000000"/>
                <w:sz w:val="24"/>
              </w:rPr>
              <w:t>)</w:t>
            </w:r>
          </w:p>
        </w:tc>
        <w:tc>
          <w:tcPr>
            <w:tcW w:type="dxa" w:w="2068"/>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公允价值</w:t>
            </w:r>
          </w:p>
        </w:tc>
        <w:tc>
          <w:tcPr>
            <w:tcW w:type="dxa" w:w="1190"/>
            <w:vAlign w:val="center"/>
          </w:tcPr>
          <w:p w:rsidP="00C15CAC" w:rsidR="003E62FB" w:rsidRDefault="003E62FB" w:rsidRPr="00414345">
            <w:pPr>
              <w:spacing w:before="29" w:line="288" w:lineRule="auto"/>
              <w:ind w:left="17"/>
              <w:jc w:val="center"/>
              <w:rPr>
                <w:color w:val="000000"/>
                <w:sz w:val="24"/>
                <w:szCs w:val="24"/>
              </w:rPr>
            </w:pPr>
            <w:r w:rsidRPr="00414345">
              <w:rPr>
                <w:color w:val="000000"/>
                <w:sz w:val="24"/>
                <w:szCs w:val="24"/>
              </w:rPr>
              <w:t>占基金资产净值比</w:t>
            </w:r>
            <w:r w:rsidRPr="00414345">
              <w:rPr>
                <w:color w:val="000000"/>
                <w:sz w:val="24"/>
                <w:szCs w:val="24"/>
              </w:rPr>
              <w:lastRenderedPageBreak/>
              <w:t>例</w:t>
            </w:r>
            <w:r w:rsidR="003B3494"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010107</w:t>
            </w:r>
          </w:p>
        </w:tc>
        <w:tc>
          <w:tcPr>
            <w:vAlign w:val="center"/>
          </w:tcPr>
          <w:p>
            <w:pPr>
              <w:jc w:val="center"/>
            </w:pPr>
            <w:r>
              <w:rPr>
                <w:color w:val="000000"/>
                <w:sz w:val="24"/>
                <w:szCs w:val="24"/>
              </w:rPr>
              <w:t>21国债⑺</w:t>
            </w:r>
          </w:p>
        </w:tc>
        <w:tc>
          <w:tcPr>
            <w:vAlign w:val="center"/>
          </w:tcPr>
          <w:p>
            <w:pPr>
              <w:jc w:val="right"/>
            </w:pPr>
            <w:r>
              <w:rPr>
                <w:color w:val="000000"/>
                <w:sz w:val="24"/>
                <w:szCs w:val="24"/>
              </w:rPr>
              <w:t>417,000</w:t>
            </w:r>
          </w:p>
        </w:tc>
        <w:tc>
          <w:tcPr>
            <w:vAlign w:val="center"/>
          </w:tcPr>
          <w:p>
            <w:pPr>
              <w:jc w:val="right"/>
            </w:pPr>
            <w:r>
              <w:rPr>
                <w:color w:val="000000"/>
                <w:sz w:val="24"/>
                <w:szCs w:val="24"/>
              </w:rPr>
              <w:t>42,788,370.00</w:t>
            </w:r>
          </w:p>
        </w:tc>
        <w:tc>
          <w:tcPr>
            <w:vAlign w:val="center"/>
          </w:tcPr>
          <w:p>
            <w:pPr>
              <w:jc w:val="right"/>
            </w:pPr>
            <w:r>
              <w:rPr>
                <w:color w:val="000000"/>
                <w:sz w:val="24"/>
                <w:szCs w:val="24"/>
              </w:rPr>
              <w:t>61.19</w:t>
            </w:r>
          </w:p>
        </w:tc>
      </w:tr>
      <w:tr>
        <w:tc>
          <w:tcPr>
            <w:vAlign w:val="center"/>
          </w:tcPr>
          <w:p>
            <w:pPr>
              <w:jc w:val="center"/>
            </w:pPr>
            <w:r>
              <w:rPr>
                <w:color w:val="000000"/>
                <w:sz w:val="24"/>
                <w:szCs w:val="24"/>
              </w:rPr>
              <w:t>2</w:t>
            </w:r>
          </w:p>
        </w:tc>
        <w:tc>
          <w:tcPr>
            <w:vAlign w:val="center"/>
          </w:tcPr>
          <w:p>
            <w:pPr>
              <w:jc w:val="center"/>
            </w:pPr>
            <w:r>
              <w:rPr>
                <w:color w:val="000000"/>
                <w:sz w:val="24"/>
                <w:szCs w:val="24"/>
              </w:rPr>
              <w:t>018006</w:t>
            </w:r>
          </w:p>
        </w:tc>
        <w:tc>
          <w:tcPr>
            <w:vAlign w:val="center"/>
          </w:tcPr>
          <w:p>
            <w:pPr>
              <w:jc w:val="center"/>
            </w:pPr>
            <w:r>
              <w:rPr>
                <w:color w:val="000000"/>
                <w:sz w:val="24"/>
                <w:szCs w:val="24"/>
              </w:rPr>
              <w:t>国开1702</w:t>
            </w:r>
          </w:p>
        </w:tc>
        <w:tc>
          <w:tcPr>
            <w:vAlign w:val="center"/>
          </w:tcPr>
          <w:p>
            <w:pPr>
              <w:jc w:val="right"/>
            </w:pPr>
            <w:r>
              <w:rPr>
                <w:color w:val="000000"/>
                <w:sz w:val="24"/>
                <w:szCs w:val="24"/>
              </w:rPr>
              <w:t>99,990</w:t>
            </w:r>
          </w:p>
        </w:tc>
        <w:tc>
          <w:tcPr>
            <w:vAlign w:val="center"/>
          </w:tcPr>
          <w:p>
            <w:pPr>
              <w:jc w:val="right"/>
            </w:pPr>
            <w:r>
              <w:rPr>
                <w:color w:val="000000"/>
                <w:sz w:val="24"/>
                <w:szCs w:val="24"/>
              </w:rPr>
              <w:t>10,256,974.20</w:t>
            </w:r>
          </w:p>
        </w:tc>
        <w:tc>
          <w:tcPr>
            <w:vAlign w:val="center"/>
          </w:tcPr>
          <w:p>
            <w:pPr>
              <w:jc w:val="right"/>
            </w:pPr>
            <w:r>
              <w:rPr>
                <w:color w:val="000000"/>
                <w:sz w:val="24"/>
                <w:szCs w:val="24"/>
              </w:rPr>
              <w:t>14.67</w:t>
            </w:r>
          </w:p>
        </w:tc>
      </w:tr>
      <w:tr>
        <w:tc>
          <w:tcPr>
            <w:vAlign w:val="center"/>
          </w:tcPr>
          <w:p>
            <w:pPr>
              <w:jc w:val="center"/>
            </w:pPr>
            <w:r>
              <w:rPr>
                <w:color w:val="000000"/>
                <w:sz w:val="24"/>
                <w:szCs w:val="24"/>
              </w:rPr>
              <w:t>3</w:t>
            </w:r>
          </w:p>
        </w:tc>
        <w:tc>
          <w:tcPr>
            <w:vAlign w:val="center"/>
          </w:tcPr>
          <w:p>
            <w:pPr>
              <w:jc w:val="center"/>
            </w:pPr>
            <w:r>
              <w:rPr>
                <w:color w:val="000000"/>
                <w:sz w:val="24"/>
                <w:szCs w:val="24"/>
              </w:rPr>
              <w:t>019627</w:t>
            </w:r>
          </w:p>
        </w:tc>
        <w:tc>
          <w:tcPr>
            <w:vAlign w:val="center"/>
          </w:tcPr>
          <w:p>
            <w:pPr>
              <w:jc w:val="center"/>
            </w:pPr>
            <w:r>
              <w:rPr>
                <w:color w:val="000000"/>
                <w:sz w:val="24"/>
                <w:szCs w:val="24"/>
              </w:rPr>
              <w:t>20国债01</w:t>
            </w:r>
          </w:p>
        </w:tc>
        <w:tc>
          <w:tcPr>
            <w:vAlign w:val="center"/>
          </w:tcPr>
          <w:p>
            <w:pPr>
              <w:jc w:val="right"/>
            </w:pPr>
            <w:r>
              <w:rPr>
                <w:color w:val="000000"/>
                <w:sz w:val="24"/>
                <w:szCs w:val="24"/>
              </w:rPr>
              <w:t>38,200</w:t>
            </w:r>
          </w:p>
        </w:tc>
        <w:tc>
          <w:tcPr>
            <w:vAlign w:val="center"/>
          </w:tcPr>
          <w:p>
            <w:pPr>
              <w:jc w:val="right"/>
            </w:pPr>
            <w:r>
              <w:rPr>
                <w:color w:val="000000"/>
                <w:sz w:val="24"/>
                <w:szCs w:val="24"/>
              </w:rPr>
              <w:t>3,821,910.00</w:t>
            </w:r>
          </w:p>
        </w:tc>
        <w:tc>
          <w:tcPr>
            <w:vAlign w:val="center"/>
          </w:tcPr>
          <w:p>
            <w:pPr>
              <w:jc w:val="right"/>
            </w:pPr>
            <w:r>
              <w:rPr>
                <w:color w:val="000000"/>
                <w:sz w:val="24"/>
                <w:szCs w:val="24"/>
              </w:rPr>
              <w:t>5.47</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113,151.65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868,515.12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105,774.37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1,087,441.14</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109,900,129.90</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1,861,094.56</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50,723,495.07</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61,037,729.39</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	</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2020/4/1-2020/6/30</w:t>
            </w:r>
          </w:p>
        </w:tc>
        <w:tc>
          <w:tcPr>
            <w:vAlign w:val="center"/>
          </w:tcPr>
          <w:p>
            <w:pPr>
              <w:jc w:val="center"/>
            </w:pPr>
            <w:r>
              <w:rPr>
                <w:rFonts w:ascii="宋体" w:hAnsi="宋体"/>
                <w:color w:val="000000"/>
                <w:kern w:val="0"/>
              </w:rPr>
              <w:t>17,651,368.05</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17,651,368.05</w:t>
            </w:r>
          </w:p>
        </w:tc>
        <w:tc>
          <w:tcPr>
            <w:vAlign w:val="center"/>
          </w:tcPr>
          <w:p>
            <w:pPr>
              <w:jc w:val="center"/>
            </w:pPr>
            <w:r>
              <w:rPr>
                <w:rFonts w:ascii="宋体" w:hAnsi="宋体"/>
                <w:color w:val="000000"/>
                <w:kern w:val="0"/>
              </w:rPr>
              <w:t>28.92%</w:t>
            </w:r>
          </w:p>
        </w:tc>
      </w:tr>
      <w:tr>
        <w:tc>
          <w:tcPr>
            <w:vMerge/>
          </w:tcPr>
          <w:p/>
        </w:tc>
        <w:tc>
          <w:tcPr>
            <w:vAlign w:val="center"/>
          </w:tcPr>
          <w:p>
            <w:pPr>
              <w:jc w:val="center"/>
            </w:pPr>
            <w:r>
              <w:rPr>
                <w:rFonts w:ascii="宋体" w:hAnsi="宋体"/>
                <w:color w:val="000000"/>
                <w:kern w:val="0"/>
              </w:rPr>
              <w:t>2</w:t>
            </w:r>
          </w:p>
        </w:tc>
        <w:tc>
          <w:tcPr>
            <w:vAlign w:val="center"/>
          </w:tcPr>
          <w:p>
            <w:pPr>
              <w:jc w:val="center"/>
            </w:pPr>
            <w:r>
              <w:rPr>
                <w:rFonts w:ascii="宋体" w:hAnsi="宋体"/>
                <w:color w:val="000000"/>
                <w:kern w:val="0"/>
              </w:rPr>
              <w:t>2020/4/1-2020/6/30</w:t>
            </w:r>
          </w:p>
        </w:tc>
        <w:tc>
          <w:tcPr>
            <w:vAlign w:val="center"/>
          </w:tcPr>
          <w:p>
            <w:pPr>
              <w:jc w:val="center"/>
            </w:pPr>
            <w:r>
              <w:rPr>
                <w:rFonts w:ascii="宋体" w:hAnsi="宋体"/>
                <w:color w:val="000000"/>
                <w:kern w:val="0"/>
              </w:rPr>
              <w:t>44,842,152.47</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44,842,152.47</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1、中国证监会批准交银施罗德荣祥保本混合型证券投资基金募集的文件； </w:t>
      </w:r>
    </w:p>
    <w:p>
      <w:pPr>
        <w:spacing w:before="29" w:line="288" w:lineRule="auto"/>
        <w:ind w:firstLine="480" w:firstLineChars="200"/>
        <w:rPr>
          <w:color w:val="000000"/>
          <w:sz w:val="24"/>
          <w:szCs w:val="24"/>
        </w:rPr>
      </w:pPr>
      <w:r>
        <w:rPr>
          <w:color w:val="000000"/>
          <w:sz w:val="24"/>
          <w:szCs w:val="24"/>
        </w:rPr>
        <w:t xml:space="preserve">2、《交银施罗德稳固收益债券型证券投资基金基金合同》； </w:t>
      </w:r>
    </w:p>
    <w:p>
      <w:pPr>
        <w:spacing w:before="29" w:line="288" w:lineRule="auto"/>
        <w:ind w:firstLine="480" w:firstLineChars="200"/>
        <w:rPr>
          <w:color w:val="000000"/>
          <w:sz w:val="24"/>
          <w:szCs w:val="24"/>
        </w:rPr>
      </w:pPr>
      <w:r>
        <w:rPr>
          <w:color w:val="000000"/>
          <w:sz w:val="24"/>
          <w:szCs w:val="24"/>
        </w:rPr>
        <w:t xml:space="preserve">3、《交银施罗德稳固收益债券型证券投资基金招募说明书》；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4、《交银施罗德稳固收益债券型证券投资基金托管协议》； </w:t>
      </w:r>
    </w:p>
    <w:p>
      <w:pPr>
        <w:spacing w:before="29" w:line="288" w:lineRule="auto"/>
        <w:ind w:firstLine="480" w:firstLineChars="200"/>
        <w:rPr>
          <w:color w:val="000000"/>
          <w:sz w:val="24"/>
          <w:szCs w:val="24"/>
        </w:rPr>
      </w:pPr>
      <w:r>
        <w:rPr>
          <w:color w:val="000000"/>
          <w:sz w:val="24"/>
          <w:szCs w:val="24"/>
        </w:rPr>
        <w:t xml:space="preserve">5、《交银施罗德荣祥保本混合型证券投资基金基金合同》； </w:t>
      </w:r>
    </w:p>
    <w:p>
      <w:pPr>
        <w:spacing w:before="29" w:line="288" w:lineRule="auto"/>
        <w:ind w:firstLine="480" w:firstLineChars="200"/>
        <w:rPr>
          <w:color w:val="000000"/>
          <w:sz w:val="24"/>
          <w:szCs w:val="24"/>
        </w:rPr>
      </w:pPr>
      <w:r>
        <w:rPr>
          <w:color w:val="000000"/>
          <w:sz w:val="24"/>
          <w:szCs w:val="24"/>
        </w:rPr>
        <w:t xml:space="preserve">6、《交银施罗德荣祥保本混合型证券投资基金招募说明书》； </w:t>
      </w:r>
    </w:p>
    <w:p>
      <w:pPr>
        <w:spacing w:before="29" w:line="288" w:lineRule="auto"/>
        <w:ind w:firstLine="480" w:firstLineChars="200"/>
        <w:rPr>
          <w:color w:val="000000"/>
          <w:sz w:val="24"/>
          <w:szCs w:val="24"/>
        </w:rPr>
      </w:pPr>
      <w:r>
        <w:rPr>
          <w:color w:val="000000"/>
          <w:sz w:val="24"/>
          <w:szCs w:val="24"/>
        </w:rPr>
        <w:t xml:space="preserve">7、《交银施罗德荣祥保本混合型证券投资基金托管协议》； </w:t>
      </w:r>
    </w:p>
    <w:p>
      <w:pPr>
        <w:spacing w:before="29" w:line="288" w:lineRule="auto"/>
        <w:ind w:firstLine="480" w:firstLineChars="200"/>
        <w:rPr>
          <w:color w:val="000000"/>
          <w:sz w:val="24"/>
          <w:szCs w:val="24"/>
        </w:rPr>
      </w:pPr>
      <w:r>
        <w:rPr>
          <w:color w:val="000000"/>
          <w:sz w:val="24"/>
          <w:szCs w:val="24"/>
        </w:rPr>
        <w:t>8、《交银施罗德荣祥保本混合型证券投资基金保证合同》；</w:t>
      </w:r>
    </w:p>
    <w:p>
      <w:pPr>
        <w:spacing w:before="29" w:line="288" w:lineRule="auto"/>
        <w:ind w:firstLine="480" w:firstLineChars="200"/>
        <w:rPr>
          <w:color w:val="000000"/>
          <w:sz w:val="24"/>
          <w:szCs w:val="24"/>
        </w:rPr>
      </w:pPr>
      <w:r>
        <w:rPr>
          <w:color w:val="000000"/>
          <w:sz w:val="24"/>
          <w:szCs w:val="24"/>
        </w:rPr>
        <w:t xml:space="preserve">9、基金管理人业务资格批件、营业执照； </w:t>
      </w:r>
    </w:p>
    <w:p>
      <w:pPr>
        <w:spacing w:before="29" w:line="288" w:lineRule="auto"/>
        <w:ind w:firstLine="480" w:firstLineChars="200"/>
        <w:rPr>
          <w:color w:val="000000"/>
          <w:sz w:val="24"/>
          <w:szCs w:val="24"/>
        </w:rPr>
      </w:pPr>
      <w:r>
        <w:rPr>
          <w:color w:val="000000"/>
          <w:sz w:val="24"/>
          <w:szCs w:val="24"/>
        </w:rPr>
        <w:t xml:space="preserve">10、基金托管人业务资格批件、营业执照； </w:t>
      </w:r>
    </w:p>
    <w:p>
      <w:pPr>
        <w:spacing w:before="29" w:line="288" w:lineRule="auto"/>
        <w:ind w:firstLine="480" w:firstLineChars="200"/>
        <w:rPr>
          <w:color w:val="000000"/>
          <w:sz w:val="24"/>
          <w:szCs w:val="24"/>
        </w:rPr>
      </w:pPr>
      <w:r>
        <w:rPr>
          <w:color w:val="000000"/>
          <w:sz w:val="24"/>
          <w:szCs w:val="24"/>
        </w:rPr>
        <w:t xml:space="preserve">11、关于申请募集交银施罗德荣祥保本混合型证券投资基金之法律意见书； </w:t>
      </w:r>
    </w:p>
    <w:p>
      <w:pPr>
        <w:spacing w:before="29" w:line="288" w:lineRule="auto"/>
        <w:ind w:firstLine="480" w:firstLineChars="200"/>
        <w:rPr>
          <w:color w:val="000000"/>
          <w:sz w:val="24"/>
          <w:szCs w:val="24"/>
        </w:rPr>
      </w:pPr>
      <w:r>
        <w:rPr>
          <w:color w:val="000000"/>
          <w:sz w:val="24"/>
          <w:szCs w:val="24"/>
        </w:rPr>
        <w:t>12、关于修改《交银施罗德荣祥保本混合型证券投资基金基金合同》的法律意见书</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13、报告期内交银施罗德荣祥保本混合型证券投资基金、交银施罗德稳固收益债券型证券投资基金在指定报刊上各项公告的原稿。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交银施罗德稳固收益债券型证券投资基金2020年第2季度报告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