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w:t>
      </w:r>
      <w:proofErr w:type="gramStart"/>
      <w:r w:rsidRPr="0081286B">
        <w:rPr>
          <w:b/>
          <w:sz w:val="36"/>
          <w:szCs w:val="36"/>
        </w:rPr>
        <w:t>银施罗德核心</w:t>
      </w:r>
      <w:proofErr w:type="gramEnd"/>
      <w:r w:rsidRPr="0081286B">
        <w:rPr>
          <w:b/>
          <w:sz w:val="36"/>
          <w:szCs w:val="36"/>
        </w:rPr>
        <w:t>资产混合型证券投资基金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57FF0" w:rsidRDefault="004327C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57FF0" w:rsidRDefault="004327C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57FF0" w:rsidRDefault="004327C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57FF0" w:rsidRDefault="004327CE">
      <w:pPr>
        <w:spacing w:before="29" w:line="288" w:lineRule="auto"/>
        <w:ind w:firstLineChars="200" w:firstLine="480"/>
        <w:rPr>
          <w:color w:val="000000"/>
          <w:sz w:val="24"/>
          <w:szCs w:val="24"/>
        </w:rPr>
      </w:pPr>
      <w:r>
        <w:rPr>
          <w:color w:val="000000"/>
          <w:sz w:val="24"/>
          <w:szCs w:val="24"/>
        </w:rPr>
        <w:t>基金的过往业绩并不代表其未来表现。投资有风</w:t>
      </w:r>
      <w:r>
        <w:rPr>
          <w:color w:val="000000"/>
          <w:sz w:val="24"/>
          <w:szCs w:val="24"/>
        </w:rPr>
        <w:t>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357FF0" w:rsidRDefault="004327C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交银核</w:t>
            </w:r>
            <w:proofErr w:type="gramStart"/>
            <w:r w:rsidRPr="00414345">
              <w:rPr>
                <w:color w:val="000000"/>
                <w:kern w:val="0"/>
                <w:sz w:val="24"/>
                <w:szCs w:val="24"/>
              </w:rPr>
              <w:t>心资产</w:t>
            </w:r>
            <w:proofErr w:type="gramEnd"/>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006202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006202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54,795,328.96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本基金主要投资于具有核心资产的上市公司，在合理控制风险并保持基金资产良好流动性的前提下，力争实现基金资产的长期稳定增值。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债券类别配置；在严谨深入的股票和债券研究分析基础上，自下而上精选个</w:t>
            </w:r>
            <w:proofErr w:type="gramStart"/>
            <w:r w:rsidRPr="00414345">
              <w:rPr>
                <w:color w:val="000000"/>
                <w:kern w:val="0"/>
                <w:sz w:val="24"/>
                <w:szCs w:val="24"/>
              </w:rPr>
              <w:t>券</w:t>
            </w:r>
            <w:proofErr w:type="gramEnd"/>
            <w:r w:rsidRPr="00414345">
              <w:rPr>
                <w:color w:val="000000"/>
                <w:kern w:val="0"/>
                <w:sz w:val="24"/>
                <w:szCs w:val="24"/>
              </w:rPr>
              <w:t>；在保持总体风险水平相对稳定的基础上，力争获取投资组合的较高回报。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恒生指数收益率</w:t>
            </w:r>
            <w:r w:rsidRPr="00414345">
              <w:rPr>
                <w:color w:val="000000"/>
                <w:kern w:val="0"/>
                <w:sz w:val="24"/>
                <w:szCs w:val="24"/>
              </w:rPr>
              <w:t>×30%+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357FF0" w:rsidRDefault="004327CE">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w:t>
            </w:r>
            <w:proofErr w:type="gramStart"/>
            <w:r w:rsidRPr="00414345">
              <w:rPr>
                <w:color w:val="000000"/>
                <w:kern w:val="0"/>
                <w:sz w:val="24"/>
                <w:szCs w:val="24"/>
              </w:rPr>
              <w:t>通机制</w:t>
            </w:r>
            <w:proofErr w:type="gramEnd"/>
            <w:r w:rsidRPr="00414345">
              <w:rPr>
                <w:color w:val="000000"/>
                <w:kern w:val="0"/>
                <w:sz w:val="24"/>
                <w:szCs w:val="24"/>
              </w:rPr>
              <w:t>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74EEE" w:rsidRPr="00414345" w:rsidTr="00C74EE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74EEE" w:rsidRPr="00414345" w:rsidTr="00C74EE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1,795,889.92</w:t>
            </w:r>
          </w:p>
        </w:tc>
      </w:tr>
      <w:tr w:rsidR="00C74EEE" w:rsidRPr="00414345" w:rsidTr="00C74EE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22,235,904.81</w:t>
            </w:r>
          </w:p>
        </w:tc>
      </w:tr>
      <w:tr w:rsidR="00C74EEE" w:rsidRPr="00414345" w:rsidTr="00C74EE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0.3608</w:t>
            </w:r>
          </w:p>
        </w:tc>
      </w:tr>
      <w:tr w:rsidR="00C74EEE" w:rsidRPr="00414345" w:rsidTr="00C74EE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84,884,765.42</w:t>
            </w:r>
          </w:p>
        </w:tc>
      </w:tr>
      <w:tr w:rsidR="00C74EEE" w:rsidRPr="00414345" w:rsidTr="00C74EE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1.5491</w:t>
            </w:r>
          </w:p>
        </w:tc>
      </w:tr>
    </w:tbl>
    <w:p w:rsidR="00357FF0" w:rsidRDefault="004327C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357FF0" w:rsidRDefault="004327CE">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57FF0">
        <w:trPr>
          <w:jc w:val="center"/>
        </w:trPr>
        <w:tc>
          <w:tcPr>
            <w:tcW w:w="1701" w:type="dxa"/>
            <w:vAlign w:val="center"/>
          </w:tcPr>
          <w:p w:rsidR="00357FF0" w:rsidRDefault="004327CE">
            <w:pPr>
              <w:jc w:val="left"/>
            </w:pPr>
            <w:r>
              <w:rPr>
                <w:color w:val="000000"/>
                <w:sz w:val="24"/>
                <w:szCs w:val="24"/>
              </w:rPr>
              <w:t>过去三个月</w:t>
            </w:r>
          </w:p>
        </w:tc>
        <w:tc>
          <w:tcPr>
            <w:tcW w:w="1045" w:type="dxa"/>
            <w:vAlign w:val="center"/>
          </w:tcPr>
          <w:p w:rsidR="00357FF0" w:rsidRDefault="004327CE">
            <w:pPr>
              <w:jc w:val="center"/>
            </w:pPr>
            <w:r>
              <w:rPr>
                <w:color w:val="000000"/>
                <w:sz w:val="24"/>
                <w:szCs w:val="24"/>
              </w:rPr>
              <w:t>30.84%</w:t>
            </w:r>
          </w:p>
        </w:tc>
        <w:tc>
          <w:tcPr>
            <w:tcW w:w="1344" w:type="dxa"/>
            <w:vAlign w:val="center"/>
          </w:tcPr>
          <w:p w:rsidR="00357FF0" w:rsidRDefault="004327CE">
            <w:pPr>
              <w:jc w:val="center"/>
            </w:pPr>
            <w:r>
              <w:rPr>
                <w:color w:val="000000"/>
                <w:sz w:val="24"/>
                <w:szCs w:val="24"/>
              </w:rPr>
              <w:t>1.26%</w:t>
            </w:r>
          </w:p>
        </w:tc>
        <w:tc>
          <w:tcPr>
            <w:tcW w:w="1194" w:type="dxa"/>
            <w:vAlign w:val="center"/>
          </w:tcPr>
          <w:p w:rsidR="00357FF0" w:rsidRDefault="004327CE">
            <w:pPr>
              <w:jc w:val="center"/>
            </w:pPr>
            <w:r>
              <w:rPr>
                <w:color w:val="000000"/>
                <w:sz w:val="24"/>
                <w:szCs w:val="24"/>
              </w:rPr>
              <w:t>7.45%</w:t>
            </w:r>
          </w:p>
        </w:tc>
        <w:tc>
          <w:tcPr>
            <w:tcW w:w="1492" w:type="dxa"/>
            <w:vAlign w:val="center"/>
          </w:tcPr>
          <w:p w:rsidR="00357FF0" w:rsidRDefault="004327CE">
            <w:pPr>
              <w:jc w:val="center"/>
            </w:pPr>
            <w:r>
              <w:rPr>
                <w:color w:val="000000"/>
                <w:sz w:val="24"/>
                <w:szCs w:val="24"/>
              </w:rPr>
              <w:t>0.86%</w:t>
            </w:r>
          </w:p>
        </w:tc>
        <w:tc>
          <w:tcPr>
            <w:tcW w:w="1194" w:type="dxa"/>
            <w:vAlign w:val="center"/>
          </w:tcPr>
          <w:p w:rsidR="00357FF0" w:rsidRDefault="004327CE">
            <w:pPr>
              <w:jc w:val="center"/>
            </w:pPr>
            <w:r>
              <w:rPr>
                <w:color w:val="000000"/>
                <w:sz w:val="24"/>
                <w:szCs w:val="24"/>
              </w:rPr>
              <w:t>23.39%</w:t>
            </w:r>
          </w:p>
        </w:tc>
        <w:tc>
          <w:tcPr>
            <w:tcW w:w="898" w:type="dxa"/>
            <w:vAlign w:val="center"/>
          </w:tcPr>
          <w:p w:rsidR="00357FF0" w:rsidRDefault="004327CE">
            <w:pPr>
              <w:jc w:val="center"/>
            </w:pPr>
            <w:r>
              <w:rPr>
                <w:color w:val="000000"/>
                <w:sz w:val="24"/>
                <w:szCs w:val="24"/>
              </w:rPr>
              <w:t>0.40%</w:t>
            </w:r>
          </w:p>
        </w:tc>
      </w:tr>
      <w:tr w:rsidR="00357FF0">
        <w:trPr>
          <w:jc w:val="center"/>
        </w:trPr>
        <w:tc>
          <w:tcPr>
            <w:tcW w:w="1701" w:type="dxa"/>
            <w:vAlign w:val="center"/>
          </w:tcPr>
          <w:p w:rsidR="00357FF0" w:rsidRDefault="004327CE">
            <w:pPr>
              <w:jc w:val="left"/>
            </w:pPr>
            <w:r>
              <w:rPr>
                <w:color w:val="000000"/>
                <w:sz w:val="24"/>
                <w:szCs w:val="24"/>
              </w:rPr>
              <w:t>过去六个月</w:t>
            </w:r>
          </w:p>
        </w:tc>
        <w:tc>
          <w:tcPr>
            <w:tcW w:w="1045" w:type="dxa"/>
            <w:vAlign w:val="center"/>
          </w:tcPr>
          <w:p w:rsidR="00357FF0" w:rsidRDefault="004327CE">
            <w:pPr>
              <w:jc w:val="center"/>
            </w:pPr>
            <w:r>
              <w:rPr>
                <w:color w:val="000000"/>
                <w:sz w:val="24"/>
                <w:szCs w:val="24"/>
              </w:rPr>
              <w:t>24.44%</w:t>
            </w:r>
          </w:p>
        </w:tc>
        <w:tc>
          <w:tcPr>
            <w:tcW w:w="1344" w:type="dxa"/>
            <w:vAlign w:val="center"/>
          </w:tcPr>
          <w:p w:rsidR="00357FF0" w:rsidRDefault="004327CE">
            <w:pPr>
              <w:jc w:val="center"/>
            </w:pPr>
            <w:r>
              <w:rPr>
                <w:color w:val="000000"/>
                <w:sz w:val="24"/>
                <w:szCs w:val="24"/>
              </w:rPr>
              <w:t>1.79%</w:t>
            </w:r>
          </w:p>
        </w:tc>
        <w:tc>
          <w:tcPr>
            <w:tcW w:w="1194" w:type="dxa"/>
            <w:vAlign w:val="center"/>
          </w:tcPr>
          <w:p w:rsidR="00357FF0" w:rsidRDefault="004327CE">
            <w:pPr>
              <w:jc w:val="center"/>
            </w:pPr>
            <w:r>
              <w:rPr>
                <w:color w:val="000000"/>
                <w:sz w:val="24"/>
                <w:szCs w:val="24"/>
              </w:rPr>
              <w:t>-2.62%</w:t>
            </w:r>
          </w:p>
        </w:tc>
        <w:tc>
          <w:tcPr>
            <w:tcW w:w="1492" w:type="dxa"/>
            <w:vAlign w:val="center"/>
          </w:tcPr>
          <w:p w:rsidR="00357FF0" w:rsidRDefault="004327CE">
            <w:pPr>
              <w:jc w:val="center"/>
            </w:pPr>
            <w:r>
              <w:rPr>
                <w:color w:val="000000"/>
                <w:sz w:val="24"/>
                <w:szCs w:val="24"/>
              </w:rPr>
              <w:t>1.24%</w:t>
            </w:r>
          </w:p>
        </w:tc>
        <w:tc>
          <w:tcPr>
            <w:tcW w:w="1194" w:type="dxa"/>
            <w:vAlign w:val="center"/>
          </w:tcPr>
          <w:p w:rsidR="00357FF0" w:rsidRDefault="004327CE">
            <w:pPr>
              <w:jc w:val="center"/>
            </w:pPr>
            <w:r>
              <w:rPr>
                <w:color w:val="000000"/>
                <w:sz w:val="24"/>
                <w:szCs w:val="24"/>
              </w:rPr>
              <w:t>27.06%</w:t>
            </w:r>
          </w:p>
        </w:tc>
        <w:tc>
          <w:tcPr>
            <w:tcW w:w="898" w:type="dxa"/>
            <w:vAlign w:val="center"/>
          </w:tcPr>
          <w:p w:rsidR="00357FF0" w:rsidRDefault="004327CE">
            <w:pPr>
              <w:jc w:val="center"/>
            </w:pPr>
            <w:r>
              <w:rPr>
                <w:color w:val="000000"/>
                <w:sz w:val="24"/>
                <w:szCs w:val="24"/>
              </w:rPr>
              <w:t>0.55%</w:t>
            </w:r>
          </w:p>
        </w:tc>
      </w:tr>
      <w:tr w:rsidR="00357FF0">
        <w:trPr>
          <w:jc w:val="center"/>
        </w:trPr>
        <w:tc>
          <w:tcPr>
            <w:tcW w:w="1701" w:type="dxa"/>
            <w:vAlign w:val="center"/>
          </w:tcPr>
          <w:p w:rsidR="00357FF0" w:rsidRDefault="004327CE">
            <w:pPr>
              <w:jc w:val="left"/>
            </w:pPr>
            <w:r>
              <w:rPr>
                <w:color w:val="000000"/>
                <w:sz w:val="24"/>
                <w:szCs w:val="24"/>
              </w:rPr>
              <w:lastRenderedPageBreak/>
              <w:t>过去一年</w:t>
            </w:r>
          </w:p>
        </w:tc>
        <w:tc>
          <w:tcPr>
            <w:tcW w:w="1045" w:type="dxa"/>
            <w:vAlign w:val="center"/>
          </w:tcPr>
          <w:p w:rsidR="00357FF0" w:rsidRDefault="004327CE">
            <w:pPr>
              <w:jc w:val="center"/>
            </w:pPr>
            <w:r>
              <w:rPr>
                <w:color w:val="000000"/>
                <w:sz w:val="24"/>
                <w:szCs w:val="24"/>
              </w:rPr>
              <w:t>49.77%</w:t>
            </w:r>
          </w:p>
        </w:tc>
        <w:tc>
          <w:tcPr>
            <w:tcW w:w="1344" w:type="dxa"/>
            <w:vAlign w:val="center"/>
          </w:tcPr>
          <w:p w:rsidR="00357FF0" w:rsidRDefault="004327CE">
            <w:pPr>
              <w:jc w:val="center"/>
            </w:pPr>
            <w:r>
              <w:rPr>
                <w:color w:val="000000"/>
                <w:sz w:val="24"/>
                <w:szCs w:val="24"/>
              </w:rPr>
              <w:t>1.38%</w:t>
            </w:r>
          </w:p>
        </w:tc>
        <w:tc>
          <w:tcPr>
            <w:tcW w:w="1194" w:type="dxa"/>
            <w:vAlign w:val="center"/>
          </w:tcPr>
          <w:p w:rsidR="00357FF0" w:rsidRDefault="004327CE">
            <w:pPr>
              <w:jc w:val="center"/>
            </w:pPr>
            <w:r>
              <w:rPr>
                <w:color w:val="000000"/>
                <w:sz w:val="24"/>
                <w:szCs w:val="24"/>
              </w:rPr>
              <w:t>1.08%</w:t>
            </w:r>
          </w:p>
        </w:tc>
        <w:tc>
          <w:tcPr>
            <w:tcW w:w="1492" w:type="dxa"/>
            <w:vAlign w:val="center"/>
          </w:tcPr>
          <w:p w:rsidR="00357FF0" w:rsidRDefault="004327CE">
            <w:pPr>
              <w:jc w:val="center"/>
            </w:pPr>
            <w:r>
              <w:rPr>
                <w:color w:val="000000"/>
                <w:sz w:val="24"/>
                <w:szCs w:val="24"/>
              </w:rPr>
              <w:t>0.98%</w:t>
            </w:r>
          </w:p>
        </w:tc>
        <w:tc>
          <w:tcPr>
            <w:tcW w:w="1194" w:type="dxa"/>
            <w:vAlign w:val="center"/>
          </w:tcPr>
          <w:p w:rsidR="00357FF0" w:rsidRDefault="004327CE">
            <w:pPr>
              <w:jc w:val="center"/>
            </w:pPr>
            <w:r>
              <w:rPr>
                <w:color w:val="000000"/>
                <w:sz w:val="24"/>
                <w:szCs w:val="24"/>
              </w:rPr>
              <w:t>48.69%</w:t>
            </w:r>
          </w:p>
        </w:tc>
        <w:tc>
          <w:tcPr>
            <w:tcW w:w="898" w:type="dxa"/>
            <w:vAlign w:val="center"/>
          </w:tcPr>
          <w:p w:rsidR="00357FF0" w:rsidRDefault="004327CE">
            <w:pPr>
              <w:jc w:val="center"/>
            </w:pPr>
            <w:r>
              <w:rPr>
                <w:color w:val="000000"/>
                <w:sz w:val="24"/>
                <w:szCs w:val="24"/>
              </w:rPr>
              <w:t>0.40%</w:t>
            </w:r>
          </w:p>
        </w:tc>
      </w:tr>
      <w:tr w:rsidR="00357FF0">
        <w:trPr>
          <w:jc w:val="center"/>
        </w:trPr>
        <w:tc>
          <w:tcPr>
            <w:tcW w:w="1701" w:type="dxa"/>
            <w:vAlign w:val="center"/>
          </w:tcPr>
          <w:p w:rsidR="00357FF0" w:rsidRDefault="004327CE">
            <w:pPr>
              <w:jc w:val="left"/>
            </w:pPr>
            <w:r>
              <w:rPr>
                <w:color w:val="000000"/>
                <w:sz w:val="24"/>
                <w:szCs w:val="24"/>
              </w:rPr>
              <w:t>自基金合同生效至今</w:t>
            </w:r>
          </w:p>
        </w:tc>
        <w:tc>
          <w:tcPr>
            <w:tcW w:w="1045" w:type="dxa"/>
            <w:vAlign w:val="center"/>
          </w:tcPr>
          <w:p w:rsidR="00357FF0" w:rsidRDefault="004327CE">
            <w:pPr>
              <w:jc w:val="center"/>
            </w:pPr>
            <w:r>
              <w:rPr>
                <w:color w:val="000000"/>
                <w:sz w:val="24"/>
                <w:szCs w:val="24"/>
              </w:rPr>
              <w:t>54.91%</w:t>
            </w:r>
          </w:p>
        </w:tc>
        <w:tc>
          <w:tcPr>
            <w:tcW w:w="1344" w:type="dxa"/>
            <w:vAlign w:val="center"/>
          </w:tcPr>
          <w:p w:rsidR="00357FF0" w:rsidRDefault="004327CE">
            <w:pPr>
              <w:jc w:val="center"/>
            </w:pPr>
            <w:r>
              <w:rPr>
                <w:color w:val="000000"/>
                <w:sz w:val="24"/>
                <w:szCs w:val="24"/>
              </w:rPr>
              <w:t>1.30%</w:t>
            </w:r>
          </w:p>
        </w:tc>
        <w:tc>
          <w:tcPr>
            <w:tcW w:w="1194" w:type="dxa"/>
            <w:vAlign w:val="center"/>
          </w:tcPr>
          <w:p w:rsidR="00357FF0" w:rsidRDefault="004327CE">
            <w:pPr>
              <w:jc w:val="center"/>
            </w:pPr>
            <w:r>
              <w:rPr>
                <w:color w:val="000000"/>
                <w:sz w:val="24"/>
                <w:szCs w:val="24"/>
              </w:rPr>
              <w:t>14.86%</w:t>
            </w:r>
          </w:p>
        </w:tc>
        <w:tc>
          <w:tcPr>
            <w:tcW w:w="1492" w:type="dxa"/>
            <w:vAlign w:val="center"/>
          </w:tcPr>
          <w:p w:rsidR="00357FF0" w:rsidRDefault="004327CE">
            <w:pPr>
              <w:jc w:val="center"/>
            </w:pPr>
            <w:r>
              <w:rPr>
                <w:color w:val="000000"/>
                <w:sz w:val="24"/>
                <w:szCs w:val="24"/>
              </w:rPr>
              <w:t>0.98%</w:t>
            </w:r>
          </w:p>
        </w:tc>
        <w:tc>
          <w:tcPr>
            <w:tcW w:w="1194" w:type="dxa"/>
            <w:vAlign w:val="center"/>
          </w:tcPr>
          <w:p w:rsidR="00357FF0" w:rsidRDefault="004327CE">
            <w:pPr>
              <w:jc w:val="center"/>
            </w:pPr>
            <w:r>
              <w:rPr>
                <w:color w:val="000000"/>
                <w:sz w:val="24"/>
                <w:szCs w:val="24"/>
              </w:rPr>
              <w:t>40.05%</w:t>
            </w:r>
          </w:p>
        </w:tc>
        <w:tc>
          <w:tcPr>
            <w:tcW w:w="898" w:type="dxa"/>
            <w:vAlign w:val="center"/>
          </w:tcPr>
          <w:p w:rsidR="00357FF0" w:rsidRDefault="004327CE">
            <w:pPr>
              <w:jc w:val="center"/>
            </w:pPr>
            <w:r>
              <w:rPr>
                <w:color w:val="000000"/>
                <w:sz w:val="24"/>
                <w:szCs w:val="24"/>
              </w:rPr>
              <w:t>0.32%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交银施罗德核心资产混合型证券投资基金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18</w:t>
      </w:r>
      <w:r w:rsidRPr="00414345">
        <w:rPr>
          <w:color w:val="000000"/>
          <w:sz w:val="24"/>
          <w:szCs w:val="24"/>
        </w:rPr>
        <w:t>日，截至报告期期末，本基金已完成</w:t>
      </w:r>
      <w:proofErr w:type="gramStart"/>
      <w:r w:rsidRPr="00414345">
        <w:rPr>
          <w:color w:val="000000"/>
          <w:sz w:val="24"/>
          <w:szCs w:val="24"/>
        </w:rPr>
        <w:t>建仓但</w:t>
      </w:r>
      <w:proofErr w:type="gramEnd"/>
      <w:r w:rsidRPr="00414345">
        <w:rPr>
          <w:color w:val="000000"/>
          <w:sz w:val="24"/>
          <w:szCs w:val="24"/>
        </w:rPr>
        <w:t>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57FF0">
        <w:trPr>
          <w:jc w:val="center"/>
        </w:trPr>
        <w:tc>
          <w:tcPr>
            <w:tcW w:w="846" w:type="dxa"/>
            <w:vAlign w:val="center"/>
          </w:tcPr>
          <w:p w:rsidR="00357FF0" w:rsidRDefault="004327CE">
            <w:pPr>
              <w:jc w:val="center"/>
            </w:pPr>
            <w:r>
              <w:rPr>
                <w:color w:val="000000"/>
                <w:sz w:val="24"/>
                <w:szCs w:val="24"/>
              </w:rPr>
              <w:t>陈俊华</w:t>
            </w:r>
          </w:p>
        </w:tc>
        <w:tc>
          <w:tcPr>
            <w:tcW w:w="845" w:type="dxa"/>
            <w:vAlign w:val="center"/>
          </w:tcPr>
          <w:p w:rsidR="00357FF0" w:rsidRDefault="004327CE">
            <w:pPr>
              <w:jc w:val="center"/>
            </w:pPr>
            <w:r>
              <w:rPr>
                <w:color w:val="000000"/>
                <w:sz w:val="24"/>
                <w:szCs w:val="24"/>
              </w:rPr>
              <w:t>交银环球</w:t>
            </w:r>
            <w:r>
              <w:rPr>
                <w:color w:val="000000"/>
                <w:sz w:val="24"/>
                <w:szCs w:val="24"/>
              </w:rPr>
              <w:lastRenderedPageBreak/>
              <w:t>精选混合</w:t>
            </w:r>
            <w:r>
              <w:rPr>
                <w:color w:val="000000"/>
                <w:sz w:val="24"/>
                <w:szCs w:val="24"/>
              </w:rPr>
              <w:t>(QDII)</w:t>
            </w:r>
            <w:r>
              <w:rPr>
                <w:color w:val="000000"/>
                <w:sz w:val="24"/>
                <w:szCs w:val="24"/>
              </w:rPr>
              <w:t>、交</w:t>
            </w:r>
            <w:proofErr w:type="gramStart"/>
            <w:r>
              <w:rPr>
                <w:color w:val="000000"/>
                <w:sz w:val="24"/>
                <w:szCs w:val="24"/>
              </w:rPr>
              <w:t>银沪港深价值</w:t>
            </w:r>
            <w:proofErr w:type="gramEnd"/>
            <w:r>
              <w:rPr>
                <w:color w:val="000000"/>
                <w:sz w:val="24"/>
                <w:szCs w:val="24"/>
              </w:rPr>
              <w:t>精选混合、交银核</w:t>
            </w:r>
            <w:proofErr w:type="gramStart"/>
            <w:r>
              <w:rPr>
                <w:color w:val="000000"/>
                <w:sz w:val="24"/>
                <w:szCs w:val="24"/>
              </w:rPr>
              <w:t>心资产</w:t>
            </w:r>
            <w:proofErr w:type="gramEnd"/>
            <w:r>
              <w:rPr>
                <w:color w:val="000000"/>
                <w:sz w:val="24"/>
                <w:szCs w:val="24"/>
              </w:rPr>
              <w:t>混合的基金经理，公司跨境投资副总监</w:t>
            </w:r>
          </w:p>
        </w:tc>
        <w:tc>
          <w:tcPr>
            <w:tcW w:w="1549" w:type="dxa"/>
            <w:vAlign w:val="center"/>
          </w:tcPr>
          <w:p w:rsidR="00357FF0" w:rsidRDefault="004327CE">
            <w:pPr>
              <w:jc w:val="center"/>
            </w:pPr>
            <w:r>
              <w:rPr>
                <w:color w:val="000000"/>
                <w:sz w:val="24"/>
                <w:szCs w:val="24"/>
              </w:rPr>
              <w:lastRenderedPageBreak/>
              <w:t>2019-01-18</w:t>
            </w:r>
          </w:p>
        </w:tc>
        <w:tc>
          <w:tcPr>
            <w:tcW w:w="1548" w:type="dxa"/>
            <w:vAlign w:val="center"/>
          </w:tcPr>
          <w:p w:rsidR="00357FF0" w:rsidRDefault="004327CE">
            <w:pPr>
              <w:jc w:val="center"/>
            </w:pPr>
            <w:r>
              <w:rPr>
                <w:color w:val="000000"/>
                <w:sz w:val="24"/>
                <w:szCs w:val="24"/>
              </w:rPr>
              <w:t>-</w:t>
            </w:r>
          </w:p>
        </w:tc>
        <w:tc>
          <w:tcPr>
            <w:tcW w:w="1407" w:type="dxa"/>
            <w:vAlign w:val="center"/>
          </w:tcPr>
          <w:p w:rsidR="00357FF0" w:rsidRDefault="004327CE">
            <w:pPr>
              <w:jc w:val="center"/>
            </w:pPr>
            <w:r>
              <w:rPr>
                <w:color w:val="000000"/>
                <w:sz w:val="24"/>
                <w:szCs w:val="24"/>
              </w:rPr>
              <w:t>15</w:t>
            </w:r>
            <w:r>
              <w:rPr>
                <w:color w:val="000000"/>
                <w:sz w:val="24"/>
                <w:szCs w:val="24"/>
              </w:rPr>
              <w:t>年</w:t>
            </w:r>
          </w:p>
        </w:tc>
        <w:tc>
          <w:tcPr>
            <w:tcW w:w="2673" w:type="dxa"/>
            <w:vAlign w:val="center"/>
          </w:tcPr>
          <w:p w:rsidR="00357FF0" w:rsidRDefault="004327CE">
            <w:r>
              <w:rPr>
                <w:color w:val="000000"/>
                <w:sz w:val="24"/>
                <w:szCs w:val="24"/>
              </w:rPr>
              <w:t>陈俊华女士，中国国籍，上海交通大学金融学硕</w:t>
            </w:r>
            <w:r>
              <w:rPr>
                <w:color w:val="000000"/>
                <w:sz w:val="24"/>
                <w:szCs w:val="24"/>
              </w:rPr>
              <w:lastRenderedPageBreak/>
              <w:t>士。</w:t>
            </w:r>
            <w:proofErr w:type="gramStart"/>
            <w:r>
              <w:rPr>
                <w:color w:val="000000"/>
                <w:sz w:val="24"/>
                <w:szCs w:val="24"/>
              </w:rPr>
              <w:t>历任国</w:t>
            </w:r>
            <w:proofErr w:type="gramEnd"/>
            <w:r>
              <w:rPr>
                <w:color w:val="000000"/>
                <w:sz w:val="24"/>
                <w:szCs w:val="24"/>
              </w:rPr>
              <w:t>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t>2019</w:t>
            </w:r>
            <w:r>
              <w:rPr>
                <w:color w:val="000000"/>
                <w:sz w:val="24"/>
                <w:szCs w:val="24"/>
              </w:rPr>
              <w:t>年</w:t>
            </w:r>
            <w:r>
              <w:rPr>
                <w:color w:val="000000"/>
                <w:sz w:val="24"/>
                <w:szCs w:val="24"/>
              </w:rPr>
              <w:t>9</w:t>
            </w:r>
            <w:r>
              <w:rPr>
                <w:color w:val="000000"/>
                <w:sz w:val="24"/>
                <w:szCs w:val="24"/>
              </w:rPr>
              <w:t>月</w:t>
            </w:r>
            <w:r>
              <w:rPr>
                <w:color w:val="000000"/>
                <w:sz w:val="24"/>
                <w:szCs w:val="24"/>
              </w:rPr>
              <w:t>19</w:t>
            </w:r>
            <w:r>
              <w:rPr>
                <w:color w:val="000000"/>
                <w:sz w:val="24"/>
                <w:szCs w:val="24"/>
              </w:rPr>
              <w:t>日担任交银施罗德全球自然资源证券投资基金的基金经理。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57FF0" w:rsidRDefault="004327C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w:t>
      </w:r>
      <w:r>
        <w:rPr>
          <w:color w:val="000000"/>
          <w:sz w:val="24"/>
          <w:szCs w:val="24"/>
        </w:rPr>
        <w:t>的所有资产组合，包括证券投资基金和特定客户资产管理专户均严格遵循制度进行公平交易。</w:t>
      </w:r>
    </w:p>
    <w:p w:rsidR="00357FF0" w:rsidRDefault="004327C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57FF0" w:rsidRDefault="004327CE">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w:t>
      </w:r>
      <w:r>
        <w:rPr>
          <w:color w:val="000000"/>
          <w:sz w:val="24"/>
          <w:szCs w:val="24"/>
        </w:rPr>
        <w:t>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57FF0" w:rsidRDefault="004327CE">
      <w:pPr>
        <w:spacing w:before="29" w:line="288" w:lineRule="auto"/>
        <w:ind w:firstLineChars="200" w:firstLine="480"/>
        <w:rPr>
          <w:color w:val="000000"/>
          <w:sz w:val="24"/>
          <w:szCs w:val="24"/>
        </w:rPr>
      </w:pPr>
      <w:r>
        <w:rPr>
          <w:color w:val="000000"/>
          <w:sz w:val="24"/>
          <w:szCs w:val="24"/>
        </w:rPr>
        <w:t>2020</w:t>
      </w:r>
      <w:r>
        <w:rPr>
          <w:color w:val="000000"/>
          <w:sz w:val="24"/>
          <w:szCs w:val="24"/>
        </w:rPr>
        <w:t>年二季度，全球投资者关注重点为经济恢复的进展。大家在投资选择上，表现出高度一致：科技、消费和医药；且愿意聚焦龙头，给予行业龙头更多的溢价。这体现了全球投资者对于经济环境的一致判断：目前处于经济修复期，恢复进展仍存较多不确定性，各产业的需求前景尚未明朗。在这种环境下，需要寻找具备</w:t>
      </w:r>
      <w:r>
        <w:rPr>
          <w:color w:val="000000"/>
          <w:sz w:val="24"/>
          <w:szCs w:val="24"/>
        </w:rPr>
        <w:t>“</w:t>
      </w:r>
      <w:r>
        <w:rPr>
          <w:color w:val="000000"/>
          <w:sz w:val="24"/>
          <w:szCs w:val="24"/>
        </w:rPr>
        <w:t>必需</w:t>
      </w:r>
      <w:r>
        <w:rPr>
          <w:color w:val="000000"/>
          <w:sz w:val="24"/>
          <w:szCs w:val="24"/>
        </w:rPr>
        <w:t>”</w:t>
      </w:r>
      <w:r>
        <w:rPr>
          <w:color w:val="000000"/>
          <w:sz w:val="24"/>
          <w:szCs w:val="24"/>
        </w:rPr>
        <w:t>属性的行业，以应对经济前景的不确定；在行业内，龙头公司的抗风险能力更强，它们存活、发展壮大的概率更大。比较而言，中国的复工进展更好一些。体现在股市上，二季度，</w:t>
      </w:r>
      <w:r>
        <w:rPr>
          <w:color w:val="000000"/>
          <w:sz w:val="24"/>
          <w:szCs w:val="24"/>
        </w:rPr>
        <w:t>A</w:t>
      </w:r>
      <w:r>
        <w:rPr>
          <w:color w:val="000000"/>
          <w:sz w:val="24"/>
          <w:szCs w:val="24"/>
        </w:rPr>
        <w:t>股和港股内资股的反弹幅度和持续性更好。</w:t>
      </w:r>
    </w:p>
    <w:p w:rsidR="00357FF0" w:rsidRDefault="004327CE">
      <w:pPr>
        <w:spacing w:before="29" w:line="288" w:lineRule="auto"/>
        <w:ind w:firstLineChars="200" w:firstLine="480"/>
        <w:rPr>
          <w:color w:val="000000"/>
          <w:sz w:val="24"/>
          <w:szCs w:val="24"/>
        </w:rPr>
      </w:pPr>
      <w:r>
        <w:rPr>
          <w:color w:val="000000"/>
          <w:sz w:val="24"/>
          <w:szCs w:val="24"/>
        </w:rPr>
        <w:t>回顾整个二季度，我</w:t>
      </w:r>
      <w:r>
        <w:rPr>
          <w:color w:val="000000"/>
          <w:sz w:val="24"/>
          <w:szCs w:val="24"/>
        </w:rPr>
        <w:t>们维持中高</w:t>
      </w:r>
      <w:proofErr w:type="gramStart"/>
      <w:r>
        <w:rPr>
          <w:color w:val="000000"/>
          <w:sz w:val="24"/>
          <w:szCs w:val="24"/>
        </w:rPr>
        <w:t>仓位</w:t>
      </w:r>
      <w:proofErr w:type="gramEnd"/>
      <w:r>
        <w:rPr>
          <w:color w:val="000000"/>
          <w:sz w:val="24"/>
          <w:szCs w:val="24"/>
        </w:rPr>
        <w:t>运行，均衡配置于消费制造、软件及消费服务和电子制造领域；主要</w:t>
      </w:r>
      <w:proofErr w:type="gramStart"/>
      <w:r>
        <w:rPr>
          <w:color w:val="000000"/>
          <w:sz w:val="24"/>
          <w:szCs w:val="24"/>
        </w:rPr>
        <w:t>仓位</w:t>
      </w:r>
      <w:proofErr w:type="gramEnd"/>
      <w:r>
        <w:rPr>
          <w:color w:val="000000"/>
          <w:sz w:val="24"/>
          <w:szCs w:val="24"/>
        </w:rPr>
        <w:t>调整是增加了消费服务领域的持仓，减少了部分消费制造领域持仓。一方面，我们希望通过均衡的配置来减小波动，更好控制回撤；另一方面，我们认为上述三个领域，是全球范围内，我们认为具备优势和发展潜力的行业，有更多机会成长出大的公司。短期内，我们更加看好各类提供线上服务业务的公司，受疫情的影响，各类线上服务业务都迎来了更好的需求爆发。</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三季度，我们仍将继续进行深度研究和挖掘，希望通过优选个股来给持有人带来回报。行业方面，我们仍然看好的是消费制造、软件及消费服务和电子制造领域。我们会积极在这些领域寻找具备安全边际和处于向上发展阶段的企业。宏观和市场方面，我们比较关注的是</w:t>
      </w:r>
      <w:r w:rsidRPr="00414345">
        <w:rPr>
          <w:color w:val="000000"/>
          <w:sz w:val="24"/>
          <w:szCs w:val="24"/>
        </w:rPr>
        <w:t>A</w:t>
      </w:r>
      <w:r w:rsidRPr="00414345">
        <w:rPr>
          <w:color w:val="000000"/>
          <w:sz w:val="24"/>
          <w:szCs w:val="24"/>
        </w:rPr>
        <w:t>、港股近期的一些制度变化，例如</w:t>
      </w:r>
      <w:r w:rsidRPr="00414345">
        <w:rPr>
          <w:color w:val="000000"/>
          <w:sz w:val="24"/>
          <w:szCs w:val="24"/>
        </w:rPr>
        <w:t>A</w:t>
      </w:r>
      <w:r w:rsidRPr="00414345">
        <w:rPr>
          <w:color w:val="000000"/>
          <w:sz w:val="24"/>
          <w:szCs w:val="24"/>
        </w:rPr>
        <w:t>股方面：</w:t>
      </w:r>
      <w:r w:rsidRPr="00414345">
        <w:rPr>
          <w:color w:val="000000"/>
          <w:sz w:val="24"/>
          <w:szCs w:val="24"/>
        </w:rPr>
        <w:t>1</w:t>
      </w:r>
      <w:r w:rsidRPr="00414345">
        <w:rPr>
          <w:color w:val="000000"/>
          <w:sz w:val="24"/>
          <w:szCs w:val="24"/>
        </w:rPr>
        <w:t>）</w:t>
      </w:r>
      <w:proofErr w:type="gramStart"/>
      <w:r w:rsidRPr="00414345">
        <w:rPr>
          <w:color w:val="000000"/>
          <w:sz w:val="24"/>
          <w:szCs w:val="24"/>
        </w:rPr>
        <w:t>科创板成立</w:t>
      </w:r>
      <w:proofErr w:type="gramEnd"/>
      <w:r w:rsidRPr="00414345">
        <w:rPr>
          <w:color w:val="000000"/>
          <w:sz w:val="24"/>
          <w:szCs w:val="24"/>
        </w:rPr>
        <w:t>1</w:t>
      </w:r>
      <w:r w:rsidRPr="00414345">
        <w:rPr>
          <w:color w:val="000000"/>
          <w:sz w:val="24"/>
          <w:szCs w:val="24"/>
        </w:rPr>
        <w:t>年，迎来更多的优质</w:t>
      </w:r>
      <w:proofErr w:type="gramStart"/>
      <w:r w:rsidRPr="00414345">
        <w:rPr>
          <w:color w:val="000000"/>
          <w:sz w:val="24"/>
          <w:szCs w:val="24"/>
        </w:rPr>
        <w:t>硬科技</w:t>
      </w:r>
      <w:proofErr w:type="gramEnd"/>
      <w:r w:rsidRPr="00414345">
        <w:rPr>
          <w:color w:val="000000"/>
          <w:sz w:val="24"/>
          <w:szCs w:val="24"/>
        </w:rPr>
        <w:t>公司；</w:t>
      </w:r>
      <w:r w:rsidRPr="00414345">
        <w:rPr>
          <w:color w:val="000000"/>
          <w:sz w:val="24"/>
          <w:szCs w:val="24"/>
        </w:rPr>
        <w:t>2</w:t>
      </w:r>
      <w:r w:rsidRPr="00414345">
        <w:rPr>
          <w:color w:val="000000"/>
          <w:sz w:val="24"/>
          <w:szCs w:val="24"/>
        </w:rPr>
        <w:t>）创业板上市、交易制度变化；港股方面：</w:t>
      </w:r>
      <w:r w:rsidRPr="00414345">
        <w:rPr>
          <w:color w:val="000000"/>
          <w:sz w:val="24"/>
          <w:szCs w:val="24"/>
        </w:rPr>
        <w:t>1</w:t>
      </w:r>
      <w:r w:rsidRPr="00414345">
        <w:rPr>
          <w:color w:val="000000"/>
          <w:sz w:val="24"/>
          <w:szCs w:val="24"/>
        </w:rPr>
        <w:t>）更多消费、医药公司来港上市；</w:t>
      </w:r>
      <w:r w:rsidRPr="00414345">
        <w:rPr>
          <w:color w:val="000000"/>
          <w:sz w:val="24"/>
          <w:szCs w:val="24"/>
        </w:rPr>
        <w:t>2</w:t>
      </w:r>
      <w:r w:rsidRPr="00414345">
        <w:rPr>
          <w:color w:val="000000"/>
          <w:sz w:val="24"/>
          <w:szCs w:val="24"/>
        </w:rPr>
        <w:t>）恒生指数即将进行调整，增加内资股成分占比，且会有更多</w:t>
      </w:r>
      <w:proofErr w:type="gramStart"/>
      <w:r w:rsidRPr="00414345">
        <w:rPr>
          <w:color w:val="000000"/>
          <w:sz w:val="24"/>
          <w:szCs w:val="24"/>
        </w:rPr>
        <w:t>中概股</w:t>
      </w:r>
      <w:proofErr w:type="gramEnd"/>
      <w:r w:rsidRPr="00414345">
        <w:rPr>
          <w:color w:val="000000"/>
          <w:sz w:val="24"/>
          <w:szCs w:val="24"/>
        </w:rPr>
        <w:t>回归港股上市。上述措施对于我们，是机遇也是挑战，一方面，我们会拥有更多优质的标的可以进行投资；另一方面，投资标的增多和变化，意味着大量资金会发生持续、深度的配置变化，对于主动投资人的选股要求在提升。我们将一如既往地做好研究，在波动中寻找投资机会，努力为投资人赚取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76,828,026.99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88.36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76,828,026.99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88.36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9,265,912.85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10.66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858,262.55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0.99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86,952,202.39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lastRenderedPageBreak/>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27,673,074.16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11,642.40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2,201,381.04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9,583,992.00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3,257,352.00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2,704,800.00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4,475,000.00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51,211,241.60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60.33</w:t>
            </w:r>
          </w:p>
        </w:tc>
      </w:tr>
    </w:tbl>
    <w:p w:rsidR="00C74EEE" w:rsidRDefault="00C74EEE"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357FF0">
        <w:trPr>
          <w:jc w:val="center"/>
        </w:trPr>
        <w:tc>
          <w:tcPr>
            <w:tcW w:w="2397" w:type="dxa"/>
            <w:vAlign w:val="center"/>
          </w:tcPr>
          <w:p w:rsidR="00357FF0" w:rsidRDefault="004327CE">
            <w:pPr>
              <w:jc w:val="center"/>
            </w:pPr>
            <w:r>
              <w:rPr>
                <w:color w:val="000000"/>
                <w:sz w:val="24"/>
              </w:rPr>
              <w:t>通讯服务</w:t>
            </w:r>
          </w:p>
        </w:tc>
        <w:tc>
          <w:tcPr>
            <w:tcW w:w="3119" w:type="dxa"/>
            <w:vAlign w:val="center"/>
          </w:tcPr>
          <w:p w:rsidR="00357FF0" w:rsidRDefault="004327CE">
            <w:pPr>
              <w:jc w:val="center"/>
            </w:pPr>
            <w:r>
              <w:rPr>
                <w:color w:val="000000"/>
                <w:sz w:val="24"/>
              </w:rPr>
              <w:t>8,990,989.92</w:t>
            </w:r>
          </w:p>
        </w:tc>
        <w:tc>
          <w:tcPr>
            <w:tcW w:w="3118" w:type="dxa"/>
            <w:vAlign w:val="center"/>
          </w:tcPr>
          <w:p w:rsidR="00357FF0" w:rsidRDefault="004327CE">
            <w:pPr>
              <w:jc w:val="center"/>
            </w:pPr>
            <w:r>
              <w:rPr>
                <w:color w:val="000000"/>
                <w:sz w:val="24"/>
              </w:rPr>
              <w:t>10.59</w:t>
            </w:r>
          </w:p>
        </w:tc>
      </w:tr>
      <w:tr w:rsidR="00357FF0">
        <w:trPr>
          <w:jc w:val="center"/>
        </w:trPr>
        <w:tc>
          <w:tcPr>
            <w:tcW w:w="2397" w:type="dxa"/>
            <w:vAlign w:val="center"/>
          </w:tcPr>
          <w:p w:rsidR="00357FF0" w:rsidRDefault="004327CE">
            <w:pPr>
              <w:jc w:val="center"/>
            </w:pPr>
            <w:r>
              <w:rPr>
                <w:color w:val="000000"/>
                <w:sz w:val="24"/>
              </w:rPr>
              <w:t>非日常生活消费品</w:t>
            </w:r>
          </w:p>
        </w:tc>
        <w:tc>
          <w:tcPr>
            <w:tcW w:w="3119" w:type="dxa"/>
            <w:vAlign w:val="center"/>
          </w:tcPr>
          <w:p w:rsidR="00357FF0" w:rsidRDefault="004327CE">
            <w:pPr>
              <w:jc w:val="center"/>
            </w:pPr>
            <w:r>
              <w:rPr>
                <w:color w:val="000000"/>
                <w:sz w:val="24"/>
              </w:rPr>
              <w:t>8,629,267.68</w:t>
            </w:r>
          </w:p>
        </w:tc>
        <w:tc>
          <w:tcPr>
            <w:tcW w:w="3118" w:type="dxa"/>
            <w:vAlign w:val="center"/>
          </w:tcPr>
          <w:p w:rsidR="00357FF0" w:rsidRDefault="004327CE">
            <w:pPr>
              <w:jc w:val="center"/>
            </w:pPr>
            <w:r>
              <w:rPr>
                <w:color w:val="000000"/>
                <w:sz w:val="24"/>
              </w:rPr>
              <w:t>10.17</w:t>
            </w:r>
          </w:p>
        </w:tc>
      </w:tr>
      <w:tr w:rsidR="00357FF0">
        <w:trPr>
          <w:jc w:val="center"/>
        </w:trPr>
        <w:tc>
          <w:tcPr>
            <w:tcW w:w="2397" w:type="dxa"/>
            <w:vAlign w:val="center"/>
          </w:tcPr>
          <w:p w:rsidR="00357FF0" w:rsidRDefault="004327CE">
            <w:pPr>
              <w:jc w:val="center"/>
            </w:pPr>
            <w:r>
              <w:rPr>
                <w:color w:val="000000"/>
                <w:sz w:val="24"/>
              </w:rPr>
              <w:t>信息技术</w:t>
            </w:r>
          </w:p>
        </w:tc>
        <w:tc>
          <w:tcPr>
            <w:tcW w:w="3119" w:type="dxa"/>
            <w:vAlign w:val="center"/>
          </w:tcPr>
          <w:p w:rsidR="00357FF0" w:rsidRDefault="004327CE">
            <w:pPr>
              <w:jc w:val="center"/>
            </w:pPr>
            <w:r>
              <w:rPr>
                <w:color w:val="000000"/>
                <w:sz w:val="24"/>
              </w:rPr>
              <w:t>6,863,405.47</w:t>
            </w:r>
          </w:p>
        </w:tc>
        <w:tc>
          <w:tcPr>
            <w:tcW w:w="3118" w:type="dxa"/>
            <w:vAlign w:val="center"/>
          </w:tcPr>
          <w:p w:rsidR="00357FF0" w:rsidRDefault="004327CE">
            <w:pPr>
              <w:jc w:val="center"/>
            </w:pPr>
            <w:r>
              <w:rPr>
                <w:color w:val="000000"/>
                <w:sz w:val="24"/>
              </w:rPr>
              <w:t>8.09</w:t>
            </w:r>
          </w:p>
        </w:tc>
      </w:tr>
      <w:tr w:rsidR="00357FF0">
        <w:trPr>
          <w:jc w:val="center"/>
        </w:trPr>
        <w:tc>
          <w:tcPr>
            <w:tcW w:w="2397" w:type="dxa"/>
            <w:vAlign w:val="center"/>
          </w:tcPr>
          <w:p w:rsidR="00357FF0" w:rsidRDefault="004327CE">
            <w:pPr>
              <w:jc w:val="center"/>
            </w:pPr>
            <w:r>
              <w:rPr>
                <w:color w:val="000000"/>
                <w:sz w:val="24"/>
              </w:rPr>
              <w:t>工业</w:t>
            </w:r>
          </w:p>
        </w:tc>
        <w:tc>
          <w:tcPr>
            <w:tcW w:w="3119" w:type="dxa"/>
            <w:vAlign w:val="center"/>
          </w:tcPr>
          <w:p w:rsidR="00357FF0" w:rsidRDefault="004327CE">
            <w:pPr>
              <w:jc w:val="center"/>
            </w:pPr>
            <w:r>
              <w:rPr>
                <w:color w:val="000000"/>
                <w:sz w:val="24"/>
              </w:rPr>
              <w:t>1,133,122.32</w:t>
            </w:r>
          </w:p>
        </w:tc>
        <w:tc>
          <w:tcPr>
            <w:tcW w:w="3118" w:type="dxa"/>
            <w:vAlign w:val="center"/>
          </w:tcPr>
          <w:p w:rsidR="00357FF0" w:rsidRDefault="004327CE">
            <w:pPr>
              <w:jc w:val="center"/>
            </w:pPr>
            <w:r>
              <w:rPr>
                <w:color w:val="000000"/>
                <w:sz w:val="24"/>
              </w:rPr>
              <w:t>1.33</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25,616,785.39</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30.18</w:t>
            </w:r>
          </w:p>
        </w:tc>
      </w:tr>
    </w:tbl>
    <w:p w:rsidR="00F51C4E" w:rsidRDefault="00F51C4E" w:rsidP="00F51C4E">
      <w:pPr>
        <w:spacing w:before="29" w:line="360" w:lineRule="auto"/>
        <w:ind w:left="17"/>
        <w:rPr>
          <w:color w:val="000000"/>
          <w:sz w:val="24"/>
        </w:rPr>
      </w:pPr>
      <w:r w:rsidRPr="00FF0BBF">
        <w:rPr>
          <w:color w:val="000000"/>
          <w:sz w:val="24"/>
        </w:rPr>
        <w:lastRenderedPageBreak/>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57FF0">
        <w:trPr>
          <w:jc w:val="center"/>
        </w:trPr>
        <w:tc>
          <w:tcPr>
            <w:tcW w:w="855" w:type="dxa"/>
            <w:vAlign w:val="center"/>
          </w:tcPr>
          <w:p w:rsidR="00357FF0" w:rsidRDefault="004327CE">
            <w:pPr>
              <w:jc w:val="center"/>
            </w:pPr>
            <w:r>
              <w:rPr>
                <w:color w:val="000000"/>
                <w:sz w:val="24"/>
                <w:szCs w:val="24"/>
              </w:rPr>
              <w:t>1</w:t>
            </w:r>
          </w:p>
        </w:tc>
        <w:tc>
          <w:tcPr>
            <w:tcW w:w="1334" w:type="dxa"/>
            <w:vAlign w:val="center"/>
          </w:tcPr>
          <w:p w:rsidR="00357FF0" w:rsidRDefault="004327CE">
            <w:pPr>
              <w:jc w:val="center"/>
            </w:pPr>
            <w:r>
              <w:rPr>
                <w:color w:val="000000"/>
                <w:sz w:val="24"/>
                <w:szCs w:val="24"/>
              </w:rPr>
              <w:t>00700.HK</w:t>
            </w:r>
          </w:p>
        </w:tc>
        <w:tc>
          <w:tcPr>
            <w:tcW w:w="1777" w:type="dxa"/>
            <w:vAlign w:val="center"/>
          </w:tcPr>
          <w:p w:rsidR="00357FF0" w:rsidRDefault="004327CE">
            <w:pPr>
              <w:jc w:val="center"/>
            </w:pPr>
            <w:proofErr w:type="gramStart"/>
            <w:r>
              <w:rPr>
                <w:color w:val="000000"/>
                <w:sz w:val="24"/>
                <w:szCs w:val="24"/>
              </w:rPr>
              <w:t>腾讯控股</w:t>
            </w:r>
            <w:proofErr w:type="gramEnd"/>
          </w:p>
        </w:tc>
        <w:tc>
          <w:tcPr>
            <w:tcW w:w="1334" w:type="dxa"/>
            <w:vAlign w:val="center"/>
          </w:tcPr>
          <w:p w:rsidR="00357FF0" w:rsidRDefault="004327CE">
            <w:pPr>
              <w:jc w:val="right"/>
            </w:pPr>
            <w:r>
              <w:rPr>
                <w:color w:val="000000"/>
                <w:sz w:val="24"/>
                <w:szCs w:val="24"/>
              </w:rPr>
              <w:t>15,000</w:t>
            </w:r>
          </w:p>
        </w:tc>
        <w:tc>
          <w:tcPr>
            <w:tcW w:w="1924" w:type="dxa"/>
            <w:vAlign w:val="center"/>
          </w:tcPr>
          <w:p w:rsidR="00357FF0" w:rsidRDefault="004327CE">
            <w:pPr>
              <w:jc w:val="right"/>
            </w:pPr>
            <w:r>
              <w:rPr>
                <w:color w:val="000000"/>
                <w:sz w:val="24"/>
                <w:szCs w:val="24"/>
              </w:rPr>
              <w:t>6,831,617.76</w:t>
            </w:r>
          </w:p>
        </w:tc>
        <w:tc>
          <w:tcPr>
            <w:tcW w:w="1644" w:type="dxa"/>
            <w:vAlign w:val="center"/>
          </w:tcPr>
          <w:p w:rsidR="00357FF0" w:rsidRDefault="004327CE">
            <w:pPr>
              <w:jc w:val="right"/>
            </w:pPr>
            <w:r>
              <w:rPr>
                <w:color w:val="000000"/>
                <w:sz w:val="24"/>
                <w:szCs w:val="24"/>
              </w:rPr>
              <w:t>8.05</w:t>
            </w:r>
          </w:p>
        </w:tc>
      </w:tr>
      <w:tr w:rsidR="00357FF0">
        <w:trPr>
          <w:jc w:val="center"/>
        </w:trPr>
        <w:tc>
          <w:tcPr>
            <w:tcW w:w="855" w:type="dxa"/>
            <w:vAlign w:val="center"/>
          </w:tcPr>
          <w:p w:rsidR="00357FF0" w:rsidRDefault="004327CE">
            <w:pPr>
              <w:jc w:val="center"/>
            </w:pPr>
            <w:r>
              <w:rPr>
                <w:color w:val="000000"/>
                <w:sz w:val="24"/>
                <w:szCs w:val="24"/>
              </w:rPr>
              <w:t>2</w:t>
            </w:r>
          </w:p>
        </w:tc>
        <w:tc>
          <w:tcPr>
            <w:tcW w:w="1334" w:type="dxa"/>
            <w:vAlign w:val="center"/>
          </w:tcPr>
          <w:p w:rsidR="00357FF0" w:rsidRDefault="004327CE">
            <w:pPr>
              <w:jc w:val="center"/>
            </w:pPr>
            <w:r>
              <w:rPr>
                <w:color w:val="000000"/>
                <w:sz w:val="24"/>
                <w:szCs w:val="24"/>
              </w:rPr>
              <w:t>00981.HK</w:t>
            </w:r>
          </w:p>
        </w:tc>
        <w:tc>
          <w:tcPr>
            <w:tcW w:w="1777" w:type="dxa"/>
            <w:vAlign w:val="center"/>
          </w:tcPr>
          <w:p w:rsidR="00357FF0" w:rsidRDefault="004327CE">
            <w:pPr>
              <w:jc w:val="center"/>
            </w:pPr>
            <w:proofErr w:type="gramStart"/>
            <w:r>
              <w:rPr>
                <w:color w:val="000000"/>
                <w:sz w:val="24"/>
                <w:szCs w:val="24"/>
              </w:rPr>
              <w:t>中芯国际</w:t>
            </w:r>
            <w:proofErr w:type="gramEnd"/>
          </w:p>
        </w:tc>
        <w:tc>
          <w:tcPr>
            <w:tcW w:w="1334" w:type="dxa"/>
            <w:vAlign w:val="center"/>
          </w:tcPr>
          <w:p w:rsidR="00357FF0" w:rsidRDefault="004327CE">
            <w:pPr>
              <w:jc w:val="right"/>
            </w:pPr>
            <w:r>
              <w:rPr>
                <w:color w:val="000000"/>
                <w:sz w:val="24"/>
                <w:szCs w:val="24"/>
              </w:rPr>
              <w:t>200,000</w:t>
            </w:r>
          </w:p>
        </w:tc>
        <w:tc>
          <w:tcPr>
            <w:tcW w:w="1924" w:type="dxa"/>
            <w:vAlign w:val="center"/>
          </w:tcPr>
          <w:p w:rsidR="00357FF0" w:rsidRDefault="004327CE">
            <w:pPr>
              <w:jc w:val="right"/>
            </w:pPr>
            <w:r>
              <w:rPr>
                <w:color w:val="000000"/>
                <w:sz w:val="24"/>
                <w:szCs w:val="24"/>
              </w:rPr>
              <w:t>4,932,576.00</w:t>
            </w:r>
          </w:p>
        </w:tc>
        <w:tc>
          <w:tcPr>
            <w:tcW w:w="1644" w:type="dxa"/>
            <w:vAlign w:val="center"/>
          </w:tcPr>
          <w:p w:rsidR="00357FF0" w:rsidRDefault="004327CE">
            <w:pPr>
              <w:jc w:val="right"/>
            </w:pPr>
            <w:r>
              <w:rPr>
                <w:color w:val="000000"/>
                <w:sz w:val="24"/>
                <w:szCs w:val="24"/>
              </w:rPr>
              <w:t>5.81</w:t>
            </w:r>
          </w:p>
        </w:tc>
      </w:tr>
      <w:tr w:rsidR="00357FF0">
        <w:trPr>
          <w:jc w:val="center"/>
        </w:trPr>
        <w:tc>
          <w:tcPr>
            <w:tcW w:w="855" w:type="dxa"/>
            <w:vAlign w:val="center"/>
          </w:tcPr>
          <w:p w:rsidR="00357FF0" w:rsidRDefault="004327CE">
            <w:pPr>
              <w:jc w:val="center"/>
            </w:pPr>
            <w:r>
              <w:rPr>
                <w:color w:val="000000"/>
                <w:sz w:val="24"/>
                <w:szCs w:val="24"/>
              </w:rPr>
              <w:t>3</w:t>
            </w:r>
          </w:p>
        </w:tc>
        <w:tc>
          <w:tcPr>
            <w:tcW w:w="1334" w:type="dxa"/>
            <w:vAlign w:val="center"/>
          </w:tcPr>
          <w:p w:rsidR="00357FF0" w:rsidRDefault="004327CE">
            <w:pPr>
              <w:jc w:val="center"/>
            </w:pPr>
            <w:r>
              <w:rPr>
                <w:color w:val="000000"/>
                <w:sz w:val="24"/>
                <w:szCs w:val="24"/>
              </w:rPr>
              <w:t>03690.HK</w:t>
            </w:r>
          </w:p>
        </w:tc>
        <w:tc>
          <w:tcPr>
            <w:tcW w:w="1777" w:type="dxa"/>
            <w:vAlign w:val="center"/>
          </w:tcPr>
          <w:p w:rsidR="00357FF0" w:rsidRDefault="004327CE">
            <w:pPr>
              <w:jc w:val="center"/>
            </w:pPr>
            <w:proofErr w:type="gramStart"/>
            <w:r>
              <w:rPr>
                <w:color w:val="000000"/>
                <w:sz w:val="24"/>
                <w:szCs w:val="24"/>
              </w:rPr>
              <w:t>美团点评</w:t>
            </w:r>
            <w:proofErr w:type="gramEnd"/>
            <w:r>
              <w:rPr>
                <w:color w:val="000000"/>
                <w:sz w:val="24"/>
                <w:szCs w:val="24"/>
              </w:rPr>
              <w:t>－Ｗ</w:t>
            </w:r>
          </w:p>
        </w:tc>
        <w:tc>
          <w:tcPr>
            <w:tcW w:w="1334" w:type="dxa"/>
            <w:vAlign w:val="center"/>
          </w:tcPr>
          <w:p w:rsidR="00357FF0" w:rsidRDefault="004327CE">
            <w:pPr>
              <w:jc w:val="right"/>
            </w:pPr>
            <w:r>
              <w:rPr>
                <w:color w:val="000000"/>
                <w:sz w:val="24"/>
                <w:szCs w:val="24"/>
              </w:rPr>
              <w:t>30,000</w:t>
            </w:r>
          </w:p>
        </w:tc>
        <w:tc>
          <w:tcPr>
            <w:tcW w:w="1924" w:type="dxa"/>
            <w:vAlign w:val="center"/>
          </w:tcPr>
          <w:p w:rsidR="00357FF0" w:rsidRDefault="004327CE">
            <w:pPr>
              <w:jc w:val="right"/>
            </w:pPr>
            <w:r>
              <w:rPr>
                <w:color w:val="000000"/>
                <w:sz w:val="24"/>
                <w:szCs w:val="24"/>
              </w:rPr>
              <w:t>4,710,610.08</w:t>
            </w:r>
          </w:p>
        </w:tc>
        <w:tc>
          <w:tcPr>
            <w:tcW w:w="1644" w:type="dxa"/>
            <w:vAlign w:val="center"/>
          </w:tcPr>
          <w:p w:rsidR="00357FF0" w:rsidRDefault="004327CE">
            <w:pPr>
              <w:jc w:val="right"/>
            </w:pPr>
            <w:r>
              <w:rPr>
                <w:color w:val="000000"/>
                <w:sz w:val="24"/>
                <w:szCs w:val="24"/>
              </w:rPr>
              <w:t>5.55</w:t>
            </w:r>
          </w:p>
        </w:tc>
      </w:tr>
      <w:tr w:rsidR="00357FF0">
        <w:trPr>
          <w:jc w:val="center"/>
        </w:trPr>
        <w:tc>
          <w:tcPr>
            <w:tcW w:w="855" w:type="dxa"/>
            <w:vAlign w:val="center"/>
          </w:tcPr>
          <w:p w:rsidR="00357FF0" w:rsidRDefault="004327CE">
            <w:pPr>
              <w:jc w:val="center"/>
            </w:pPr>
            <w:r>
              <w:rPr>
                <w:color w:val="000000"/>
                <w:sz w:val="24"/>
                <w:szCs w:val="24"/>
              </w:rPr>
              <w:t>4</w:t>
            </w:r>
          </w:p>
        </w:tc>
        <w:tc>
          <w:tcPr>
            <w:tcW w:w="1334" w:type="dxa"/>
            <w:vAlign w:val="center"/>
          </w:tcPr>
          <w:p w:rsidR="00357FF0" w:rsidRDefault="004327CE">
            <w:pPr>
              <w:jc w:val="center"/>
            </w:pPr>
            <w:r>
              <w:rPr>
                <w:color w:val="000000"/>
                <w:sz w:val="24"/>
                <w:szCs w:val="24"/>
              </w:rPr>
              <w:t>603882</w:t>
            </w:r>
          </w:p>
        </w:tc>
        <w:tc>
          <w:tcPr>
            <w:tcW w:w="1777" w:type="dxa"/>
            <w:vAlign w:val="center"/>
          </w:tcPr>
          <w:p w:rsidR="00357FF0" w:rsidRDefault="004327CE">
            <w:pPr>
              <w:jc w:val="center"/>
            </w:pPr>
            <w:r>
              <w:rPr>
                <w:color w:val="000000"/>
                <w:sz w:val="24"/>
                <w:szCs w:val="24"/>
              </w:rPr>
              <w:t>金域医学</w:t>
            </w:r>
          </w:p>
        </w:tc>
        <w:tc>
          <w:tcPr>
            <w:tcW w:w="1334" w:type="dxa"/>
            <w:vAlign w:val="center"/>
          </w:tcPr>
          <w:p w:rsidR="00357FF0" w:rsidRDefault="004327CE">
            <w:pPr>
              <w:jc w:val="right"/>
            </w:pPr>
            <w:r>
              <w:rPr>
                <w:color w:val="000000"/>
                <w:sz w:val="24"/>
                <w:szCs w:val="24"/>
              </w:rPr>
              <w:t>50,000</w:t>
            </w:r>
          </w:p>
        </w:tc>
        <w:tc>
          <w:tcPr>
            <w:tcW w:w="1924" w:type="dxa"/>
            <w:vAlign w:val="center"/>
          </w:tcPr>
          <w:p w:rsidR="00357FF0" w:rsidRDefault="004327CE">
            <w:pPr>
              <w:jc w:val="right"/>
            </w:pPr>
            <w:r>
              <w:rPr>
                <w:color w:val="000000"/>
                <w:sz w:val="24"/>
                <w:szCs w:val="24"/>
              </w:rPr>
              <w:t>4,475,000.00</w:t>
            </w:r>
          </w:p>
        </w:tc>
        <w:tc>
          <w:tcPr>
            <w:tcW w:w="1644" w:type="dxa"/>
            <w:vAlign w:val="center"/>
          </w:tcPr>
          <w:p w:rsidR="00357FF0" w:rsidRDefault="004327CE">
            <w:pPr>
              <w:jc w:val="right"/>
            </w:pPr>
            <w:r>
              <w:rPr>
                <w:color w:val="000000"/>
                <w:sz w:val="24"/>
                <w:szCs w:val="24"/>
              </w:rPr>
              <w:t>5.27</w:t>
            </w:r>
          </w:p>
        </w:tc>
      </w:tr>
      <w:tr w:rsidR="00357FF0">
        <w:trPr>
          <w:jc w:val="center"/>
        </w:trPr>
        <w:tc>
          <w:tcPr>
            <w:tcW w:w="855" w:type="dxa"/>
            <w:vAlign w:val="center"/>
          </w:tcPr>
          <w:p w:rsidR="00357FF0" w:rsidRDefault="004327CE">
            <w:pPr>
              <w:jc w:val="center"/>
            </w:pPr>
            <w:r>
              <w:rPr>
                <w:color w:val="000000"/>
                <w:sz w:val="24"/>
                <w:szCs w:val="24"/>
              </w:rPr>
              <w:t>5</w:t>
            </w:r>
          </w:p>
        </w:tc>
        <w:tc>
          <w:tcPr>
            <w:tcW w:w="1334" w:type="dxa"/>
            <w:vAlign w:val="center"/>
          </w:tcPr>
          <w:p w:rsidR="00357FF0" w:rsidRDefault="004327CE">
            <w:pPr>
              <w:jc w:val="center"/>
            </w:pPr>
            <w:r>
              <w:rPr>
                <w:color w:val="000000"/>
                <w:sz w:val="24"/>
                <w:szCs w:val="24"/>
              </w:rPr>
              <w:t>600519</w:t>
            </w:r>
          </w:p>
        </w:tc>
        <w:tc>
          <w:tcPr>
            <w:tcW w:w="1777" w:type="dxa"/>
            <w:vAlign w:val="center"/>
          </w:tcPr>
          <w:p w:rsidR="00357FF0" w:rsidRDefault="004327CE">
            <w:pPr>
              <w:jc w:val="center"/>
            </w:pPr>
            <w:r>
              <w:rPr>
                <w:color w:val="000000"/>
                <w:sz w:val="24"/>
                <w:szCs w:val="24"/>
              </w:rPr>
              <w:t>贵州茅台</w:t>
            </w:r>
          </w:p>
        </w:tc>
        <w:tc>
          <w:tcPr>
            <w:tcW w:w="1334" w:type="dxa"/>
            <w:vAlign w:val="center"/>
          </w:tcPr>
          <w:p w:rsidR="00357FF0" w:rsidRDefault="004327CE">
            <w:pPr>
              <w:jc w:val="right"/>
            </w:pPr>
            <w:r>
              <w:rPr>
                <w:color w:val="000000"/>
                <w:sz w:val="24"/>
                <w:szCs w:val="24"/>
              </w:rPr>
              <w:t>3,000</w:t>
            </w:r>
          </w:p>
        </w:tc>
        <w:tc>
          <w:tcPr>
            <w:tcW w:w="1924" w:type="dxa"/>
            <w:vAlign w:val="center"/>
          </w:tcPr>
          <w:p w:rsidR="00357FF0" w:rsidRDefault="004327CE">
            <w:pPr>
              <w:jc w:val="right"/>
            </w:pPr>
            <w:r>
              <w:rPr>
                <w:color w:val="000000"/>
                <w:sz w:val="24"/>
                <w:szCs w:val="24"/>
              </w:rPr>
              <w:t>4,388,640.00</w:t>
            </w:r>
          </w:p>
        </w:tc>
        <w:tc>
          <w:tcPr>
            <w:tcW w:w="1644" w:type="dxa"/>
            <w:vAlign w:val="center"/>
          </w:tcPr>
          <w:p w:rsidR="00357FF0" w:rsidRDefault="004327CE">
            <w:pPr>
              <w:jc w:val="right"/>
            </w:pPr>
            <w:r>
              <w:rPr>
                <w:color w:val="000000"/>
                <w:sz w:val="24"/>
                <w:szCs w:val="24"/>
              </w:rPr>
              <w:t>5.17</w:t>
            </w:r>
          </w:p>
        </w:tc>
      </w:tr>
      <w:tr w:rsidR="00357FF0">
        <w:trPr>
          <w:jc w:val="center"/>
        </w:trPr>
        <w:tc>
          <w:tcPr>
            <w:tcW w:w="855" w:type="dxa"/>
            <w:vAlign w:val="center"/>
          </w:tcPr>
          <w:p w:rsidR="00357FF0" w:rsidRDefault="004327CE">
            <w:pPr>
              <w:jc w:val="center"/>
            </w:pPr>
            <w:r>
              <w:rPr>
                <w:color w:val="000000"/>
                <w:sz w:val="24"/>
                <w:szCs w:val="24"/>
              </w:rPr>
              <w:t>6</w:t>
            </w:r>
          </w:p>
        </w:tc>
        <w:tc>
          <w:tcPr>
            <w:tcW w:w="1334" w:type="dxa"/>
            <w:vAlign w:val="center"/>
          </w:tcPr>
          <w:p w:rsidR="00357FF0" w:rsidRDefault="004327CE">
            <w:pPr>
              <w:jc w:val="center"/>
            </w:pPr>
            <w:r>
              <w:rPr>
                <w:color w:val="000000"/>
                <w:sz w:val="24"/>
                <w:szCs w:val="24"/>
              </w:rPr>
              <w:t>002475</w:t>
            </w:r>
          </w:p>
        </w:tc>
        <w:tc>
          <w:tcPr>
            <w:tcW w:w="1777" w:type="dxa"/>
            <w:vAlign w:val="center"/>
          </w:tcPr>
          <w:p w:rsidR="00357FF0" w:rsidRDefault="004327CE">
            <w:pPr>
              <w:jc w:val="center"/>
            </w:pPr>
            <w:r>
              <w:rPr>
                <w:color w:val="000000"/>
                <w:sz w:val="24"/>
                <w:szCs w:val="24"/>
              </w:rPr>
              <w:t>立讯精密</w:t>
            </w:r>
          </w:p>
        </w:tc>
        <w:tc>
          <w:tcPr>
            <w:tcW w:w="1334" w:type="dxa"/>
            <w:vAlign w:val="center"/>
          </w:tcPr>
          <w:p w:rsidR="00357FF0" w:rsidRDefault="004327CE">
            <w:pPr>
              <w:jc w:val="right"/>
            </w:pPr>
            <w:r>
              <w:rPr>
                <w:color w:val="000000"/>
                <w:sz w:val="24"/>
                <w:szCs w:val="24"/>
              </w:rPr>
              <w:t>77,998</w:t>
            </w:r>
          </w:p>
        </w:tc>
        <w:tc>
          <w:tcPr>
            <w:tcW w:w="1924" w:type="dxa"/>
            <w:vAlign w:val="center"/>
          </w:tcPr>
          <w:p w:rsidR="00357FF0" w:rsidRDefault="004327CE">
            <w:pPr>
              <w:jc w:val="right"/>
            </w:pPr>
            <w:r>
              <w:rPr>
                <w:color w:val="000000"/>
                <w:sz w:val="24"/>
                <w:szCs w:val="24"/>
              </w:rPr>
              <w:t>4,005,197.30</w:t>
            </w:r>
          </w:p>
        </w:tc>
        <w:tc>
          <w:tcPr>
            <w:tcW w:w="1644" w:type="dxa"/>
            <w:vAlign w:val="center"/>
          </w:tcPr>
          <w:p w:rsidR="00357FF0" w:rsidRDefault="004327CE">
            <w:pPr>
              <w:jc w:val="right"/>
            </w:pPr>
            <w:r>
              <w:rPr>
                <w:color w:val="000000"/>
                <w:sz w:val="24"/>
                <w:szCs w:val="24"/>
              </w:rPr>
              <w:t>4.72</w:t>
            </w:r>
          </w:p>
        </w:tc>
      </w:tr>
      <w:tr w:rsidR="00357FF0">
        <w:trPr>
          <w:jc w:val="center"/>
        </w:trPr>
        <w:tc>
          <w:tcPr>
            <w:tcW w:w="855" w:type="dxa"/>
            <w:vAlign w:val="center"/>
          </w:tcPr>
          <w:p w:rsidR="00357FF0" w:rsidRDefault="004327CE">
            <w:pPr>
              <w:jc w:val="center"/>
            </w:pPr>
            <w:r>
              <w:rPr>
                <w:color w:val="000000"/>
                <w:sz w:val="24"/>
                <w:szCs w:val="24"/>
              </w:rPr>
              <w:t>7</w:t>
            </w:r>
          </w:p>
        </w:tc>
        <w:tc>
          <w:tcPr>
            <w:tcW w:w="1334" w:type="dxa"/>
            <w:vAlign w:val="center"/>
          </w:tcPr>
          <w:p w:rsidR="00357FF0" w:rsidRDefault="004327CE">
            <w:pPr>
              <w:jc w:val="center"/>
            </w:pPr>
            <w:r>
              <w:rPr>
                <w:color w:val="000000"/>
                <w:sz w:val="24"/>
                <w:szCs w:val="24"/>
              </w:rPr>
              <w:t>00881.HK</w:t>
            </w:r>
          </w:p>
        </w:tc>
        <w:tc>
          <w:tcPr>
            <w:tcW w:w="1777" w:type="dxa"/>
            <w:vAlign w:val="center"/>
          </w:tcPr>
          <w:p w:rsidR="00357FF0" w:rsidRDefault="004327CE">
            <w:pPr>
              <w:jc w:val="center"/>
            </w:pPr>
            <w:r>
              <w:rPr>
                <w:color w:val="000000"/>
                <w:sz w:val="24"/>
                <w:szCs w:val="24"/>
              </w:rPr>
              <w:t>中升控股</w:t>
            </w:r>
          </w:p>
        </w:tc>
        <w:tc>
          <w:tcPr>
            <w:tcW w:w="1334" w:type="dxa"/>
            <w:vAlign w:val="center"/>
          </w:tcPr>
          <w:p w:rsidR="00357FF0" w:rsidRDefault="004327CE">
            <w:pPr>
              <w:jc w:val="right"/>
            </w:pPr>
            <w:r>
              <w:rPr>
                <w:color w:val="000000"/>
                <w:sz w:val="24"/>
                <w:szCs w:val="24"/>
              </w:rPr>
              <w:t>100,000</w:t>
            </w:r>
          </w:p>
        </w:tc>
        <w:tc>
          <w:tcPr>
            <w:tcW w:w="1924" w:type="dxa"/>
            <w:vAlign w:val="center"/>
          </w:tcPr>
          <w:p w:rsidR="00357FF0" w:rsidRDefault="004327CE">
            <w:pPr>
              <w:jc w:val="right"/>
            </w:pPr>
            <w:r>
              <w:rPr>
                <w:color w:val="000000"/>
                <w:sz w:val="24"/>
                <w:szCs w:val="24"/>
              </w:rPr>
              <w:t>3,918,657.60</w:t>
            </w:r>
          </w:p>
        </w:tc>
        <w:tc>
          <w:tcPr>
            <w:tcW w:w="1644" w:type="dxa"/>
            <w:vAlign w:val="center"/>
          </w:tcPr>
          <w:p w:rsidR="00357FF0" w:rsidRDefault="004327CE">
            <w:pPr>
              <w:jc w:val="right"/>
            </w:pPr>
            <w:r>
              <w:rPr>
                <w:color w:val="000000"/>
                <w:sz w:val="24"/>
                <w:szCs w:val="24"/>
              </w:rPr>
              <w:t>4.62</w:t>
            </w:r>
          </w:p>
        </w:tc>
      </w:tr>
      <w:tr w:rsidR="00357FF0">
        <w:trPr>
          <w:jc w:val="center"/>
        </w:trPr>
        <w:tc>
          <w:tcPr>
            <w:tcW w:w="855" w:type="dxa"/>
            <w:vAlign w:val="center"/>
          </w:tcPr>
          <w:p w:rsidR="00357FF0" w:rsidRDefault="004327CE">
            <w:pPr>
              <w:jc w:val="center"/>
            </w:pPr>
            <w:r>
              <w:rPr>
                <w:color w:val="000000"/>
                <w:sz w:val="24"/>
                <w:szCs w:val="24"/>
              </w:rPr>
              <w:t>8</w:t>
            </w:r>
          </w:p>
        </w:tc>
        <w:tc>
          <w:tcPr>
            <w:tcW w:w="1334" w:type="dxa"/>
            <w:vAlign w:val="center"/>
          </w:tcPr>
          <w:p w:rsidR="00357FF0" w:rsidRDefault="004327CE">
            <w:pPr>
              <w:jc w:val="center"/>
            </w:pPr>
            <w:r>
              <w:rPr>
                <w:color w:val="000000"/>
                <w:sz w:val="24"/>
                <w:szCs w:val="24"/>
              </w:rPr>
              <w:t>600036</w:t>
            </w:r>
          </w:p>
        </w:tc>
        <w:tc>
          <w:tcPr>
            <w:tcW w:w="1777" w:type="dxa"/>
            <w:vAlign w:val="center"/>
          </w:tcPr>
          <w:p w:rsidR="00357FF0" w:rsidRDefault="004327CE">
            <w:pPr>
              <w:jc w:val="center"/>
            </w:pPr>
            <w:r>
              <w:rPr>
                <w:color w:val="000000"/>
                <w:sz w:val="24"/>
                <w:szCs w:val="24"/>
              </w:rPr>
              <w:t>招商银行</w:t>
            </w:r>
          </w:p>
        </w:tc>
        <w:tc>
          <w:tcPr>
            <w:tcW w:w="1334" w:type="dxa"/>
            <w:vAlign w:val="center"/>
          </w:tcPr>
          <w:p w:rsidR="00357FF0" w:rsidRDefault="004327CE">
            <w:pPr>
              <w:jc w:val="right"/>
            </w:pPr>
            <w:r>
              <w:rPr>
                <w:color w:val="000000"/>
                <w:sz w:val="24"/>
                <w:szCs w:val="24"/>
              </w:rPr>
              <w:t>96,600</w:t>
            </w:r>
          </w:p>
        </w:tc>
        <w:tc>
          <w:tcPr>
            <w:tcW w:w="1924" w:type="dxa"/>
            <w:vAlign w:val="center"/>
          </w:tcPr>
          <w:p w:rsidR="00357FF0" w:rsidRDefault="004327CE">
            <w:pPr>
              <w:jc w:val="right"/>
            </w:pPr>
            <w:r>
              <w:rPr>
                <w:color w:val="000000"/>
                <w:sz w:val="24"/>
                <w:szCs w:val="24"/>
              </w:rPr>
              <w:t>3,257,352.00</w:t>
            </w:r>
          </w:p>
        </w:tc>
        <w:tc>
          <w:tcPr>
            <w:tcW w:w="1644" w:type="dxa"/>
            <w:vAlign w:val="center"/>
          </w:tcPr>
          <w:p w:rsidR="00357FF0" w:rsidRDefault="004327CE">
            <w:pPr>
              <w:jc w:val="right"/>
            </w:pPr>
            <w:r>
              <w:rPr>
                <w:color w:val="000000"/>
                <w:sz w:val="24"/>
                <w:szCs w:val="24"/>
              </w:rPr>
              <w:t>3.84</w:t>
            </w:r>
          </w:p>
        </w:tc>
      </w:tr>
      <w:tr w:rsidR="00357FF0">
        <w:trPr>
          <w:jc w:val="center"/>
        </w:trPr>
        <w:tc>
          <w:tcPr>
            <w:tcW w:w="855" w:type="dxa"/>
            <w:vAlign w:val="center"/>
          </w:tcPr>
          <w:p w:rsidR="00357FF0" w:rsidRDefault="004327CE">
            <w:pPr>
              <w:jc w:val="center"/>
            </w:pPr>
            <w:r>
              <w:rPr>
                <w:color w:val="000000"/>
                <w:sz w:val="24"/>
                <w:szCs w:val="24"/>
              </w:rPr>
              <w:t>9</w:t>
            </w:r>
          </w:p>
        </w:tc>
        <w:tc>
          <w:tcPr>
            <w:tcW w:w="1334" w:type="dxa"/>
            <w:vAlign w:val="center"/>
          </w:tcPr>
          <w:p w:rsidR="00357FF0" w:rsidRDefault="004327CE">
            <w:pPr>
              <w:jc w:val="center"/>
            </w:pPr>
            <w:r>
              <w:rPr>
                <w:color w:val="000000"/>
                <w:sz w:val="24"/>
                <w:szCs w:val="24"/>
              </w:rPr>
              <w:t>600276</w:t>
            </w:r>
          </w:p>
        </w:tc>
        <w:tc>
          <w:tcPr>
            <w:tcW w:w="1777" w:type="dxa"/>
            <w:vAlign w:val="center"/>
          </w:tcPr>
          <w:p w:rsidR="00357FF0" w:rsidRDefault="004327CE">
            <w:pPr>
              <w:jc w:val="center"/>
            </w:pPr>
            <w:r>
              <w:rPr>
                <w:color w:val="000000"/>
                <w:sz w:val="24"/>
                <w:szCs w:val="24"/>
              </w:rPr>
              <w:t>恒瑞医药</w:t>
            </w:r>
          </w:p>
        </w:tc>
        <w:tc>
          <w:tcPr>
            <w:tcW w:w="1334" w:type="dxa"/>
            <w:vAlign w:val="center"/>
          </w:tcPr>
          <w:p w:rsidR="00357FF0" w:rsidRDefault="004327CE">
            <w:pPr>
              <w:jc w:val="right"/>
            </w:pPr>
            <w:r>
              <w:rPr>
                <w:color w:val="000000"/>
                <w:sz w:val="24"/>
                <w:szCs w:val="24"/>
              </w:rPr>
              <w:t>34,000</w:t>
            </w:r>
          </w:p>
        </w:tc>
        <w:tc>
          <w:tcPr>
            <w:tcW w:w="1924" w:type="dxa"/>
            <w:vAlign w:val="center"/>
          </w:tcPr>
          <w:p w:rsidR="00357FF0" w:rsidRDefault="004327CE">
            <w:pPr>
              <w:jc w:val="right"/>
            </w:pPr>
            <w:r>
              <w:rPr>
                <w:color w:val="000000"/>
                <w:sz w:val="24"/>
                <w:szCs w:val="24"/>
              </w:rPr>
              <w:t>3,138,200.00</w:t>
            </w:r>
          </w:p>
        </w:tc>
        <w:tc>
          <w:tcPr>
            <w:tcW w:w="1644" w:type="dxa"/>
            <w:vAlign w:val="center"/>
          </w:tcPr>
          <w:p w:rsidR="00357FF0" w:rsidRDefault="004327CE">
            <w:pPr>
              <w:jc w:val="right"/>
            </w:pPr>
            <w:r>
              <w:rPr>
                <w:color w:val="000000"/>
                <w:sz w:val="24"/>
                <w:szCs w:val="24"/>
              </w:rPr>
              <w:t>3.70</w:t>
            </w:r>
          </w:p>
        </w:tc>
      </w:tr>
      <w:tr w:rsidR="00357FF0">
        <w:trPr>
          <w:jc w:val="center"/>
        </w:trPr>
        <w:tc>
          <w:tcPr>
            <w:tcW w:w="855" w:type="dxa"/>
            <w:vAlign w:val="center"/>
          </w:tcPr>
          <w:p w:rsidR="00357FF0" w:rsidRDefault="004327CE">
            <w:pPr>
              <w:jc w:val="center"/>
            </w:pPr>
            <w:r>
              <w:rPr>
                <w:color w:val="000000"/>
                <w:sz w:val="24"/>
                <w:szCs w:val="24"/>
              </w:rPr>
              <w:t>10</w:t>
            </w:r>
          </w:p>
        </w:tc>
        <w:tc>
          <w:tcPr>
            <w:tcW w:w="1334" w:type="dxa"/>
            <w:vAlign w:val="center"/>
          </w:tcPr>
          <w:p w:rsidR="00357FF0" w:rsidRDefault="004327CE">
            <w:pPr>
              <w:jc w:val="center"/>
            </w:pPr>
            <w:r>
              <w:rPr>
                <w:color w:val="000000"/>
                <w:sz w:val="24"/>
                <w:szCs w:val="24"/>
              </w:rPr>
              <w:t>002230</w:t>
            </w:r>
          </w:p>
        </w:tc>
        <w:tc>
          <w:tcPr>
            <w:tcW w:w="1777" w:type="dxa"/>
            <w:vAlign w:val="center"/>
          </w:tcPr>
          <w:p w:rsidR="00357FF0" w:rsidRDefault="004327CE">
            <w:pPr>
              <w:jc w:val="center"/>
            </w:pPr>
            <w:proofErr w:type="gramStart"/>
            <w:r>
              <w:rPr>
                <w:color w:val="000000"/>
                <w:sz w:val="24"/>
                <w:szCs w:val="24"/>
              </w:rPr>
              <w:t>科大讯飞</w:t>
            </w:r>
            <w:proofErr w:type="gramEnd"/>
          </w:p>
        </w:tc>
        <w:tc>
          <w:tcPr>
            <w:tcW w:w="1334" w:type="dxa"/>
            <w:vAlign w:val="center"/>
          </w:tcPr>
          <w:p w:rsidR="00357FF0" w:rsidRDefault="004327CE">
            <w:pPr>
              <w:jc w:val="right"/>
            </w:pPr>
            <w:r>
              <w:rPr>
                <w:color w:val="000000"/>
                <w:sz w:val="24"/>
                <w:szCs w:val="24"/>
              </w:rPr>
              <w:t>79,901</w:t>
            </w:r>
          </w:p>
        </w:tc>
        <w:tc>
          <w:tcPr>
            <w:tcW w:w="1924" w:type="dxa"/>
            <w:vAlign w:val="center"/>
          </w:tcPr>
          <w:p w:rsidR="00357FF0" w:rsidRDefault="004327CE">
            <w:pPr>
              <w:jc w:val="right"/>
            </w:pPr>
            <w:r>
              <w:rPr>
                <w:color w:val="000000"/>
                <w:sz w:val="24"/>
                <w:szCs w:val="24"/>
              </w:rPr>
              <w:t>2,990,694.43</w:t>
            </w:r>
          </w:p>
        </w:tc>
        <w:tc>
          <w:tcPr>
            <w:tcW w:w="1644" w:type="dxa"/>
            <w:vAlign w:val="center"/>
          </w:tcPr>
          <w:p w:rsidR="00357FF0" w:rsidRDefault="004327CE">
            <w:pPr>
              <w:jc w:val="right"/>
            </w:pPr>
            <w:r>
              <w:rPr>
                <w:color w:val="000000"/>
                <w:sz w:val="24"/>
                <w:szCs w:val="24"/>
              </w:rPr>
              <w:t>3.52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D93386" w:rsidRPr="00414345" w:rsidRDefault="00D93386" w:rsidP="00C15CAC">
      <w:pPr>
        <w:autoSpaceDE w:val="0"/>
        <w:autoSpaceDN w:val="0"/>
        <w:adjustRightInd w:val="0"/>
        <w:spacing w:before="29" w:line="288" w:lineRule="auto"/>
        <w:jc w:val="left"/>
        <w:rPr>
          <w:rFonts w:hint="eastAsia"/>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D93386" w:rsidRPr="00414345" w:rsidRDefault="00D93386" w:rsidP="00C15CAC">
      <w:pPr>
        <w:autoSpaceDE w:val="0"/>
        <w:autoSpaceDN w:val="0"/>
        <w:adjustRightInd w:val="0"/>
        <w:spacing w:before="29" w:line="288" w:lineRule="auto"/>
        <w:jc w:val="left"/>
        <w:rPr>
          <w:rFonts w:hint="eastAsia"/>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D93386" w:rsidRPr="00414345" w:rsidRDefault="00D93386" w:rsidP="00C15CAC">
      <w:pPr>
        <w:autoSpaceDE w:val="0"/>
        <w:autoSpaceDN w:val="0"/>
        <w:adjustRightInd w:val="0"/>
        <w:spacing w:before="29" w:line="288" w:lineRule="auto"/>
        <w:jc w:val="left"/>
        <w:rPr>
          <w:rFonts w:hint="eastAsia"/>
          <w:color w:val="000000"/>
          <w:sz w:val="24"/>
          <w:szCs w:val="24"/>
        </w:rPr>
      </w:pPr>
      <w:bookmarkStart w:id="0" w:name="_GoBack"/>
      <w:bookmarkEnd w:id="0"/>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37,908.30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38,381.65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1,998.75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779,973.85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858,262.55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66,097,929.00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7,267,231.69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18,569,831.73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54,795,328.96</w:t>
            </w:r>
          </w:p>
        </w:tc>
      </w:tr>
    </w:tbl>
    <w:p w:rsidR="00357FF0" w:rsidRDefault="004327C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 xml:space="preserve"> </w:t>
      </w: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57FF0" w:rsidRDefault="004327C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、中国证监会准予交银施罗德核心资产混合型证券投资基金募集注册的文件；</w:t>
      </w:r>
      <w:r>
        <w:rPr>
          <w:color w:val="000000"/>
          <w:sz w:val="24"/>
          <w:szCs w:val="24"/>
        </w:rPr>
        <w:t xml:space="preserve"> </w:t>
      </w:r>
    </w:p>
    <w:p w:rsidR="00357FF0" w:rsidRDefault="004327C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、《交银施罗德核心资产混合型证券投资基金基金合同》；</w:t>
      </w:r>
      <w:r>
        <w:rPr>
          <w:color w:val="000000"/>
          <w:sz w:val="24"/>
          <w:szCs w:val="24"/>
        </w:rPr>
        <w:t xml:space="preserve"> </w:t>
      </w:r>
    </w:p>
    <w:p w:rsidR="00357FF0" w:rsidRDefault="004327C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、《交银施罗德核心资产混合型证券投资基金招募说明书》；</w:t>
      </w:r>
      <w:r>
        <w:rPr>
          <w:color w:val="000000"/>
          <w:sz w:val="24"/>
          <w:szCs w:val="24"/>
        </w:rPr>
        <w:t xml:space="preserve"> </w:t>
      </w:r>
    </w:p>
    <w:p w:rsidR="00357FF0" w:rsidRDefault="004327C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、《交银施罗德核心资产混合型证券投资基金托管协议》；</w:t>
      </w:r>
      <w:r>
        <w:rPr>
          <w:color w:val="000000"/>
          <w:sz w:val="24"/>
          <w:szCs w:val="24"/>
        </w:rPr>
        <w:t xml:space="preserve"> </w:t>
      </w:r>
    </w:p>
    <w:p w:rsidR="00357FF0" w:rsidRDefault="004327C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、关于申请募集注册交银施罗德核心资产混合型证券投资基金的法律意见书；</w:t>
      </w:r>
      <w:r>
        <w:rPr>
          <w:color w:val="000000"/>
          <w:sz w:val="24"/>
          <w:szCs w:val="24"/>
        </w:rPr>
        <w:t xml:space="preserve"> </w:t>
      </w:r>
    </w:p>
    <w:p w:rsidR="00357FF0" w:rsidRDefault="004327C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57FF0" w:rsidRDefault="004327C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、报告期内交银施罗德核心资产混合型证券投资基金在指定报刊上各项公告的原稿。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57FF0" w:rsidRDefault="004327C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7CE" w:rsidRDefault="004327CE" w:rsidP="00876D65">
      <w:r>
        <w:separator/>
      </w:r>
    </w:p>
  </w:endnote>
  <w:endnote w:type="continuationSeparator" w:id="0">
    <w:p w:rsidR="004327CE" w:rsidRDefault="004327C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93386">
      <w:rPr>
        <w:noProof/>
        <w:kern w:val="0"/>
        <w:szCs w:val="21"/>
      </w:rPr>
      <w:t>11</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D93386">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7CE" w:rsidRDefault="004327CE" w:rsidP="00876D65">
      <w:r>
        <w:separator/>
      </w:r>
    </w:p>
  </w:footnote>
  <w:footnote w:type="continuationSeparator" w:id="0">
    <w:p w:rsidR="004327CE" w:rsidRDefault="004327C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交银施罗德核心资产混合型证券投资基金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57FF0"/>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27CE"/>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4EE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38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FF121-C8BC-4BBB-ADF6-4458BF542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1</Pages>
  <Words>1062</Words>
  <Characters>6055</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曹国良</cp:lastModifiedBy>
  <cp:revision>603</cp:revision>
  <dcterms:created xsi:type="dcterms:W3CDTF">2012-10-16T06:07:00Z</dcterms:created>
  <dcterms:modified xsi:type="dcterms:W3CDTF">2020-07-10T06:50:00Z</dcterms:modified>
</cp:coreProperties>
</file>