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2020</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2020</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二〇二〇年七月二十一日</w:t>
      </w:r>
    </w:p>
    <w:p w:rsidR="00220542" w:rsidRPr="00324C76" w:rsidRDefault="00220542" w:rsidP="0048293C">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761905" w:rsidRDefault="007237D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61905" w:rsidRDefault="007237D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61905" w:rsidRDefault="007237D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w:t>
      </w:r>
      <w:r>
        <w:rPr>
          <w:color w:val="000000"/>
          <w:sz w:val="24"/>
        </w:rPr>
        <w:t>盈利。</w:t>
      </w:r>
      <w:r>
        <w:rPr>
          <w:color w:val="000000"/>
          <w:sz w:val="24"/>
        </w:rPr>
        <w:t xml:space="preserve"> </w:t>
      </w:r>
    </w:p>
    <w:p w:rsidR="00761905" w:rsidRDefault="007237D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61905" w:rsidRDefault="007237DA">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2020</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34,788,947.17</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7237DA" w:rsidRPr="00324C76" w:rsidTr="007237D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2020</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-2020</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7237DA" w:rsidRPr="00324C76" w:rsidTr="007237D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397,208.09</w:t>
            </w:r>
          </w:p>
        </w:tc>
      </w:tr>
      <w:tr w:rsidR="007237DA" w:rsidRPr="00324C76" w:rsidTr="007237D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7,675,215.88</w:t>
            </w:r>
          </w:p>
        </w:tc>
      </w:tr>
      <w:tr w:rsidR="007237DA" w:rsidRPr="00324C76" w:rsidTr="007237D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0.2108</w:t>
            </w:r>
          </w:p>
        </w:tc>
      </w:tr>
      <w:tr w:rsidR="007237DA" w:rsidRPr="00324C76" w:rsidTr="007237D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65,414,870.38</w:t>
            </w:r>
          </w:p>
        </w:tc>
      </w:tr>
      <w:tr w:rsidR="007237DA" w:rsidRPr="00324C76" w:rsidTr="007237DA">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1.880</w:t>
            </w:r>
          </w:p>
        </w:tc>
      </w:tr>
    </w:tbl>
    <w:p w:rsidR="00761905" w:rsidRDefault="007237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761905">
        <w:trPr>
          <w:jc w:val="center"/>
        </w:trPr>
        <w:tc>
          <w:tcPr>
            <w:tcW w:w="1469" w:type="dxa"/>
            <w:vAlign w:val="center"/>
          </w:tcPr>
          <w:p w:rsidR="00761905" w:rsidRDefault="007237DA">
            <w:pPr>
              <w:jc w:val="left"/>
            </w:pPr>
            <w:r>
              <w:rPr>
                <w:color w:val="000000"/>
                <w:sz w:val="24"/>
              </w:rPr>
              <w:t>过去三个月</w:t>
            </w:r>
          </w:p>
        </w:tc>
        <w:tc>
          <w:tcPr>
            <w:tcW w:w="1150" w:type="dxa"/>
            <w:vAlign w:val="center"/>
          </w:tcPr>
          <w:p w:rsidR="00761905" w:rsidRDefault="007237DA">
            <w:pPr>
              <w:jc w:val="center"/>
            </w:pPr>
            <w:r>
              <w:rPr>
                <w:color w:val="000000"/>
                <w:sz w:val="24"/>
              </w:rPr>
              <w:t>12.64%</w:t>
            </w:r>
          </w:p>
        </w:tc>
        <w:tc>
          <w:tcPr>
            <w:tcW w:w="1223" w:type="dxa"/>
            <w:vAlign w:val="center"/>
          </w:tcPr>
          <w:p w:rsidR="00761905" w:rsidRDefault="007237DA">
            <w:pPr>
              <w:jc w:val="center"/>
            </w:pPr>
            <w:r>
              <w:rPr>
                <w:color w:val="000000"/>
                <w:sz w:val="24"/>
              </w:rPr>
              <w:t>0.91%</w:t>
            </w:r>
          </w:p>
        </w:tc>
        <w:tc>
          <w:tcPr>
            <w:tcW w:w="1244" w:type="dxa"/>
            <w:vAlign w:val="center"/>
          </w:tcPr>
          <w:p w:rsidR="00761905" w:rsidRDefault="007237DA">
            <w:pPr>
              <w:jc w:val="center"/>
            </w:pPr>
            <w:r>
              <w:rPr>
                <w:color w:val="000000"/>
                <w:sz w:val="24"/>
              </w:rPr>
              <w:t>11.85%</w:t>
            </w:r>
          </w:p>
        </w:tc>
        <w:tc>
          <w:tcPr>
            <w:tcW w:w="1251" w:type="dxa"/>
            <w:vAlign w:val="center"/>
          </w:tcPr>
          <w:p w:rsidR="00761905" w:rsidRDefault="007237DA">
            <w:pPr>
              <w:jc w:val="center"/>
            </w:pPr>
            <w:r>
              <w:rPr>
                <w:color w:val="000000"/>
                <w:sz w:val="24"/>
              </w:rPr>
              <w:t>0.93%</w:t>
            </w:r>
          </w:p>
        </w:tc>
        <w:tc>
          <w:tcPr>
            <w:tcW w:w="1263" w:type="dxa"/>
            <w:vAlign w:val="center"/>
          </w:tcPr>
          <w:p w:rsidR="00761905" w:rsidRDefault="007237DA">
            <w:pPr>
              <w:jc w:val="center"/>
            </w:pPr>
            <w:r>
              <w:rPr>
                <w:color w:val="000000"/>
                <w:sz w:val="24"/>
              </w:rPr>
              <w:t>0.79%</w:t>
            </w:r>
          </w:p>
        </w:tc>
        <w:tc>
          <w:tcPr>
            <w:tcW w:w="1268" w:type="dxa"/>
            <w:vAlign w:val="center"/>
          </w:tcPr>
          <w:p w:rsidR="00761905" w:rsidRDefault="007237DA">
            <w:pPr>
              <w:jc w:val="center"/>
            </w:pPr>
            <w:r>
              <w:rPr>
                <w:color w:val="000000"/>
                <w:sz w:val="24"/>
              </w:rPr>
              <w:t>-0.02%</w:t>
            </w:r>
          </w:p>
        </w:tc>
      </w:tr>
      <w:tr w:rsidR="00761905">
        <w:trPr>
          <w:jc w:val="center"/>
        </w:trPr>
        <w:tc>
          <w:tcPr>
            <w:tcW w:w="1469" w:type="dxa"/>
            <w:vAlign w:val="center"/>
          </w:tcPr>
          <w:p w:rsidR="00761905" w:rsidRDefault="007237DA">
            <w:pPr>
              <w:jc w:val="left"/>
            </w:pPr>
            <w:r>
              <w:rPr>
                <w:color w:val="000000"/>
                <w:sz w:val="24"/>
              </w:rPr>
              <w:t>过去六个月</w:t>
            </w:r>
          </w:p>
        </w:tc>
        <w:tc>
          <w:tcPr>
            <w:tcW w:w="1150" w:type="dxa"/>
            <w:vAlign w:val="center"/>
          </w:tcPr>
          <w:p w:rsidR="00761905" w:rsidRDefault="007237DA">
            <w:pPr>
              <w:jc w:val="center"/>
            </w:pPr>
            <w:r>
              <w:rPr>
                <w:color w:val="000000"/>
                <w:sz w:val="24"/>
              </w:rPr>
              <w:t>-2.19%</w:t>
            </w:r>
          </w:p>
        </w:tc>
        <w:tc>
          <w:tcPr>
            <w:tcW w:w="1223" w:type="dxa"/>
            <w:vAlign w:val="center"/>
          </w:tcPr>
          <w:p w:rsidR="00761905" w:rsidRDefault="007237DA">
            <w:pPr>
              <w:jc w:val="center"/>
            </w:pPr>
            <w:r>
              <w:rPr>
                <w:color w:val="000000"/>
                <w:sz w:val="24"/>
              </w:rPr>
              <w:t>1.58%</w:t>
            </w:r>
          </w:p>
        </w:tc>
        <w:tc>
          <w:tcPr>
            <w:tcW w:w="1244" w:type="dxa"/>
            <w:vAlign w:val="center"/>
          </w:tcPr>
          <w:p w:rsidR="00761905" w:rsidRDefault="007237DA">
            <w:pPr>
              <w:jc w:val="center"/>
            </w:pPr>
            <w:r>
              <w:rPr>
                <w:color w:val="000000"/>
                <w:sz w:val="24"/>
              </w:rPr>
              <w:t>-3.50%</w:t>
            </w:r>
          </w:p>
        </w:tc>
        <w:tc>
          <w:tcPr>
            <w:tcW w:w="1251" w:type="dxa"/>
            <w:vAlign w:val="center"/>
          </w:tcPr>
          <w:p w:rsidR="00761905" w:rsidRDefault="007237DA">
            <w:pPr>
              <w:jc w:val="center"/>
            </w:pPr>
            <w:r>
              <w:rPr>
                <w:color w:val="000000"/>
                <w:sz w:val="24"/>
              </w:rPr>
              <w:t>1.63%</w:t>
            </w:r>
          </w:p>
        </w:tc>
        <w:tc>
          <w:tcPr>
            <w:tcW w:w="1263" w:type="dxa"/>
            <w:vAlign w:val="center"/>
          </w:tcPr>
          <w:p w:rsidR="00761905" w:rsidRDefault="007237DA">
            <w:pPr>
              <w:jc w:val="center"/>
            </w:pPr>
            <w:r>
              <w:rPr>
                <w:color w:val="000000"/>
                <w:sz w:val="24"/>
              </w:rPr>
              <w:t>1.31%</w:t>
            </w:r>
          </w:p>
        </w:tc>
        <w:tc>
          <w:tcPr>
            <w:tcW w:w="1268" w:type="dxa"/>
            <w:vAlign w:val="center"/>
          </w:tcPr>
          <w:p w:rsidR="00761905" w:rsidRDefault="007237DA">
            <w:pPr>
              <w:jc w:val="center"/>
            </w:pPr>
            <w:r>
              <w:rPr>
                <w:color w:val="000000"/>
                <w:sz w:val="24"/>
              </w:rPr>
              <w:t>-0.05%</w:t>
            </w:r>
          </w:p>
        </w:tc>
      </w:tr>
      <w:tr w:rsidR="00761905">
        <w:trPr>
          <w:jc w:val="center"/>
        </w:trPr>
        <w:tc>
          <w:tcPr>
            <w:tcW w:w="1469" w:type="dxa"/>
            <w:vAlign w:val="center"/>
          </w:tcPr>
          <w:p w:rsidR="00761905" w:rsidRDefault="007237DA">
            <w:pPr>
              <w:jc w:val="left"/>
            </w:pPr>
            <w:r>
              <w:rPr>
                <w:color w:val="000000"/>
                <w:sz w:val="24"/>
              </w:rPr>
              <w:t>过去一年</w:t>
            </w:r>
          </w:p>
        </w:tc>
        <w:tc>
          <w:tcPr>
            <w:tcW w:w="1150" w:type="dxa"/>
            <w:vAlign w:val="center"/>
          </w:tcPr>
          <w:p w:rsidR="00761905" w:rsidRDefault="007237DA">
            <w:pPr>
              <w:jc w:val="center"/>
            </w:pPr>
            <w:r>
              <w:rPr>
                <w:color w:val="000000"/>
                <w:sz w:val="24"/>
              </w:rPr>
              <w:t>8.92%</w:t>
            </w:r>
          </w:p>
        </w:tc>
        <w:tc>
          <w:tcPr>
            <w:tcW w:w="1223" w:type="dxa"/>
            <w:vAlign w:val="center"/>
          </w:tcPr>
          <w:p w:rsidR="00761905" w:rsidRDefault="007237DA">
            <w:pPr>
              <w:jc w:val="center"/>
            </w:pPr>
            <w:r>
              <w:rPr>
                <w:color w:val="000000"/>
                <w:sz w:val="24"/>
              </w:rPr>
              <w:t>1.28%</w:t>
            </w:r>
          </w:p>
        </w:tc>
        <w:tc>
          <w:tcPr>
            <w:tcW w:w="1244" w:type="dxa"/>
            <w:vAlign w:val="center"/>
          </w:tcPr>
          <w:p w:rsidR="00761905" w:rsidRDefault="007237DA">
            <w:pPr>
              <w:jc w:val="center"/>
            </w:pPr>
            <w:r>
              <w:rPr>
                <w:color w:val="000000"/>
                <w:sz w:val="24"/>
              </w:rPr>
              <w:t>7.15%</w:t>
            </w:r>
          </w:p>
        </w:tc>
        <w:tc>
          <w:tcPr>
            <w:tcW w:w="1251" w:type="dxa"/>
            <w:vAlign w:val="center"/>
          </w:tcPr>
          <w:p w:rsidR="00761905" w:rsidRDefault="007237DA">
            <w:pPr>
              <w:jc w:val="center"/>
            </w:pPr>
            <w:r>
              <w:rPr>
                <w:color w:val="000000"/>
                <w:sz w:val="24"/>
              </w:rPr>
              <w:t>1.32%</w:t>
            </w:r>
          </w:p>
        </w:tc>
        <w:tc>
          <w:tcPr>
            <w:tcW w:w="1263" w:type="dxa"/>
            <w:vAlign w:val="center"/>
          </w:tcPr>
          <w:p w:rsidR="00761905" w:rsidRDefault="007237DA">
            <w:pPr>
              <w:jc w:val="center"/>
            </w:pPr>
            <w:r>
              <w:rPr>
                <w:color w:val="000000"/>
                <w:sz w:val="24"/>
              </w:rPr>
              <w:t>1.77%</w:t>
            </w:r>
          </w:p>
        </w:tc>
        <w:tc>
          <w:tcPr>
            <w:tcW w:w="1268" w:type="dxa"/>
            <w:vAlign w:val="center"/>
          </w:tcPr>
          <w:p w:rsidR="00761905" w:rsidRDefault="007237DA">
            <w:pPr>
              <w:jc w:val="center"/>
            </w:pPr>
            <w:r>
              <w:rPr>
                <w:color w:val="000000"/>
                <w:sz w:val="24"/>
              </w:rPr>
              <w:t>-0.04%</w:t>
            </w:r>
          </w:p>
        </w:tc>
      </w:tr>
      <w:tr w:rsidR="00761905">
        <w:trPr>
          <w:jc w:val="center"/>
        </w:trPr>
        <w:tc>
          <w:tcPr>
            <w:tcW w:w="1469" w:type="dxa"/>
            <w:vAlign w:val="center"/>
          </w:tcPr>
          <w:p w:rsidR="00761905" w:rsidRDefault="007237DA">
            <w:pPr>
              <w:jc w:val="left"/>
            </w:pPr>
            <w:r>
              <w:rPr>
                <w:color w:val="000000"/>
                <w:sz w:val="24"/>
              </w:rPr>
              <w:t>过去三年</w:t>
            </w:r>
          </w:p>
        </w:tc>
        <w:tc>
          <w:tcPr>
            <w:tcW w:w="1150" w:type="dxa"/>
            <w:vAlign w:val="center"/>
          </w:tcPr>
          <w:p w:rsidR="00761905" w:rsidRDefault="007237DA">
            <w:pPr>
              <w:jc w:val="center"/>
            </w:pPr>
            <w:r>
              <w:rPr>
                <w:color w:val="000000"/>
                <w:sz w:val="24"/>
              </w:rPr>
              <w:t>19.37%</w:t>
            </w:r>
          </w:p>
        </w:tc>
        <w:tc>
          <w:tcPr>
            <w:tcW w:w="1223" w:type="dxa"/>
            <w:vAlign w:val="center"/>
          </w:tcPr>
          <w:p w:rsidR="00761905" w:rsidRDefault="007237DA">
            <w:pPr>
              <w:jc w:val="center"/>
            </w:pPr>
            <w:r>
              <w:rPr>
                <w:color w:val="000000"/>
                <w:sz w:val="24"/>
              </w:rPr>
              <w:t>1.34%</w:t>
            </w:r>
          </w:p>
        </w:tc>
        <w:tc>
          <w:tcPr>
            <w:tcW w:w="1244" w:type="dxa"/>
            <w:vAlign w:val="center"/>
          </w:tcPr>
          <w:p w:rsidR="00761905" w:rsidRDefault="007237DA">
            <w:pPr>
              <w:jc w:val="center"/>
            </w:pPr>
            <w:r>
              <w:rPr>
                <w:color w:val="000000"/>
                <w:sz w:val="24"/>
              </w:rPr>
              <w:t>16.22%</w:t>
            </w:r>
          </w:p>
        </w:tc>
        <w:tc>
          <w:tcPr>
            <w:tcW w:w="1251" w:type="dxa"/>
            <w:vAlign w:val="center"/>
          </w:tcPr>
          <w:p w:rsidR="00761905" w:rsidRDefault="007237DA">
            <w:pPr>
              <w:jc w:val="center"/>
            </w:pPr>
            <w:r>
              <w:rPr>
                <w:color w:val="000000"/>
                <w:sz w:val="24"/>
              </w:rPr>
              <w:t>1.38%</w:t>
            </w:r>
          </w:p>
        </w:tc>
        <w:tc>
          <w:tcPr>
            <w:tcW w:w="1263" w:type="dxa"/>
            <w:vAlign w:val="center"/>
          </w:tcPr>
          <w:p w:rsidR="00761905" w:rsidRDefault="007237DA">
            <w:pPr>
              <w:jc w:val="center"/>
            </w:pPr>
            <w:r>
              <w:rPr>
                <w:color w:val="000000"/>
                <w:sz w:val="24"/>
              </w:rPr>
              <w:t>3.15%</w:t>
            </w:r>
          </w:p>
        </w:tc>
        <w:tc>
          <w:tcPr>
            <w:tcW w:w="1268" w:type="dxa"/>
            <w:vAlign w:val="center"/>
          </w:tcPr>
          <w:p w:rsidR="00761905" w:rsidRDefault="007237DA">
            <w:pPr>
              <w:jc w:val="center"/>
            </w:pPr>
            <w:r>
              <w:rPr>
                <w:color w:val="000000"/>
                <w:sz w:val="24"/>
              </w:rPr>
              <w:t>-0.04%</w:t>
            </w:r>
          </w:p>
        </w:tc>
      </w:tr>
      <w:tr w:rsidR="00761905">
        <w:trPr>
          <w:jc w:val="center"/>
        </w:trPr>
        <w:tc>
          <w:tcPr>
            <w:tcW w:w="1469" w:type="dxa"/>
            <w:vAlign w:val="center"/>
          </w:tcPr>
          <w:p w:rsidR="00761905" w:rsidRDefault="007237DA">
            <w:pPr>
              <w:jc w:val="left"/>
            </w:pPr>
            <w:r>
              <w:rPr>
                <w:color w:val="000000"/>
                <w:sz w:val="24"/>
              </w:rPr>
              <w:t>过去五年</w:t>
            </w:r>
          </w:p>
        </w:tc>
        <w:tc>
          <w:tcPr>
            <w:tcW w:w="1150" w:type="dxa"/>
            <w:vAlign w:val="center"/>
          </w:tcPr>
          <w:p w:rsidR="00761905" w:rsidRDefault="007237DA">
            <w:pPr>
              <w:jc w:val="center"/>
            </w:pPr>
            <w:r>
              <w:rPr>
                <w:color w:val="000000"/>
                <w:sz w:val="24"/>
              </w:rPr>
              <w:t>7.37%</w:t>
            </w:r>
          </w:p>
        </w:tc>
        <w:tc>
          <w:tcPr>
            <w:tcW w:w="1223" w:type="dxa"/>
            <w:vAlign w:val="center"/>
          </w:tcPr>
          <w:p w:rsidR="00761905" w:rsidRDefault="007237DA">
            <w:pPr>
              <w:jc w:val="center"/>
            </w:pPr>
            <w:r>
              <w:rPr>
                <w:color w:val="000000"/>
                <w:sz w:val="24"/>
              </w:rPr>
              <w:t>1.50%</w:t>
            </w:r>
          </w:p>
        </w:tc>
        <w:tc>
          <w:tcPr>
            <w:tcW w:w="1244" w:type="dxa"/>
            <w:vAlign w:val="center"/>
          </w:tcPr>
          <w:p w:rsidR="00761905" w:rsidRDefault="007237DA">
            <w:pPr>
              <w:jc w:val="center"/>
            </w:pPr>
            <w:r>
              <w:rPr>
                <w:color w:val="000000"/>
                <w:sz w:val="24"/>
              </w:rPr>
              <w:t>5.33%</w:t>
            </w:r>
          </w:p>
        </w:tc>
        <w:tc>
          <w:tcPr>
            <w:tcW w:w="1251" w:type="dxa"/>
            <w:vAlign w:val="center"/>
          </w:tcPr>
          <w:p w:rsidR="00761905" w:rsidRDefault="007237DA">
            <w:pPr>
              <w:jc w:val="center"/>
            </w:pPr>
            <w:r>
              <w:rPr>
                <w:color w:val="000000"/>
                <w:sz w:val="24"/>
              </w:rPr>
              <w:t>1.56%</w:t>
            </w:r>
          </w:p>
        </w:tc>
        <w:tc>
          <w:tcPr>
            <w:tcW w:w="1263" w:type="dxa"/>
            <w:vAlign w:val="center"/>
          </w:tcPr>
          <w:p w:rsidR="00761905" w:rsidRDefault="007237DA">
            <w:pPr>
              <w:jc w:val="center"/>
            </w:pPr>
            <w:r>
              <w:rPr>
                <w:color w:val="000000"/>
                <w:sz w:val="24"/>
              </w:rPr>
              <w:t>2.04%</w:t>
            </w:r>
          </w:p>
        </w:tc>
        <w:tc>
          <w:tcPr>
            <w:tcW w:w="1268" w:type="dxa"/>
            <w:vAlign w:val="center"/>
          </w:tcPr>
          <w:p w:rsidR="00761905" w:rsidRDefault="007237DA">
            <w:pPr>
              <w:jc w:val="center"/>
            </w:pPr>
            <w:r>
              <w:rPr>
                <w:color w:val="000000"/>
                <w:sz w:val="24"/>
              </w:rPr>
              <w:t>-0.06%</w:t>
            </w:r>
          </w:p>
        </w:tc>
      </w:tr>
      <w:tr w:rsidR="00761905">
        <w:trPr>
          <w:jc w:val="center"/>
        </w:trPr>
        <w:tc>
          <w:tcPr>
            <w:tcW w:w="1469" w:type="dxa"/>
            <w:vAlign w:val="center"/>
          </w:tcPr>
          <w:p w:rsidR="00761905" w:rsidRDefault="007237DA">
            <w:pPr>
              <w:jc w:val="left"/>
            </w:pPr>
            <w:r>
              <w:rPr>
                <w:color w:val="000000"/>
                <w:sz w:val="24"/>
              </w:rPr>
              <w:t>自基金合同生效起至今</w:t>
            </w:r>
          </w:p>
        </w:tc>
        <w:tc>
          <w:tcPr>
            <w:tcW w:w="1150" w:type="dxa"/>
            <w:vAlign w:val="center"/>
          </w:tcPr>
          <w:p w:rsidR="00761905" w:rsidRDefault="007237DA">
            <w:pPr>
              <w:jc w:val="center"/>
            </w:pPr>
            <w:r>
              <w:rPr>
                <w:color w:val="000000"/>
                <w:sz w:val="24"/>
              </w:rPr>
              <w:t>88.00%</w:t>
            </w:r>
          </w:p>
        </w:tc>
        <w:tc>
          <w:tcPr>
            <w:tcW w:w="1223" w:type="dxa"/>
            <w:vAlign w:val="center"/>
          </w:tcPr>
          <w:p w:rsidR="00761905" w:rsidRDefault="007237DA">
            <w:pPr>
              <w:jc w:val="center"/>
            </w:pPr>
            <w:r>
              <w:rPr>
                <w:color w:val="000000"/>
                <w:sz w:val="24"/>
              </w:rPr>
              <w:t>1.46%</w:t>
            </w:r>
          </w:p>
        </w:tc>
        <w:tc>
          <w:tcPr>
            <w:tcW w:w="1244" w:type="dxa"/>
            <w:vAlign w:val="center"/>
          </w:tcPr>
          <w:p w:rsidR="00761905" w:rsidRDefault="007237DA">
            <w:pPr>
              <w:jc w:val="center"/>
            </w:pPr>
            <w:r>
              <w:rPr>
                <w:color w:val="000000"/>
                <w:sz w:val="24"/>
              </w:rPr>
              <w:t>75.43%</w:t>
            </w:r>
          </w:p>
        </w:tc>
        <w:tc>
          <w:tcPr>
            <w:tcW w:w="1251" w:type="dxa"/>
            <w:vAlign w:val="center"/>
          </w:tcPr>
          <w:p w:rsidR="00761905" w:rsidRDefault="007237DA">
            <w:pPr>
              <w:jc w:val="center"/>
            </w:pPr>
            <w:r>
              <w:rPr>
                <w:color w:val="000000"/>
                <w:sz w:val="24"/>
              </w:rPr>
              <w:t>1.51%</w:t>
            </w:r>
          </w:p>
        </w:tc>
        <w:tc>
          <w:tcPr>
            <w:tcW w:w="1263" w:type="dxa"/>
            <w:vAlign w:val="center"/>
          </w:tcPr>
          <w:p w:rsidR="00761905" w:rsidRDefault="007237DA">
            <w:pPr>
              <w:jc w:val="center"/>
            </w:pPr>
            <w:r>
              <w:rPr>
                <w:color w:val="000000"/>
                <w:sz w:val="24"/>
              </w:rPr>
              <w:t>12.57%</w:t>
            </w:r>
          </w:p>
        </w:tc>
        <w:tc>
          <w:tcPr>
            <w:tcW w:w="1268" w:type="dxa"/>
            <w:vAlign w:val="center"/>
          </w:tcPr>
          <w:p w:rsidR="00761905" w:rsidRDefault="007237DA">
            <w:pPr>
              <w:jc w:val="center"/>
            </w:pPr>
            <w:r>
              <w:rPr>
                <w:color w:val="000000"/>
                <w:sz w:val="24"/>
              </w:rPr>
              <w:t>-0.05%</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2020</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761905">
        <w:trPr>
          <w:jc w:val="center"/>
        </w:trPr>
        <w:tc>
          <w:tcPr>
            <w:tcW w:w="846" w:type="dxa"/>
            <w:vAlign w:val="center"/>
          </w:tcPr>
          <w:p w:rsidR="00761905" w:rsidRDefault="007237DA">
            <w:pPr>
              <w:jc w:val="center"/>
            </w:pPr>
            <w:r>
              <w:rPr>
                <w:color w:val="000000"/>
                <w:sz w:val="24"/>
              </w:rPr>
              <w:t>蔡铮</w:t>
            </w:r>
          </w:p>
        </w:tc>
        <w:tc>
          <w:tcPr>
            <w:tcW w:w="845" w:type="dxa"/>
            <w:vAlign w:val="center"/>
          </w:tcPr>
          <w:p w:rsidR="00761905" w:rsidRDefault="007237D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761905" w:rsidRDefault="007237DA">
            <w:pPr>
              <w:jc w:val="center"/>
            </w:pPr>
            <w:r>
              <w:rPr>
                <w:color w:val="000000"/>
                <w:sz w:val="24"/>
              </w:rPr>
              <w:t>2012-12-27</w:t>
            </w:r>
          </w:p>
        </w:tc>
        <w:tc>
          <w:tcPr>
            <w:tcW w:w="1548" w:type="dxa"/>
            <w:vAlign w:val="center"/>
          </w:tcPr>
          <w:p w:rsidR="00761905" w:rsidRDefault="007237DA">
            <w:pPr>
              <w:jc w:val="center"/>
            </w:pPr>
            <w:r>
              <w:rPr>
                <w:color w:val="000000"/>
                <w:sz w:val="24"/>
              </w:rPr>
              <w:t>-</w:t>
            </w:r>
          </w:p>
        </w:tc>
        <w:tc>
          <w:tcPr>
            <w:tcW w:w="1407" w:type="dxa"/>
            <w:vAlign w:val="center"/>
          </w:tcPr>
          <w:p w:rsidR="00761905" w:rsidRDefault="007237DA">
            <w:pPr>
              <w:jc w:val="center"/>
            </w:pPr>
            <w:r>
              <w:rPr>
                <w:color w:val="000000"/>
                <w:sz w:val="24"/>
              </w:rPr>
              <w:t>11</w:t>
            </w:r>
            <w:r>
              <w:rPr>
                <w:color w:val="000000"/>
                <w:sz w:val="24"/>
              </w:rPr>
              <w:t>年</w:t>
            </w:r>
          </w:p>
        </w:tc>
        <w:tc>
          <w:tcPr>
            <w:tcW w:w="2673" w:type="dxa"/>
            <w:vAlign w:val="center"/>
          </w:tcPr>
          <w:p w:rsidR="00761905" w:rsidRDefault="007237DA" w:rsidP="007237D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bookmarkStart w:id="1" w:name="_GoBack"/>
            <w:bookmarkEnd w:id="1"/>
            <w:r>
              <w:rPr>
                <w:color w:val="000000"/>
                <w:sz w:val="24"/>
              </w:rPr>
              <w:t>日担任交银施罗德致远量化智投策略定期开放混合型证券投资基金的基金经理。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761905" w:rsidRDefault="007237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61905" w:rsidRDefault="007237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61905" w:rsidRDefault="007237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761905" w:rsidRDefault="007237DA">
      <w:pPr>
        <w:spacing w:before="29" w:line="288" w:lineRule="auto"/>
        <w:ind w:firstLineChars="200" w:firstLine="480"/>
        <w:rPr>
          <w:color w:val="000000"/>
          <w:sz w:val="24"/>
        </w:rPr>
      </w:pPr>
      <w:r>
        <w:rPr>
          <w:color w:val="000000"/>
          <w:sz w:val="24"/>
        </w:rPr>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w:t>
      </w:r>
      <w:r>
        <w:rPr>
          <w:color w:val="000000"/>
          <w:sz w:val="24"/>
        </w:rPr>
        <w:t>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股市场风险偏好稳步回升，市场点位震荡上行。作为跟踪基准指数的指数基金，二季度基金总体呈现震荡上行的走势。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2020</w:t>
      </w:r>
      <w:r w:rsidRPr="00324C76">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324C76">
        <w:rPr>
          <w:color w:val="000000"/>
          <w:sz w:val="24"/>
        </w:rPr>
        <w:t>50</w:t>
      </w:r>
      <w:r w:rsidRPr="00324C76">
        <w:rPr>
          <w:color w:val="000000"/>
          <w:sz w:val="24"/>
        </w:rPr>
        <w:t>指数即将发布，同时上证综指编制规则迎来较大调整。这一系列措施有望提振市场信心与情绪，吸引增量资金入场。总体而言，从中长期来看我们对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“3.1</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 xml:space="preserve">“3.2.1 </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p w:rsidR="005F16FA" w:rsidRPr="005F16FA" w:rsidRDefault="005F16FA" w:rsidP="005F16FA">
      <w:pPr>
        <w:autoSpaceDE w:val="0"/>
        <w:autoSpaceDN w:val="0"/>
        <w:adjustRightInd w:val="0"/>
        <w:spacing w:line="360" w:lineRule="auto"/>
        <w:jc w:val="right"/>
        <w:rPr>
          <w:rFonts w:eastAsiaTheme="minorEastAsia"/>
          <w:color w:val="000000" w:themeColor="text1"/>
          <w:kern w:val="0"/>
          <w:sz w:val="24"/>
        </w:rPr>
      </w:pPr>
      <w:r w:rsidRPr="005F16FA">
        <w:rPr>
          <w:rFonts w:eastAsiaTheme="minorEastAsia" w:hint="eastAsia"/>
          <w:color w:val="000000" w:themeColor="text1"/>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p>
        </w:tc>
        <w:tc>
          <w:tcPr>
            <w:tcW w:w="2801" w:type="dxa"/>
            <w:vAlign w:val="center"/>
          </w:tcPr>
          <w:p w:rsidR="00BA170A" w:rsidRPr="00AE0465" w:rsidRDefault="00644EC3"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3,879.40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3,879.40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62,067,037.50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93.95</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3,818,599.25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5.78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171,885.56</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0.26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66,061,401.71</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761905">
        <w:trPr>
          <w:jc w:val="center"/>
        </w:trPr>
        <w:tc>
          <w:tcPr>
            <w:tcW w:w="1265" w:type="dxa"/>
            <w:vAlign w:val="center"/>
          </w:tcPr>
          <w:p w:rsidR="00761905" w:rsidRDefault="007237DA">
            <w:pPr>
              <w:jc w:val="center"/>
            </w:pPr>
            <w:r>
              <w:rPr>
                <w:sz w:val="24"/>
              </w:rPr>
              <w:t>1</w:t>
            </w:r>
          </w:p>
        </w:tc>
        <w:tc>
          <w:tcPr>
            <w:tcW w:w="1266" w:type="dxa"/>
            <w:vAlign w:val="center"/>
          </w:tcPr>
          <w:p w:rsidR="00761905" w:rsidRDefault="007237DA">
            <w:pPr>
              <w:jc w:val="center"/>
            </w:pPr>
            <w:r>
              <w:rPr>
                <w:sz w:val="24"/>
              </w:rPr>
              <w:t>深证</w:t>
            </w:r>
            <w:r>
              <w:rPr>
                <w:sz w:val="24"/>
              </w:rPr>
              <w:t>300</w:t>
            </w:r>
            <w:r>
              <w:rPr>
                <w:sz w:val="24"/>
              </w:rPr>
              <w:t>价值交易型开放式指数证券投资基金</w:t>
            </w:r>
          </w:p>
        </w:tc>
        <w:tc>
          <w:tcPr>
            <w:tcW w:w="1267" w:type="dxa"/>
            <w:vAlign w:val="center"/>
          </w:tcPr>
          <w:p w:rsidR="00761905" w:rsidRDefault="007237DA">
            <w:pPr>
              <w:jc w:val="center"/>
            </w:pPr>
            <w:r>
              <w:rPr>
                <w:sz w:val="24"/>
              </w:rPr>
              <w:t>股票型</w:t>
            </w:r>
          </w:p>
        </w:tc>
        <w:tc>
          <w:tcPr>
            <w:tcW w:w="1267" w:type="dxa"/>
            <w:vAlign w:val="center"/>
          </w:tcPr>
          <w:p w:rsidR="00761905" w:rsidRDefault="007237DA">
            <w:pPr>
              <w:jc w:val="center"/>
            </w:pPr>
            <w:r>
              <w:rPr>
                <w:sz w:val="24"/>
              </w:rPr>
              <w:t>交易型开放式</w:t>
            </w:r>
          </w:p>
        </w:tc>
        <w:tc>
          <w:tcPr>
            <w:tcW w:w="1267" w:type="dxa"/>
            <w:vAlign w:val="center"/>
          </w:tcPr>
          <w:p w:rsidR="00761905" w:rsidRDefault="007237DA">
            <w:pPr>
              <w:jc w:val="center"/>
            </w:pPr>
            <w:r>
              <w:rPr>
                <w:sz w:val="24"/>
              </w:rPr>
              <w:t>交银施罗德基金管理有限公司</w:t>
            </w:r>
          </w:p>
        </w:tc>
        <w:tc>
          <w:tcPr>
            <w:tcW w:w="1268" w:type="dxa"/>
            <w:vAlign w:val="center"/>
          </w:tcPr>
          <w:p w:rsidR="00761905" w:rsidRDefault="007237DA">
            <w:pPr>
              <w:jc w:val="right"/>
            </w:pPr>
            <w:r>
              <w:rPr>
                <w:sz w:val="24"/>
              </w:rPr>
              <w:t>62,067,037.50</w:t>
            </w:r>
          </w:p>
        </w:tc>
        <w:tc>
          <w:tcPr>
            <w:tcW w:w="1268" w:type="dxa"/>
            <w:vAlign w:val="center"/>
          </w:tcPr>
          <w:p w:rsidR="00761905" w:rsidRDefault="007237DA">
            <w:pPr>
              <w:jc w:val="right"/>
            </w:pPr>
            <w:r>
              <w:rPr>
                <w:sz w:val="24"/>
              </w:rPr>
              <w:t>94.88</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Default="000D27BF" w:rsidP="000D27BF">
      <w:pPr>
        <w:rPr>
          <w:rFonts w:eastAsiaTheme="minorEastAsia"/>
          <w:b/>
          <w:color w:val="000000" w:themeColor="text1"/>
          <w:kern w:val="0"/>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p w:rsidR="00D17C3D" w:rsidRPr="005312D8" w:rsidRDefault="00D17C3D" w:rsidP="00D17C3D">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1C78B5">
            <w:pPr>
              <w:adjustRightInd w:val="0"/>
              <w:snapToGrid w:val="0"/>
              <w:spacing w:before="29" w:line="288" w:lineRule="auto"/>
              <w:jc w:val="center"/>
              <w:rPr>
                <w:sz w:val="24"/>
              </w:rPr>
            </w:pPr>
            <w:r w:rsidRPr="00324C76">
              <w:rPr>
                <w:sz w:val="24"/>
              </w:rPr>
              <w:t>公允价值</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1,462.50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2,416.90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3,879.40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761905">
        <w:trPr>
          <w:jc w:val="center"/>
        </w:trPr>
        <w:tc>
          <w:tcPr>
            <w:tcW w:w="849" w:type="dxa"/>
            <w:vAlign w:val="center"/>
          </w:tcPr>
          <w:p w:rsidR="00761905" w:rsidRDefault="007237DA">
            <w:pPr>
              <w:jc w:val="center"/>
            </w:pPr>
            <w:r>
              <w:rPr>
                <w:color w:val="000000"/>
                <w:sz w:val="24"/>
              </w:rPr>
              <w:t>1</w:t>
            </w:r>
          </w:p>
        </w:tc>
        <w:tc>
          <w:tcPr>
            <w:tcW w:w="1327" w:type="dxa"/>
            <w:vAlign w:val="center"/>
          </w:tcPr>
          <w:p w:rsidR="00761905" w:rsidRDefault="007237DA">
            <w:pPr>
              <w:jc w:val="center"/>
            </w:pPr>
            <w:r>
              <w:rPr>
                <w:color w:val="000000"/>
                <w:sz w:val="24"/>
              </w:rPr>
              <w:t>000333</w:t>
            </w:r>
          </w:p>
        </w:tc>
        <w:tc>
          <w:tcPr>
            <w:tcW w:w="1621" w:type="dxa"/>
            <w:vAlign w:val="center"/>
          </w:tcPr>
          <w:p w:rsidR="00761905" w:rsidRDefault="007237DA">
            <w:pPr>
              <w:jc w:val="center"/>
            </w:pPr>
            <w:r>
              <w:rPr>
                <w:color w:val="000000"/>
                <w:sz w:val="24"/>
              </w:rPr>
              <w:t>美的集团</w:t>
            </w:r>
          </w:p>
        </w:tc>
        <w:tc>
          <w:tcPr>
            <w:tcW w:w="1769" w:type="dxa"/>
            <w:vAlign w:val="center"/>
          </w:tcPr>
          <w:p w:rsidR="00761905" w:rsidRDefault="007237DA">
            <w:pPr>
              <w:jc w:val="right"/>
            </w:pPr>
            <w:r>
              <w:rPr>
                <w:color w:val="000000"/>
                <w:sz w:val="24"/>
              </w:rPr>
              <w:t>30</w:t>
            </w:r>
          </w:p>
        </w:tc>
        <w:tc>
          <w:tcPr>
            <w:tcW w:w="2211" w:type="dxa"/>
            <w:vAlign w:val="center"/>
          </w:tcPr>
          <w:p w:rsidR="00761905" w:rsidRDefault="007237DA">
            <w:pPr>
              <w:jc w:val="right"/>
            </w:pPr>
            <w:r>
              <w:rPr>
                <w:color w:val="000000"/>
                <w:sz w:val="24"/>
              </w:rPr>
              <w:t>1,793.70</w:t>
            </w:r>
          </w:p>
        </w:tc>
        <w:tc>
          <w:tcPr>
            <w:tcW w:w="1091" w:type="dxa"/>
            <w:vAlign w:val="center"/>
          </w:tcPr>
          <w:p w:rsidR="00761905" w:rsidRDefault="007237DA">
            <w:pPr>
              <w:jc w:val="right"/>
            </w:pPr>
            <w:r>
              <w:rPr>
                <w:color w:val="000000"/>
                <w:sz w:val="24"/>
              </w:rPr>
              <w:t>0.00</w:t>
            </w:r>
          </w:p>
        </w:tc>
      </w:tr>
      <w:tr w:rsidR="00761905">
        <w:trPr>
          <w:jc w:val="center"/>
        </w:trPr>
        <w:tc>
          <w:tcPr>
            <w:tcW w:w="849" w:type="dxa"/>
            <w:vAlign w:val="center"/>
          </w:tcPr>
          <w:p w:rsidR="00761905" w:rsidRDefault="007237DA">
            <w:pPr>
              <w:jc w:val="center"/>
            </w:pPr>
            <w:r>
              <w:rPr>
                <w:color w:val="000000"/>
                <w:sz w:val="24"/>
              </w:rPr>
              <w:t>2</w:t>
            </w:r>
          </w:p>
        </w:tc>
        <w:tc>
          <w:tcPr>
            <w:tcW w:w="1327" w:type="dxa"/>
            <w:vAlign w:val="center"/>
          </w:tcPr>
          <w:p w:rsidR="00761905" w:rsidRDefault="007237DA">
            <w:pPr>
              <w:jc w:val="center"/>
            </w:pPr>
            <w:r>
              <w:rPr>
                <w:color w:val="000000"/>
                <w:sz w:val="24"/>
              </w:rPr>
              <w:t>000983</w:t>
            </w:r>
          </w:p>
        </w:tc>
        <w:tc>
          <w:tcPr>
            <w:tcW w:w="1621" w:type="dxa"/>
            <w:vAlign w:val="center"/>
          </w:tcPr>
          <w:p w:rsidR="00761905" w:rsidRDefault="007237DA">
            <w:pPr>
              <w:jc w:val="center"/>
            </w:pPr>
            <w:r>
              <w:rPr>
                <w:color w:val="000000"/>
                <w:sz w:val="24"/>
              </w:rPr>
              <w:t>西山煤电</w:t>
            </w:r>
          </w:p>
        </w:tc>
        <w:tc>
          <w:tcPr>
            <w:tcW w:w="1769" w:type="dxa"/>
            <w:vAlign w:val="center"/>
          </w:tcPr>
          <w:p w:rsidR="00761905" w:rsidRDefault="007237DA">
            <w:pPr>
              <w:jc w:val="right"/>
            </w:pPr>
            <w:r>
              <w:rPr>
                <w:color w:val="000000"/>
                <w:sz w:val="24"/>
              </w:rPr>
              <w:t>390</w:t>
            </w:r>
          </w:p>
        </w:tc>
        <w:tc>
          <w:tcPr>
            <w:tcW w:w="2211" w:type="dxa"/>
            <w:vAlign w:val="center"/>
          </w:tcPr>
          <w:p w:rsidR="00761905" w:rsidRDefault="007237DA">
            <w:pPr>
              <w:jc w:val="right"/>
            </w:pPr>
            <w:r>
              <w:rPr>
                <w:color w:val="000000"/>
                <w:sz w:val="24"/>
              </w:rPr>
              <w:t>1,462.50</w:t>
            </w:r>
          </w:p>
        </w:tc>
        <w:tc>
          <w:tcPr>
            <w:tcW w:w="1091" w:type="dxa"/>
            <w:vAlign w:val="center"/>
          </w:tcPr>
          <w:p w:rsidR="00761905" w:rsidRDefault="007237DA">
            <w:pPr>
              <w:jc w:val="right"/>
            </w:pPr>
            <w:r>
              <w:rPr>
                <w:color w:val="000000"/>
                <w:sz w:val="24"/>
              </w:rPr>
              <w:t>0.00</w:t>
            </w:r>
          </w:p>
        </w:tc>
      </w:tr>
      <w:tr w:rsidR="00761905">
        <w:trPr>
          <w:jc w:val="center"/>
        </w:trPr>
        <w:tc>
          <w:tcPr>
            <w:tcW w:w="849" w:type="dxa"/>
            <w:vAlign w:val="center"/>
          </w:tcPr>
          <w:p w:rsidR="00761905" w:rsidRDefault="007237DA">
            <w:pPr>
              <w:jc w:val="center"/>
            </w:pPr>
            <w:r>
              <w:rPr>
                <w:color w:val="000000"/>
                <w:sz w:val="24"/>
              </w:rPr>
              <w:t>3</w:t>
            </w:r>
          </w:p>
        </w:tc>
        <w:tc>
          <w:tcPr>
            <w:tcW w:w="1327" w:type="dxa"/>
            <w:vAlign w:val="center"/>
          </w:tcPr>
          <w:p w:rsidR="00761905" w:rsidRDefault="007237DA">
            <w:pPr>
              <w:jc w:val="center"/>
            </w:pPr>
            <w:r>
              <w:rPr>
                <w:color w:val="000000"/>
                <w:sz w:val="24"/>
              </w:rPr>
              <w:t>000703</w:t>
            </w:r>
          </w:p>
        </w:tc>
        <w:tc>
          <w:tcPr>
            <w:tcW w:w="1621" w:type="dxa"/>
            <w:vAlign w:val="center"/>
          </w:tcPr>
          <w:p w:rsidR="00761905" w:rsidRDefault="007237DA">
            <w:pPr>
              <w:jc w:val="center"/>
            </w:pPr>
            <w:r>
              <w:rPr>
                <w:color w:val="000000"/>
                <w:sz w:val="24"/>
              </w:rPr>
              <w:t>恒逸石化</w:t>
            </w:r>
          </w:p>
        </w:tc>
        <w:tc>
          <w:tcPr>
            <w:tcW w:w="1769" w:type="dxa"/>
            <w:vAlign w:val="center"/>
          </w:tcPr>
          <w:p w:rsidR="00761905" w:rsidRDefault="007237DA">
            <w:pPr>
              <w:jc w:val="right"/>
            </w:pPr>
            <w:r>
              <w:rPr>
                <w:color w:val="000000"/>
                <w:sz w:val="24"/>
              </w:rPr>
              <w:t>60</w:t>
            </w:r>
          </w:p>
        </w:tc>
        <w:tc>
          <w:tcPr>
            <w:tcW w:w="2211" w:type="dxa"/>
            <w:vAlign w:val="center"/>
          </w:tcPr>
          <w:p w:rsidR="00761905" w:rsidRDefault="007237DA">
            <w:pPr>
              <w:jc w:val="right"/>
            </w:pPr>
            <w:r>
              <w:rPr>
                <w:color w:val="000000"/>
                <w:sz w:val="24"/>
              </w:rPr>
              <w:t>547.80</w:t>
            </w:r>
          </w:p>
        </w:tc>
        <w:tc>
          <w:tcPr>
            <w:tcW w:w="1091" w:type="dxa"/>
            <w:vAlign w:val="center"/>
          </w:tcPr>
          <w:p w:rsidR="00761905" w:rsidRDefault="007237DA">
            <w:pPr>
              <w:jc w:val="right"/>
            </w:pPr>
            <w:r>
              <w:rPr>
                <w:color w:val="000000"/>
                <w:sz w:val="24"/>
              </w:rPr>
              <w:t>0.00</w:t>
            </w:r>
          </w:p>
        </w:tc>
      </w:tr>
      <w:tr w:rsidR="00761905">
        <w:trPr>
          <w:jc w:val="center"/>
        </w:trPr>
        <w:tc>
          <w:tcPr>
            <w:tcW w:w="849" w:type="dxa"/>
            <w:vAlign w:val="center"/>
          </w:tcPr>
          <w:p w:rsidR="00761905" w:rsidRDefault="007237DA">
            <w:pPr>
              <w:jc w:val="center"/>
            </w:pPr>
            <w:r>
              <w:rPr>
                <w:color w:val="000000"/>
                <w:sz w:val="24"/>
              </w:rPr>
              <w:t>4</w:t>
            </w:r>
          </w:p>
        </w:tc>
        <w:tc>
          <w:tcPr>
            <w:tcW w:w="1327" w:type="dxa"/>
            <w:vAlign w:val="center"/>
          </w:tcPr>
          <w:p w:rsidR="00761905" w:rsidRDefault="007237DA">
            <w:pPr>
              <w:jc w:val="center"/>
            </w:pPr>
            <w:r>
              <w:rPr>
                <w:color w:val="000000"/>
                <w:sz w:val="24"/>
              </w:rPr>
              <w:t>000932</w:t>
            </w:r>
          </w:p>
        </w:tc>
        <w:tc>
          <w:tcPr>
            <w:tcW w:w="1621" w:type="dxa"/>
            <w:vAlign w:val="center"/>
          </w:tcPr>
          <w:p w:rsidR="00761905" w:rsidRDefault="007237DA">
            <w:pPr>
              <w:jc w:val="center"/>
            </w:pPr>
            <w:r>
              <w:rPr>
                <w:color w:val="000000"/>
                <w:sz w:val="24"/>
              </w:rPr>
              <w:t>华菱钢铁</w:t>
            </w:r>
          </w:p>
        </w:tc>
        <w:tc>
          <w:tcPr>
            <w:tcW w:w="1769" w:type="dxa"/>
            <w:vAlign w:val="center"/>
          </w:tcPr>
          <w:p w:rsidR="00761905" w:rsidRDefault="007237DA">
            <w:pPr>
              <w:jc w:val="right"/>
            </w:pPr>
            <w:r>
              <w:rPr>
                <w:color w:val="000000"/>
                <w:sz w:val="24"/>
              </w:rPr>
              <w:t>20</w:t>
            </w:r>
          </w:p>
        </w:tc>
        <w:tc>
          <w:tcPr>
            <w:tcW w:w="2211" w:type="dxa"/>
            <w:vAlign w:val="center"/>
          </w:tcPr>
          <w:p w:rsidR="00761905" w:rsidRDefault="007237DA">
            <w:pPr>
              <w:jc w:val="right"/>
            </w:pPr>
            <w:r>
              <w:rPr>
                <w:color w:val="000000"/>
                <w:sz w:val="24"/>
              </w:rPr>
              <w:t>75.40</w:t>
            </w:r>
          </w:p>
        </w:tc>
        <w:tc>
          <w:tcPr>
            <w:tcW w:w="1091" w:type="dxa"/>
            <w:vAlign w:val="center"/>
          </w:tcPr>
          <w:p w:rsidR="00761905" w:rsidRDefault="007237DA">
            <w:pPr>
              <w:jc w:val="right"/>
            </w:pPr>
            <w:r>
              <w:rPr>
                <w:color w:val="000000"/>
                <w:sz w:val="24"/>
              </w:rPr>
              <w:t>0.00</w:t>
            </w:r>
          </w:p>
        </w:tc>
      </w:tr>
    </w:tbl>
    <w:p w:rsidR="00BA574A" w:rsidRPr="00324C76" w:rsidRDefault="00BA574A"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5.12.2</w:t>
      </w:r>
      <w:r w:rsidRPr="00120EC8">
        <w:rPr>
          <w:kern w:val="0"/>
          <w:sz w:val="24"/>
        </w:rPr>
        <w:t>本基金投资的前十名股票中，没有超出基金合同规定的备选股票库之外的股票。</w:t>
      </w:r>
    </w:p>
    <w:p w:rsidR="00220542" w:rsidRPr="00390F9A" w:rsidRDefault="007D10B0" w:rsidP="00B04217">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R="000A02AE" w:rsidRPr="00120EC8" w:rsidRDefault="000A02AE" w:rsidP="000A02AE">
      <w:pPr>
        <w:autoSpaceDE w:val="0"/>
        <w:autoSpaceDN w:val="0"/>
        <w:adjustRightInd w:val="0"/>
        <w:spacing w:before="29" w:line="288" w:lineRule="auto"/>
        <w:jc w:val="right"/>
        <w:rPr>
          <w:kern w:val="0"/>
          <w:sz w:val="24"/>
        </w:rPr>
      </w:pPr>
      <w:r w:rsidRPr="000A02AE">
        <w:rPr>
          <w:rFonts w:hint="eastAsia"/>
          <w:kern w:val="0"/>
          <w:sz w:val="24"/>
        </w:rPr>
        <w:t>金额单位：人民币元</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11,457.08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771.37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159,657.11</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171,885.56</w:t>
            </w:r>
          </w:p>
        </w:tc>
      </w:tr>
    </w:tbl>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A40C1C" w:rsidRPr="00390F9A" w:rsidRDefault="007D10B0" w:rsidP="00B04217">
      <w:pPr>
        <w:spacing w:before="29" w:line="288" w:lineRule="auto"/>
        <w:rPr>
          <w:b/>
          <w:color w:val="000000"/>
          <w:kern w:val="0"/>
          <w:sz w:val="24"/>
        </w:rPr>
      </w:pPr>
      <w:r w:rsidRPr="00390F9A">
        <w:rPr>
          <w:b/>
          <w:kern w:val="0"/>
          <w:sz w:val="24"/>
        </w:rPr>
        <w:t>5.12.6</w:t>
      </w:r>
      <w:r w:rsidR="00A40C1C" w:rsidRPr="00390F9A">
        <w:rPr>
          <w:b/>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48293C">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36,942,076.76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2,681,876.78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4,835,006.37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34,788,947.17</w:t>
            </w:r>
          </w:p>
        </w:tc>
      </w:tr>
    </w:tbl>
    <w:p w:rsidR="00761905" w:rsidRDefault="007237D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48293C">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37.72</w:t>
            </w:r>
          </w:p>
        </w:tc>
      </w:tr>
    </w:tbl>
    <w:p w:rsidR="00761905" w:rsidRDefault="007237D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C500CD" w:rsidP="0048293C">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696A7B">
        <w:rPr>
          <w:rFonts w:asciiTheme="minorEastAsia" w:eastAsiaTheme="minorEastAsia" w:hAnsiTheme="minorEastAsia" w:cs="Arial" w:hint="eastAsia"/>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sidR="00696A7B">
        <w:rPr>
          <w:rFonts w:asciiTheme="minorEastAsia" w:eastAsiaTheme="minorEastAsia" w:hAnsiTheme="minorEastAsia" w:cs="Arial" w:hint="eastAsia"/>
          <w:color w:val="000000" w:themeColor="text1"/>
          <w:kern w:val="0"/>
          <w:sz w:val="24"/>
          <w:szCs w:val="24"/>
        </w:rPr>
        <w:t>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left"/>
              <w:rPr>
                <w:rFonts w:ascii="宋体" w:hAnsi="宋体"/>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rsidR="00761905">
        <w:tc>
          <w:tcPr>
            <w:tcW w:w="992" w:type="dxa"/>
            <w:vMerge w:val="restart"/>
          </w:tcPr>
          <w:p w:rsidR="00761905" w:rsidRDefault="00761905"/>
          <w:p w:rsidR="00761905" w:rsidRDefault="007237DA">
            <w:r>
              <w:rPr>
                <w:rFonts w:ascii="宋体" w:hAnsi="宋体" w:hint="eastAsia"/>
                <w:bCs/>
                <w:color w:val="000000"/>
                <w:kern w:val="0"/>
                <w:sz w:val="24"/>
              </w:rPr>
              <w:t>机构</w:t>
            </w:r>
          </w:p>
        </w:tc>
        <w:tc>
          <w:tcPr>
            <w:tcW w:w="991" w:type="dxa"/>
            <w:vAlign w:val="center"/>
          </w:tcPr>
          <w:p w:rsidR="00761905" w:rsidRDefault="007237DA">
            <w:pPr>
              <w:jc w:val="center"/>
            </w:pPr>
            <w:r>
              <w:rPr>
                <w:rFonts w:ascii="宋体" w:hAnsi="宋体" w:hint="eastAsia"/>
                <w:color w:val="000000"/>
                <w:kern w:val="0"/>
                <w:sz w:val="24"/>
              </w:rPr>
              <w:t>1</w:t>
            </w:r>
          </w:p>
        </w:tc>
        <w:tc>
          <w:tcPr>
            <w:tcW w:w="1843" w:type="dxa"/>
            <w:vAlign w:val="center"/>
          </w:tcPr>
          <w:p w:rsidR="00761905" w:rsidRDefault="007237DA">
            <w:pPr>
              <w:jc w:val="center"/>
            </w:pPr>
            <w:r>
              <w:rPr>
                <w:rFonts w:ascii="宋体" w:hAnsi="宋体" w:hint="eastAsia"/>
                <w:color w:val="000000"/>
                <w:kern w:val="0"/>
                <w:sz w:val="24"/>
              </w:rPr>
              <w:t>2020/4/1-2020/6/30</w:t>
            </w:r>
          </w:p>
        </w:tc>
        <w:tc>
          <w:tcPr>
            <w:tcW w:w="851" w:type="dxa"/>
            <w:vAlign w:val="center"/>
          </w:tcPr>
          <w:p w:rsidR="00761905" w:rsidRDefault="007237DA">
            <w:pPr>
              <w:jc w:val="center"/>
            </w:pPr>
            <w:r>
              <w:rPr>
                <w:rFonts w:ascii="宋体" w:hAnsi="宋体" w:hint="eastAsia"/>
                <w:color w:val="000000"/>
                <w:kern w:val="0"/>
                <w:sz w:val="24"/>
              </w:rPr>
              <w:t>13,122,703.41</w:t>
            </w:r>
          </w:p>
        </w:tc>
        <w:tc>
          <w:tcPr>
            <w:tcW w:w="850" w:type="dxa"/>
            <w:vAlign w:val="center"/>
          </w:tcPr>
          <w:p w:rsidR="00761905" w:rsidRDefault="007237DA">
            <w:pPr>
              <w:jc w:val="center"/>
            </w:pPr>
            <w:r>
              <w:rPr>
                <w:rFonts w:ascii="宋体" w:hAnsi="宋体" w:hint="eastAsia"/>
                <w:color w:val="000000"/>
                <w:kern w:val="0"/>
                <w:sz w:val="24"/>
              </w:rPr>
              <w:t>-</w:t>
            </w:r>
          </w:p>
        </w:tc>
        <w:tc>
          <w:tcPr>
            <w:tcW w:w="1134" w:type="dxa"/>
            <w:vAlign w:val="center"/>
          </w:tcPr>
          <w:p w:rsidR="00761905" w:rsidRDefault="007237DA">
            <w:pPr>
              <w:jc w:val="center"/>
            </w:pPr>
            <w:r>
              <w:rPr>
                <w:rFonts w:ascii="宋体" w:hAnsi="宋体" w:hint="eastAsia"/>
                <w:color w:val="000000"/>
                <w:kern w:val="0"/>
                <w:sz w:val="24"/>
              </w:rPr>
              <w:t>-</w:t>
            </w:r>
          </w:p>
        </w:tc>
        <w:tc>
          <w:tcPr>
            <w:tcW w:w="1419" w:type="dxa"/>
            <w:vAlign w:val="center"/>
          </w:tcPr>
          <w:p w:rsidR="00761905" w:rsidRDefault="007237DA">
            <w:pPr>
              <w:jc w:val="center"/>
            </w:pPr>
            <w:r>
              <w:rPr>
                <w:rFonts w:ascii="宋体" w:hAnsi="宋体" w:hint="eastAsia"/>
                <w:color w:val="000000"/>
                <w:kern w:val="0"/>
                <w:sz w:val="24"/>
              </w:rPr>
              <w:t>13,122,703.41</w:t>
            </w:r>
          </w:p>
        </w:tc>
        <w:tc>
          <w:tcPr>
            <w:tcW w:w="1130" w:type="dxa"/>
            <w:vAlign w:val="center"/>
          </w:tcPr>
          <w:p w:rsidR="00761905" w:rsidRDefault="007237DA">
            <w:pPr>
              <w:jc w:val="center"/>
            </w:pPr>
            <w:r>
              <w:rPr>
                <w:rFonts w:ascii="宋体" w:hAnsi="宋体" w:hint="eastAsia"/>
                <w:color w:val="000000"/>
                <w:kern w:val="0"/>
                <w:sz w:val="24"/>
              </w:rPr>
              <w:t>37.72%</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p>
        </w:tc>
      </w:tr>
      <w:tr w:rsidR="00696A7B" w:rsidTr="00696A7B">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A0A24" w:rsidRPr="00495FAB" w:rsidRDefault="00220542" w:rsidP="0048293C">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761905" w:rsidRDefault="007237DA">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761905" w:rsidRDefault="007237DA">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761905" w:rsidRDefault="007237DA">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761905" w:rsidRDefault="007237DA">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761905" w:rsidRDefault="007237DA">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761905" w:rsidRDefault="007237D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61905" w:rsidRDefault="007237D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761905" w:rsidRDefault="007237DA">
      <w:pPr>
        <w:spacing w:before="29" w:line="288" w:lineRule="auto"/>
        <w:ind w:firstLineChars="200" w:firstLine="480"/>
        <w:rPr>
          <w:sz w:val="24"/>
        </w:rPr>
      </w:pPr>
      <w:r>
        <w:rPr>
          <w:color w:val="000000"/>
          <w:sz w:val="24"/>
        </w:rPr>
        <w:t>投</w:t>
      </w:r>
      <w:r>
        <w:rPr>
          <w:color w:val="000000"/>
          <w:sz w:val="24"/>
        </w:rPr>
        <w:t>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24" w:rsidRDefault="00B44C24">
      <w:r>
        <w:separator/>
      </w:r>
    </w:p>
  </w:endnote>
  <w:endnote w:type="continuationSeparator" w:id="0">
    <w:p w:rsidR="00B44C24" w:rsidRDefault="00B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7237DA">
      <w:rPr>
        <w:noProof/>
        <w:kern w:val="0"/>
        <w:szCs w:val="21"/>
      </w:rPr>
      <w:t>6</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7237DA">
      <w:rPr>
        <w:noProof/>
        <w:kern w:val="0"/>
        <w:szCs w:val="21"/>
      </w:rPr>
      <w:t>14</w:t>
    </w:r>
    <w:r w:rsidR="007823C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823C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24" w:rsidRDefault="00B44C24">
      <w:r>
        <w:separator/>
      </w:r>
    </w:p>
  </w:footnote>
  <w:footnote w:type="continuationSeparator" w:id="0">
    <w:p w:rsidR="00B44C24" w:rsidRDefault="00B44C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交银施罗德深证</w:t>
    </w:r>
    <w:r w:rsidRPr="003E676C">
      <w:rPr>
        <w:sz w:val="24"/>
        <w:szCs w:val="24"/>
      </w:rPr>
      <w:t>300</w:t>
    </w:r>
    <w:r w:rsidRPr="003E676C">
      <w:rPr>
        <w:sz w:val="24"/>
        <w:szCs w:val="24"/>
      </w:rPr>
      <w:t>价值交易型开放式指数证券投资基金联接基金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37DA"/>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1905"/>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7888-EB30-42D2-BE6D-12393604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351</TotalTime>
  <Pages>14</Pages>
  <Words>1169</Words>
  <Characters>6667</Characters>
  <Application>Microsoft Office Word</Application>
  <DocSecurity>0</DocSecurity>
  <Lines>55</Lines>
  <Paragraphs>15</Paragraphs>
  <ScaleCrop>false</ScaleCrop>
  <Company>TRT. Ltd. Co.</Company>
  <LinksUpToDate>false</LinksUpToDate>
  <CharactersWithSpaces>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432</cp:revision>
  <cp:lastPrinted>2007-07-19T00:46:00Z</cp:lastPrinted>
  <dcterms:created xsi:type="dcterms:W3CDTF">2012-11-13T02:08:00Z</dcterms:created>
  <dcterms:modified xsi:type="dcterms:W3CDTF">2020-07-17T05:54:00Z</dcterms:modified>
</cp:coreProperties>
</file>