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2013年4月18日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2,345,847,385.24</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交银双轮动债券A/B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交银双轮动债券C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519723</w:t>
            </w:r>
            <w:r w:rsidRPr="007F52FA">
              <w:rPr>
                <w:color w:themeColor="text1" w:val="000000"/>
                <w:sz w:val="24"/>
              </w:rPr>
              <w:t>（前端）、</w:t>
            </w:r>
            <w:r w:rsidRPr="007F52FA">
              <w:rPr>
                <w:color w:themeColor="text1" w:val="000000"/>
                <w:sz w:val="24"/>
              </w:rPr>
              <w:t>519724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519725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2,238,136,398.65</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107,710,986.59</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交银双轮动债券A/B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交银双轮动债券C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20,965,223.29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382,830.97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-7,283,785.54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-113,390.44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-0.0036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-0.0024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2,403,326,141.46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115,009,124.03</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1.068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交银双轮动债券A/B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0.09%</w:t>
            </w:r>
          </w:p>
        </w:tc>
        <w:tc>
          <w:tcPr>
            <w:vAlign w:val="center"/>
          </w:tcPr>
          <w:p>
            <w:pPr>
              <w:jc w:val="center"/>
            </w:pPr>
            <w:r>
              <w:rPr>
                <w:color w:val="000000"/>
                <w:sz w:val="24"/>
              </w:rPr>
              <w:t>0.09%</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1.13%</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1.67%</w:t>
            </w:r>
          </w:p>
        </w:tc>
        <w:tc>
          <w:tcPr>
            <w:vAlign w:val="center"/>
          </w:tcPr>
          <w:p>
            <w:pPr>
              <w:jc w:val="center"/>
            </w:pPr>
            <w:r>
              <w:rPr>
                <w:color w:val="000000"/>
                <w:sz w:val="24"/>
              </w:rPr>
              <w:t>0.08%</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0.88%</w:t>
            </w:r>
          </w:p>
        </w:tc>
        <w:tc>
          <w:tcPr>
            <w:vAlign w:val="center"/>
          </w:tcPr>
          <w:p>
            <w:pPr>
              <w:jc w:val="center"/>
            </w:pPr>
            <w:r>
              <w:rPr>
                <w:color w:val="000000"/>
                <w:sz w:val="24"/>
              </w:rPr>
              <w:t>-0.03%</w:t>
            </w:r>
          </w:p>
        </w:tc>
      </w:tr>
      <w:tr>
        <w:tc>
          <w:tcPr>
            <w:vAlign w:val="center"/>
          </w:tcPr>
          <w:p>
            <w:pPr>
              <w:jc w:val="left"/>
            </w:pPr>
            <w:r>
              <w:rPr>
                <w:color w:val="000000"/>
                <w:sz w:val="24"/>
              </w:rPr>
              <w:t>过去一年</w:t>
            </w:r>
          </w:p>
        </w:tc>
        <w:tc>
          <w:tcPr>
            <w:vAlign w:val="center"/>
          </w:tcPr>
          <w:p>
            <w:pPr>
              <w:jc w:val="center"/>
            </w:pPr>
            <w:r>
              <w:rPr>
                <w:color w:val="000000"/>
                <w:sz w:val="24"/>
              </w:rPr>
              <w:t>3.87%</w:t>
            </w:r>
          </w:p>
        </w:tc>
        <w:tc>
          <w:tcPr>
            <w:vAlign w:val="center"/>
          </w:tcPr>
          <w:p>
            <w:pPr>
              <w:jc w:val="center"/>
            </w:pPr>
            <w:r>
              <w:rPr>
                <w:color w:val="000000"/>
                <w:sz w:val="24"/>
              </w:rPr>
              <w:t>0.06%</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2.00%</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15.77%</w:t>
            </w:r>
          </w:p>
        </w:tc>
        <w:tc>
          <w:tcPr>
            <w:vAlign w:val="center"/>
          </w:tcPr>
          <w:p>
            <w:pPr>
              <w:jc w:val="center"/>
            </w:pPr>
            <w:r>
              <w:rPr>
                <w:color w:val="000000"/>
                <w:sz w:val="24"/>
              </w:rPr>
              <w:t>0.06%</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10.16%</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23.58%</w:t>
            </w:r>
          </w:p>
        </w:tc>
        <w:tc>
          <w:tcPr>
            <w:vAlign w:val="center"/>
          </w:tcPr>
          <w:p>
            <w:pPr>
              <w:jc w:val="center"/>
            </w:pPr>
            <w:r>
              <w:rPr>
                <w:color w:val="000000"/>
                <w:sz w:val="24"/>
              </w:rPr>
              <w:t>0.08%</w:t>
            </w:r>
          </w:p>
        </w:tc>
        <w:tc>
          <w:tcPr>
            <w:vAlign w:val="center"/>
          </w:tcPr>
          <w:p>
            <w:pPr>
              <w:jc w:val="center"/>
            </w:pPr>
            <w:r>
              <w:rPr>
                <w:color w:val="000000"/>
                <w:sz w:val="24"/>
              </w:rPr>
              <w:t>4.70%</w:t>
            </w:r>
          </w:p>
        </w:tc>
        <w:tc>
          <w:tcPr>
            <w:vAlign w:val="center"/>
          </w:tcPr>
          <w:p>
            <w:pPr>
              <w:jc w:val="center"/>
            </w:pPr>
            <w:r>
              <w:rPr>
                <w:color w:val="000000"/>
                <w:sz w:val="24"/>
              </w:rPr>
              <w:t>0.08%</w:t>
            </w:r>
          </w:p>
        </w:tc>
        <w:tc>
          <w:tcPr>
            <w:vAlign w:val="center"/>
          </w:tcPr>
          <w:p>
            <w:pPr>
              <w:jc w:val="center"/>
            </w:pPr>
            <w:r>
              <w:rPr>
                <w:color w:val="000000"/>
                <w:sz w:val="24"/>
              </w:rPr>
              <w:t>18.88%</w:t>
            </w:r>
          </w:p>
        </w:tc>
        <w:tc>
          <w:tcPr>
            <w:vAlign w:val="center"/>
          </w:tcPr>
          <w:p>
            <w:pPr>
              <w:jc w:val="center"/>
            </w:pPr>
            <w:r>
              <w:rPr>
                <w:color w:val="000000"/>
                <w:sz w:val="24"/>
              </w:rPr>
              <w:t>0.00%</w:t>
            </w:r>
          </w:p>
        </w:tc>
      </w:tr>
      <w:tr>
        <w:tc>
          <w:tcPr>
            <w:vAlign w:val="center"/>
          </w:tcPr>
          <w:p>
            <w:pPr>
              <w:jc w:val="left"/>
            </w:pPr>
            <w:r>
              <w:rPr>
                <w:color w:val="000000"/>
                <w:sz w:val="24"/>
              </w:rPr>
              <w:t>自基金合同生效至今</w:t>
            </w:r>
          </w:p>
        </w:tc>
        <w:tc>
          <w:tcPr>
            <w:vAlign w:val="center"/>
          </w:tcPr>
          <w:p>
            <w:pPr>
              <w:jc w:val="center"/>
            </w:pPr>
            <w:r>
              <w:rPr>
                <w:color w:val="000000"/>
                <w:sz w:val="24"/>
              </w:rPr>
              <w:t>41.79%</w:t>
            </w:r>
          </w:p>
        </w:tc>
        <w:tc>
          <w:tcPr>
            <w:vAlign w:val="center"/>
          </w:tcPr>
          <w:p>
            <w:pPr>
              <w:jc w:val="center"/>
            </w:pPr>
            <w:r>
              <w:rPr>
                <w:color w:val="000000"/>
                <w:sz w:val="24"/>
              </w:rPr>
              <w:t>0.09%</w:t>
            </w:r>
          </w:p>
        </w:tc>
        <w:tc>
          <w:tcPr>
            <w:vAlign w:val="center"/>
          </w:tcPr>
          <w:p>
            <w:pPr>
              <w:jc w:val="center"/>
            </w:pPr>
            <w:r>
              <w:rPr>
                <w:color w:val="000000"/>
                <w:sz w:val="24"/>
              </w:rPr>
              <w:t>7.28%</w:t>
            </w:r>
          </w:p>
        </w:tc>
        <w:tc>
          <w:tcPr>
            <w:vAlign w:val="center"/>
          </w:tcPr>
          <w:p>
            <w:pPr>
              <w:jc w:val="center"/>
            </w:pPr>
            <w:r>
              <w:rPr>
                <w:color w:val="000000"/>
                <w:sz w:val="24"/>
              </w:rPr>
              <w:t>0.09%</w:t>
            </w:r>
          </w:p>
        </w:tc>
        <w:tc>
          <w:tcPr>
            <w:vAlign w:val="center"/>
          </w:tcPr>
          <w:p>
            <w:pPr>
              <w:jc w:val="center"/>
            </w:pPr>
            <w:r>
              <w:rPr>
                <w:color w:val="000000"/>
                <w:sz w:val="24"/>
              </w:rPr>
              <w:t>34.51%</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交银双轮动债券C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-0.10%</w:t>
            </w:r>
          </w:p>
        </w:tc>
        <w:tc>
          <w:tcPr>
            <w:vAlign w:val="center"/>
          </w:tcPr>
          <w:p>
            <w:pPr>
              <w:jc w:val="center"/>
            </w:pPr>
            <w:r>
              <w:rPr>
                <w:color w:val="000000"/>
                <w:sz w:val="24"/>
              </w:rPr>
              <w:t>0.10%</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0.94%</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1.40%</w:t>
            </w:r>
          </w:p>
        </w:tc>
        <w:tc>
          <w:tcPr>
            <w:vAlign w:val="center"/>
          </w:tcPr>
          <w:p>
            <w:pPr>
              <w:jc w:val="center"/>
            </w:pPr>
            <w:r>
              <w:rPr>
                <w:color w:val="000000"/>
                <w:sz w:val="24"/>
              </w:rPr>
              <w:t>0.09%</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0.61%</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3.40%</w:t>
            </w:r>
          </w:p>
        </w:tc>
        <w:tc>
          <w:tcPr>
            <w:vAlign w:val="center"/>
          </w:tcPr>
          <w:p>
            <w:pPr>
              <w:jc w:val="center"/>
            </w:pPr>
            <w:r>
              <w:rPr>
                <w:color w:val="000000"/>
                <w:sz w:val="24"/>
              </w:rPr>
              <w:t>0.07%</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1.53%</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14.39%</w:t>
            </w:r>
          </w:p>
        </w:tc>
        <w:tc>
          <w:tcPr>
            <w:vAlign w:val="center"/>
          </w:tcPr>
          <w:p>
            <w:pPr>
              <w:jc w:val="center"/>
            </w:pPr>
            <w:r>
              <w:rPr>
                <w:color w:val="000000"/>
                <w:sz w:val="24"/>
              </w:rPr>
              <w:t>0.06%</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8.78%</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20.54%</w:t>
            </w:r>
          </w:p>
        </w:tc>
        <w:tc>
          <w:tcPr>
            <w:vAlign w:val="center"/>
          </w:tcPr>
          <w:p>
            <w:pPr>
              <w:jc w:val="center"/>
            </w:pPr>
            <w:r>
              <w:rPr>
                <w:color w:val="000000"/>
                <w:sz w:val="24"/>
              </w:rPr>
              <w:t>0.08%</w:t>
            </w:r>
          </w:p>
        </w:tc>
        <w:tc>
          <w:tcPr>
            <w:vAlign w:val="center"/>
          </w:tcPr>
          <w:p>
            <w:pPr>
              <w:jc w:val="center"/>
            </w:pPr>
            <w:r>
              <w:rPr>
                <w:color w:val="000000"/>
                <w:sz w:val="24"/>
              </w:rPr>
              <w:t>4.70%</w:t>
            </w:r>
          </w:p>
        </w:tc>
        <w:tc>
          <w:tcPr>
            <w:vAlign w:val="center"/>
          </w:tcPr>
          <w:p>
            <w:pPr>
              <w:jc w:val="center"/>
            </w:pPr>
            <w:r>
              <w:rPr>
                <w:color w:val="000000"/>
                <w:sz w:val="24"/>
              </w:rPr>
              <w:t>0.08%</w:t>
            </w:r>
          </w:p>
        </w:tc>
        <w:tc>
          <w:tcPr>
            <w:vAlign w:val="center"/>
          </w:tcPr>
          <w:p>
            <w:pPr>
              <w:jc w:val="center"/>
            </w:pPr>
            <w:r>
              <w:rPr>
                <w:color w:val="000000"/>
                <w:sz w:val="24"/>
              </w:rPr>
              <w:t>15.84%</w:t>
            </w:r>
          </w:p>
        </w:tc>
        <w:tc>
          <w:tcPr>
            <w:vAlign w:val="center"/>
          </w:tcPr>
          <w:p>
            <w:pPr>
              <w:jc w:val="center"/>
            </w:pPr>
            <w:r>
              <w:rPr>
                <w:color w:val="000000"/>
                <w:sz w:val="24"/>
              </w:rPr>
              <w:t>0.00%</w:t>
            </w:r>
          </w:p>
        </w:tc>
      </w:tr>
      <w:tr>
        <w:tc>
          <w:tcPr>
            <w:vAlign w:val="center"/>
          </w:tcPr>
          <w:p>
            <w:pPr>
              <w:jc w:val="left"/>
            </w:pPr>
            <w:r>
              <w:rPr>
                <w:color w:val="000000"/>
                <w:sz w:val="24"/>
              </w:rPr>
              <w:t>自基金合同生效至今</w:t>
            </w:r>
          </w:p>
        </w:tc>
        <w:tc>
          <w:tcPr>
            <w:vAlign w:val="center"/>
          </w:tcPr>
          <w:p>
            <w:pPr>
              <w:jc w:val="center"/>
            </w:pPr>
            <w:r>
              <w:rPr>
                <w:color w:val="000000"/>
                <w:sz w:val="24"/>
              </w:rPr>
              <w:t>36.91%</w:t>
            </w:r>
          </w:p>
        </w:tc>
        <w:tc>
          <w:tcPr>
            <w:vAlign w:val="center"/>
          </w:tcPr>
          <w:p>
            <w:pPr>
              <w:jc w:val="center"/>
            </w:pPr>
            <w:r>
              <w:rPr>
                <w:color w:val="000000"/>
                <w:sz w:val="24"/>
              </w:rPr>
              <w:t>0.09%</w:t>
            </w:r>
          </w:p>
        </w:tc>
        <w:tc>
          <w:tcPr>
            <w:vAlign w:val="center"/>
          </w:tcPr>
          <w:p>
            <w:pPr>
              <w:jc w:val="center"/>
            </w:pPr>
            <w:r>
              <w:rPr>
                <w:color w:val="000000"/>
                <w:sz w:val="24"/>
              </w:rPr>
              <w:t>7.28%</w:t>
            </w:r>
          </w:p>
        </w:tc>
        <w:tc>
          <w:tcPr>
            <w:vAlign w:val="center"/>
          </w:tcPr>
          <w:p>
            <w:pPr>
              <w:jc w:val="center"/>
            </w:pPr>
            <w:r>
              <w:rPr>
                <w:color w:val="000000"/>
                <w:sz w:val="24"/>
              </w:rPr>
              <w:t>0.09%</w:t>
            </w:r>
          </w:p>
        </w:tc>
        <w:tc>
          <w:tcPr>
            <w:vAlign w:val="center"/>
          </w:tcPr>
          <w:p>
            <w:pPr>
              <w:jc w:val="center"/>
            </w:pPr>
            <w:r>
              <w:rPr>
                <w:color w:val="000000"/>
                <w:sz w:val="24"/>
              </w:rPr>
              <w:t>29.63%</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交银施罗德双轮动债券型证券投资基金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2013年4月18日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交银双轮动债券C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交银信用添利债券(LOF)、交银双利债券、交银双轮动债券、交银荣鑫灵活配置混合的基金经理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收益率先下后上，整体呈现大幅波动的格局。报告期内国内经济逐步企稳、海外疫情大范围爆发、货币政策预期先宽松后收紧、利率债供给压力加大等因素不断交织，影响债券市场的预期不断调整修复。债券收益率下行集中在四月上旬和中旬，主要源自月初央行公告定向降准并超预期下调超额存款准备金利率，此阶段利率水平创下年内新低；债券收益率上行集中在五月上旬和六月，并且震荡幅度加大，其中五月初的利率上行主要源自资金面边际收紧、海外市场风险偏好回升等因素，从五月底开始，利率上行的动力逐步转变为央行态度变化导致的一系列市场预期扭转，具体的触发因素包括利率走廊中枢抬升、特别国债市场化发行、市场降准预期落空等，导致六月以来利率在震荡中大幅攀升。</w:t>
      </w:r>
    </w:p>
    <w:p>
      <w:pPr>
        <w:spacing w:before="29" w:line="288" w:lineRule="auto"/>
        <w:ind w:firstLine="480" w:firstLineChars="200"/>
        <w:rPr>
          <w:color w:val="000000"/>
          <w:sz w:val="24"/>
        </w:rPr>
      </w:pPr>
      <w:r>
        <w:rPr>
          <w:color w:val="000000"/>
          <w:sz w:val="24"/>
        </w:rPr>
        <w:t>报告期内，我们认为信用债市场存在较好的杠杆套息机会，在基金操作中，我们继续维持组合杠杆水平和中性的组合久期配置，保持信用债整体的较高仓位，在板块上保持了部分中低等级城投债品种的配置，提升底仓的静态收益。同时，基金的长久期利率品种仓位不高，控制回撤，择机选择小部分仓位进行长久期利率债的波段交易，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三季度，短期内，在特别国债发行完成之前，预计市场可能会维持震荡行情，中期来看，经济触底回升的方向仍在，后续债券收益率或将难以突破年内的低点。组合策略方面，我们将视融资成本及市场收益率变动情况，择机降低一部分的杠杆，并控制久期风险，择机配置中短久期的信用债品种，并积极关注长端利率的波段交易机会，以期提升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2,807,884,000.00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97.76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2,807,884,000.00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97.76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7,996,101.56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0.28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56,326,242.56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2,872,206,344.12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135,652,000.00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5.39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135,652,000.00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5.39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366,322,000.00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14.55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2,305,910,000.00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91.56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2,807,884,000.00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111.50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101762016</w:t>
            </w:r>
          </w:p>
        </w:tc>
        <w:tc>
          <w:tcPr>
            <w:vAlign w:val="center"/>
          </w:tcPr>
          <w:p>
            <w:pPr>
              <w:jc w:val="center"/>
            </w:pPr>
            <w:r>
              <w:rPr>
                <w:color w:val="000000"/>
                <w:sz w:val="24"/>
              </w:rPr>
              <w:t>17盐城交通MTN001</w:t>
            </w:r>
          </w:p>
        </w:tc>
        <w:tc>
          <w:tcPr>
            <w:vAlign w:val="center"/>
          </w:tcPr>
          <w:p>
            <w:pPr>
              <w:jc w:val="right"/>
            </w:pPr>
            <w:r>
              <w:rPr>
                <w:color w:val="000000"/>
                <w:sz w:val="24"/>
              </w:rPr>
              <w:t>700,000</w:t>
            </w:r>
          </w:p>
        </w:tc>
        <w:tc>
          <w:tcPr>
            <w:vAlign w:val="center"/>
          </w:tcPr>
          <w:p>
            <w:pPr>
              <w:jc w:val="right"/>
            </w:pPr>
            <w:r>
              <w:rPr>
                <w:color w:val="000000"/>
                <w:sz w:val="24"/>
              </w:rPr>
              <w:t>73,857,000.00</w:t>
            </w:r>
          </w:p>
        </w:tc>
        <w:tc>
          <w:tcPr>
            <w:vAlign w:val="center"/>
          </w:tcPr>
          <w:p>
            <w:pPr>
              <w:jc w:val="right"/>
            </w:pPr>
            <w:r>
              <w:rPr>
                <w:color w:val="000000"/>
                <w:sz w:val="24"/>
              </w:rPr>
              <w:t>2.93</w:t>
            </w:r>
          </w:p>
        </w:tc>
      </w:tr>
      <w:tr>
        <w:tc>
          <w:tcPr>
            <w:vAlign w:val="center"/>
          </w:tcPr>
          <w:p>
            <w:pPr>
              <w:jc w:val="center"/>
            </w:pPr>
            <w:r>
              <w:rPr>
                <w:color w:val="000000"/>
                <w:sz w:val="24"/>
              </w:rPr>
              <w:t>2</w:t>
            </w:r>
          </w:p>
        </w:tc>
        <w:tc>
          <w:tcPr>
            <w:vAlign w:val="center"/>
          </w:tcPr>
          <w:p>
            <w:pPr>
              <w:jc w:val="center"/>
            </w:pPr>
            <w:r>
              <w:rPr>
                <w:color w:val="000000"/>
                <w:sz w:val="24"/>
              </w:rPr>
              <w:t>200306</w:t>
            </w:r>
          </w:p>
        </w:tc>
        <w:tc>
          <w:tcPr>
            <w:vAlign w:val="center"/>
          </w:tcPr>
          <w:p>
            <w:pPr>
              <w:jc w:val="center"/>
            </w:pPr>
            <w:r>
              <w:rPr>
                <w:color w:val="000000"/>
                <w:sz w:val="24"/>
              </w:rPr>
              <w:t>20进出06</w:t>
            </w:r>
          </w:p>
        </w:tc>
        <w:tc>
          <w:tcPr>
            <w:vAlign w:val="center"/>
          </w:tcPr>
          <w:p>
            <w:pPr>
              <w:jc w:val="right"/>
            </w:pPr>
            <w:r>
              <w:rPr>
                <w:color w:val="000000"/>
                <w:sz w:val="24"/>
              </w:rPr>
              <w:t>600,000</w:t>
            </w:r>
          </w:p>
        </w:tc>
        <w:tc>
          <w:tcPr>
            <w:vAlign w:val="center"/>
          </w:tcPr>
          <w:p>
            <w:pPr>
              <w:jc w:val="right"/>
            </w:pPr>
            <w:r>
              <w:rPr>
                <w:color w:val="000000"/>
                <w:sz w:val="24"/>
              </w:rPr>
              <w:t>59,754,000.00</w:t>
            </w:r>
          </w:p>
        </w:tc>
        <w:tc>
          <w:tcPr>
            <w:vAlign w:val="center"/>
          </w:tcPr>
          <w:p>
            <w:pPr>
              <w:jc w:val="right"/>
            </w:pPr>
            <w:r>
              <w:rPr>
                <w:color w:val="000000"/>
                <w:sz w:val="24"/>
              </w:rPr>
              <w:t>2.37</w:t>
            </w:r>
          </w:p>
        </w:tc>
      </w:tr>
      <w:tr>
        <w:tc>
          <w:tcPr>
            <w:vAlign w:val="center"/>
          </w:tcPr>
          <w:p>
            <w:pPr>
              <w:jc w:val="center"/>
            </w:pPr>
            <w:r>
              <w:rPr>
                <w:color w:val="000000"/>
                <w:sz w:val="24"/>
              </w:rPr>
              <w:t>3</w:t>
            </w:r>
          </w:p>
        </w:tc>
        <w:tc>
          <w:tcPr>
            <w:vAlign w:val="center"/>
          </w:tcPr>
          <w:p>
            <w:pPr>
              <w:jc w:val="center"/>
            </w:pPr>
            <w:r>
              <w:rPr>
                <w:color w:val="000000"/>
                <w:sz w:val="24"/>
              </w:rPr>
              <w:t>101800335</w:t>
            </w:r>
          </w:p>
        </w:tc>
        <w:tc>
          <w:tcPr>
            <w:vAlign w:val="center"/>
          </w:tcPr>
          <w:p>
            <w:pPr>
              <w:jc w:val="center"/>
            </w:pPr>
            <w:r>
              <w:rPr>
                <w:color w:val="000000"/>
                <w:sz w:val="24"/>
              </w:rPr>
              <w:t>18江津华信MTN001</w:t>
            </w:r>
          </w:p>
        </w:tc>
        <w:tc>
          <w:tcPr>
            <w:vAlign w:val="center"/>
          </w:tcPr>
          <w:p>
            <w:pPr>
              <w:jc w:val="right"/>
            </w:pPr>
            <w:r>
              <w:rPr>
                <w:color w:val="000000"/>
                <w:sz w:val="24"/>
              </w:rPr>
              <w:t>500,000</w:t>
            </w:r>
          </w:p>
        </w:tc>
        <w:tc>
          <w:tcPr>
            <w:vAlign w:val="center"/>
          </w:tcPr>
          <w:p>
            <w:pPr>
              <w:jc w:val="right"/>
            </w:pPr>
            <w:r>
              <w:rPr>
                <w:color w:val="000000"/>
                <w:sz w:val="24"/>
              </w:rPr>
              <w:t>53,705,000.00</w:t>
            </w:r>
          </w:p>
        </w:tc>
        <w:tc>
          <w:tcPr>
            <w:vAlign w:val="center"/>
          </w:tcPr>
          <w:p>
            <w:pPr>
              <w:jc w:val="right"/>
            </w:pPr>
            <w:r>
              <w:rPr>
                <w:color w:val="000000"/>
                <w:sz w:val="24"/>
              </w:rPr>
              <w:t>2.13</w:t>
            </w:r>
          </w:p>
        </w:tc>
      </w:tr>
      <w:tr>
        <w:tc>
          <w:tcPr>
            <w:vAlign w:val="center"/>
          </w:tcPr>
          <w:p>
            <w:pPr>
              <w:jc w:val="center"/>
            </w:pPr>
            <w:r>
              <w:rPr>
                <w:color w:val="000000"/>
                <w:sz w:val="24"/>
              </w:rPr>
              <w:t>4</w:t>
            </w:r>
          </w:p>
        </w:tc>
        <w:tc>
          <w:tcPr>
            <w:vAlign w:val="center"/>
          </w:tcPr>
          <w:p>
            <w:pPr>
              <w:jc w:val="center"/>
            </w:pPr>
            <w:r>
              <w:rPr>
                <w:color w:val="000000"/>
                <w:sz w:val="24"/>
              </w:rPr>
              <w:t>101900300</w:t>
            </w:r>
          </w:p>
        </w:tc>
        <w:tc>
          <w:tcPr>
            <w:vAlign w:val="center"/>
          </w:tcPr>
          <w:p>
            <w:pPr>
              <w:jc w:val="center"/>
            </w:pPr>
            <w:r>
              <w:rPr>
                <w:color w:val="000000"/>
                <w:sz w:val="24"/>
              </w:rPr>
              <w:t>19江北国资MTN002</w:t>
            </w:r>
          </w:p>
        </w:tc>
        <w:tc>
          <w:tcPr>
            <w:vAlign w:val="center"/>
          </w:tcPr>
          <w:p>
            <w:pPr>
              <w:jc w:val="right"/>
            </w:pPr>
            <w:r>
              <w:rPr>
                <w:color w:val="000000"/>
                <w:sz w:val="24"/>
              </w:rPr>
              <w:t>500,000</w:t>
            </w:r>
          </w:p>
        </w:tc>
        <w:tc>
          <w:tcPr>
            <w:vAlign w:val="center"/>
          </w:tcPr>
          <w:p>
            <w:pPr>
              <w:jc w:val="right"/>
            </w:pPr>
            <w:r>
              <w:rPr>
                <w:color w:val="000000"/>
                <w:sz w:val="24"/>
              </w:rPr>
              <w:t>51,870,000.00</w:t>
            </w:r>
          </w:p>
        </w:tc>
        <w:tc>
          <w:tcPr>
            <w:vAlign w:val="center"/>
          </w:tcPr>
          <w:p>
            <w:pPr>
              <w:jc w:val="right"/>
            </w:pPr>
            <w:r>
              <w:rPr>
                <w:color w:val="000000"/>
                <w:sz w:val="24"/>
              </w:rPr>
              <w:t>2.06</w:t>
            </w:r>
          </w:p>
        </w:tc>
      </w:tr>
      <w:tr>
        <w:tc>
          <w:tcPr>
            <w:vAlign w:val="center"/>
          </w:tcPr>
          <w:p>
            <w:pPr>
              <w:jc w:val="center"/>
            </w:pPr>
            <w:r>
              <w:rPr>
                <w:color w:val="000000"/>
                <w:sz w:val="24"/>
              </w:rPr>
              <w:t>5</w:t>
            </w:r>
          </w:p>
        </w:tc>
        <w:tc>
          <w:tcPr>
            <w:vAlign w:val="center"/>
          </w:tcPr>
          <w:p>
            <w:pPr>
              <w:jc w:val="center"/>
            </w:pPr>
            <w:r>
              <w:rPr>
                <w:color w:val="000000"/>
                <w:sz w:val="24"/>
              </w:rPr>
              <w:t>101900525</w:t>
            </w:r>
          </w:p>
        </w:tc>
        <w:tc>
          <w:tcPr>
            <w:vAlign w:val="center"/>
          </w:tcPr>
          <w:p>
            <w:pPr>
              <w:jc w:val="center"/>
            </w:pPr>
            <w:r>
              <w:rPr>
                <w:color w:val="000000"/>
                <w:sz w:val="24"/>
              </w:rPr>
              <w:t>19盐城城南MTN002</w:t>
            </w:r>
          </w:p>
        </w:tc>
        <w:tc>
          <w:tcPr>
            <w:vAlign w:val="center"/>
          </w:tcPr>
          <w:p>
            <w:pPr>
              <w:jc w:val="right"/>
            </w:pPr>
            <w:r>
              <w:rPr>
                <w:color w:val="000000"/>
                <w:sz w:val="24"/>
              </w:rPr>
              <w:t>500,000</w:t>
            </w:r>
          </w:p>
        </w:tc>
        <w:tc>
          <w:tcPr>
            <w:vAlign w:val="center"/>
          </w:tcPr>
          <w:p>
            <w:pPr>
              <w:jc w:val="right"/>
            </w:pPr>
            <w:r>
              <w:rPr>
                <w:color w:val="000000"/>
                <w:sz w:val="24"/>
              </w:rPr>
              <w:t>51,500,000.00</w:t>
            </w:r>
          </w:p>
        </w:tc>
        <w:tc>
          <w:tcPr>
            <w:vAlign w:val="center"/>
          </w:tcPr>
          <w:p>
            <w:pPr>
              <w:jc w:val="right"/>
            </w:pPr>
            <w:r>
              <w:rPr>
                <w:color w:val="000000"/>
                <w:sz w:val="24"/>
              </w:rPr>
              <w:t>2.05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11,867.09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499,930.07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48,236,573.68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7,576,497.58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1,374.14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56,326,242.56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交银双轮动债券A/B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交银双轮动债券C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1,516,173,224.43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38,946,507.45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1,068,952,035.81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80,469,585.32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346,988,861.59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11,705,106.18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2,238,136,398.65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107,710,986.59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318,331,736.10</w:t>
            </w:r>
          </w:p>
        </w:tc>
        <w:tc>
          <w:tcPr>
            <w:vAlign w:val="center"/>
          </w:tcPr>
          <w:p>
            <w:pPr>
              <w:jc w:val="center"/>
            </w:pPr>
            <w:r>
              <w:rPr>
                <w:rFonts w:ascii="宋体" w:hAnsi="宋体" w:hint="eastAsia"/>
                <w:color w:val="000000"/>
                <w:kern w:val="0"/>
                <w:szCs w:val="21"/>
              </w:rPr>
              <w:t>3,831,770.90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322,163,507.00</w:t>
            </w:r>
          </w:p>
        </w:tc>
        <w:tc>
          <w:tcPr>
            <w:vAlign w:val="center"/>
          </w:tcPr>
          <w:p>
            <w:pPr>
              <w:jc w:val="center"/>
            </w:pPr>
            <w:r>
              <w:rPr>
                <w:rFonts w:ascii="宋体" w:hAnsi="宋体" w:hint="eastAsia"/>
                <w:color w:val="000000"/>
                <w:kern w:val="0"/>
                <w:szCs w:val="21"/>
              </w:rPr>
              <w:t>13.73%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1、中国证监会批准交银施罗德双轮动债券型证券投资基金募集的文件；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2、《交银施罗德双轮动债券型证券投资基金基金合同》；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3、《交银施罗德双轮动债券型证券投资基金招募说明书》；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4、《交银施罗德双轮动债券型证券投资基金托管协议》；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5、关于募集交银施罗德双轮动债券型证券投资基金之法律意见书；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8、报告期内交银施罗德双轮动债券型证券投资基金在指定报刊上各项公告的原稿。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交银施罗德双轮动债券型证券投资基金2020年第2季度报告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