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交银施罗德瑞思三年封闭运作混合型证券投资基金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二〇二〇年七月二十一日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0431D8" w:rsidRDefault="00B21C6E">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交银瑞思</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501092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501092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r w:rsidRPr="00414345">
              <w:rPr>
                <w:color w:val="000000"/>
                <w:kern w:val="0"/>
                <w:sz w:val="24"/>
                <w:szCs w:val="24"/>
              </w:rPr>
              <w:t xml:space="preserve"> </w:t>
            </w:r>
            <w:r w:rsidRPr="00414345">
              <w:rPr>
                <w:color w:val="000000"/>
                <w:kern w:val="0"/>
                <w:sz w:val="24"/>
                <w:szCs w:val="24"/>
              </w:rPr>
              <w:t>本基金合同生效后，前三年封闭运作，在封闭期内，本基金不办理申购、赎回业务，但投资人可在本基金上市交易后通过上海证券交易所转让基金份额。封闭期届满后，本基金转为上市开放式基金（</w:t>
            </w:r>
            <w:r w:rsidRPr="00414345">
              <w:rPr>
                <w:color w:val="000000"/>
                <w:kern w:val="0"/>
                <w:sz w:val="24"/>
                <w:szCs w:val="24"/>
              </w:rPr>
              <w:t>LOF</w:t>
            </w:r>
            <w:r w:rsidRPr="00414345">
              <w:rPr>
                <w:color w:val="000000"/>
                <w:kern w:val="0"/>
                <w:sz w:val="24"/>
                <w:szCs w:val="24"/>
              </w:rPr>
              <w:t>），可办理场外、场内申购赎回，并继续在上海证券交易所上市交易。</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2020</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4,945,845,223.18</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本基金在严格控制风险的前提下，坚持价值投资的基本理念，充分发挥专业研究与管理能力，力争为投资者提供长期稳健的投资回报。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本基金充分发挥基金管理人的研究优势，以长期历史数据为基础，运用稳健的投资理念和严谨的分析方法对经济基本面进行深入的定量和定性分析，确定基金资产在沪深</w:t>
            </w:r>
            <w:r w:rsidRPr="00414345">
              <w:rPr>
                <w:color w:val="000000"/>
                <w:kern w:val="0"/>
                <w:sz w:val="24"/>
                <w:szCs w:val="24"/>
              </w:rPr>
              <w:t>A</w:t>
            </w:r>
            <w:r w:rsidRPr="00414345">
              <w:rPr>
                <w:color w:val="000000"/>
                <w:kern w:val="0"/>
                <w:sz w:val="24"/>
                <w:szCs w:val="24"/>
              </w:rPr>
              <w:t>股、港股、债券及货币市场工具等各类</w:t>
            </w:r>
            <w:r w:rsidRPr="00414345">
              <w:rPr>
                <w:color w:val="000000"/>
                <w:kern w:val="0"/>
                <w:sz w:val="24"/>
                <w:szCs w:val="24"/>
              </w:rPr>
              <w:lastRenderedPageBreak/>
              <w:t>别资产的初步分配比例。同时，再辅以投资时钟模型以及周期轮动理论</w:t>
            </w:r>
            <w:r w:rsidRPr="00414345">
              <w:rPr>
                <w:color w:val="000000"/>
                <w:kern w:val="0"/>
                <w:sz w:val="24"/>
                <w:szCs w:val="24"/>
              </w:rPr>
              <w:t>“</w:t>
            </w:r>
            <w:r w:rsidRPr="00414345">
              <w:rPr>
                <w:color w:val="000000"/>
                <w:kern w:val="0"/>
                <w:sz w:val="24"/>
                <w:szCs w:val="24"/>
              </w:rPr>
              <w:t>自上而下</w:t>
            </w:r>
            <w:r w:rsidRPr="00414345">
              <w:rPr>
                <w:color w:val="000000"/>
                <w:kern w:val="0"/>
                <w:sz w:val="24"/>
                <w:szCs w:val="24"/>
              </w:rPr>
              <w:t>”</w:t>
            </w:r>
            <w:r w:rsidRPr="00414345">
              <w:rPr>
                <w:color w:val="000000"/>
                <w:kern w:val="0"/>
                <w:sz w:val="24"/>
                <w:szCs w:val="24"/>
              </w:rPr>
              <w:t>对各类资产配比进行灵活调整，及时应对市场变化，在有效规避或控制市场风险的基础上，为投资者获取稳定的投资收益。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×70%+</w:t>
            </w:r>
            <w:r w:rsidRPr="00414345">
              <w:rPr>
                <w:color w:val="000000"/>
                <w:kern w:val="0"/>
                <w:sz w:val="24"/>
                <w:szCs w:val="24"/>
              </w:rPr>
              <w:t>恒生指数收益率</w:t>
            </w:r>
            <w:r w:rsidRPr="00414345">
              <w:rPr>
                <w:color w:val="000000"/>
                <w:kern w:val="0"/>
                <w:sz w:val="24"/>
                <w:szCs w:val="24"/>
              </w:rPr>
              <w:t>×5%+</w:t>
            </w:r>
            <w:r w:rsidRPr="00414345">
              <w:rPr>
                <w:color w:val="000000"/>
                <w:kern w:val="0"/>
                <w:sz w:val="24"/>
                <w:szCs w:val="24"/>
              </w:rPr>
              <w:t>中证综合债券指数收益率</w:t>
            </w:r>
            <w:r w:rsidRPr="00414345">
              <w:rPr>
                <w:color w:val="000000"/>
                <w:kern w:val="0"/>
                <w:sz w:val="24"/>
                <w:szCs w:val="24"/>
              </w:rPr>
              <w:t>×25%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0431D8" w:rsidRDefault="00B21C6E">
            <w:pPr>
              <w:adjustRightInd w:val="0"/>
              <w:spacing w:before="29" w:line="288" w:lineRule="auto"/>
              <w:ind w:left="17"/>
              <w:jc w:val="left"/>
              <w:rPr>
                <w:color w:val="000000"/>
                <w:sz w:val="24"/>
                <w:szCs w:val="24"/>
              </w:rPr>
            </w:pPr>
            <w:r>
              <w:rPr>
                <w:color w:val="000000"/>
                <w:kern w:val="0"/>
                <w:sz w:val="24"/>
                <w:szCs w:val="24"/>
              </w:rPr>
              <w:t>本基金是一只混合型基金，其预期风险和预期收益高于债券型基金和货币市场基金，低于股票型基金。</w:t>
            </w:r>
          </w:p>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本基金可投资港股通标的股票，会面临港股通机制下因投资环境、投资标的、市场制度以及交易规则等差异带来的特有风险。</w:t>
            </w:r>
            <w:r w:rsidRPr="00414345">
              <w:rPr>
                <w:color w:val="000000"/>
                <w:kern w:val="0"/>
                <w:sz w:val="24"/>
                <w:szCs w:val="24"/>
              </w:rPr>
              <w:t xml:space="preserve"> </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B21C6E" w:rsidRPr="00414345" w:rsidTr="00B21C6E">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B21C6E" w:rsidRPr="00414345" w:rsidTr="00B21C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14,814,529.17</w:t>
            </w:r>
          </w:p>
        </w:tc>
      </w:tr>
      <w:tr w:rsidR="00B21C6E" w:rsidRPr="00414345" w:rsidTr="00B21C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407,978,341.89</w:t>
            </w:r>
          </w:p>
        </w:tc>
      </w:tr>
      <w:tr w:rsidR="00B21C6E" w:rsidRPr="00414345" w:rsidTr="00B21C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0.0825</w:t>
            </w:r>
          </w:p>
        </w:tc>
      </w:tr>
      <w:tr w:rsidR="00B21C6E" w:rsidRPr="00414345" w:rsidTr="00B21C6E">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5,237,647,650.36</w:t>
            </w:r>
          </w:p>
        </w:tc>
      </w:tr>
      <w:tr w:rsidR="00B21C6E" w:rsidRPr="00414345" w:rsidTr="00B21C6E">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1.0590</w:t>
            </w:r>
          </w:p>
        </w:tc>
      </w:tr>
    </w:tbl>
    <w:p w:rsidR="000431D8" w:rsidRDefault="00B21C6E">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lastRenderedPageBreak/>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w:t>
            </w:r>
            <w:r w:rsidRPr="00414345">
              <w:rPr>
                <w:color w:val="000000"/>
                <w:sz w:val="24"/>
                <w:szCs w:val="24"/>
              </w:rPr>
              <w:lastRenderedPageBreak/>
              <w:t>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lastRenderedPageBreak/>
              <w:t>业绩比较基准收益率标</w:t>
            </w:r>
            <w:r w:rsidRPr="00414345">
              <w:rPr>
                <w:color w:val="000000"/>
                <w:sz w:val="24"/>
                <w:szCs w:val="24"/>
              </w:rPr>
              <w:lastRenderedPageBreak/>
              <w:t>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lastRenderedPageBreak/>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0431D8">
        <w:trPr>
          <w:jc w:val="center"/>
        </w:trPr>
        <w:tc>
          <w:tcPr>
            <w:tcW w:w="1701" w:type="dxa"/>
            <w:vAlign w:val="center"/>
          </w:tcPr>
          <w:p w:rsidR="000431D8" w:rsidRDefault="00B21C6E">
            <w:pPr>
              <w:jc w:val="left"/>
            </w:pPr>
            <w:r>
              <w:rPr>
                <w:color w:val="000000"/>
                <w:sz w:val="24"/>
                <w:szCs w:val="24"/>
              </w:rPr>
              <w:t>过去三个月</w:t>
            </w:r>
          </w:p>
        </w:tc>
        <w:tc>
          <w:tcPr>
            <w:tcW w:w="1045" w:type="dxa"/>
            <w:vAlign w:val="center"/>
          </w:tcPr>
          <w:p w:rsidR="000431D8" w:rsidRDefault="00B21C6E">
            <w:pPr>
              <w:jc w:val="center"/>
            </w:pPr>
            <w:r>
              <w:rPr>
                <w:color w:val="000000"/>
                <w:sz w:val="24"/>
                <w:szCs w:val="24"/>
              </w:rPr>
              <w:t>8.45%</w:t>
            </w:r>
          </w:p>
        </w:tc>
        <w:tc>
          <w:tcPr>
            <w:tcW w:w="1344" w:type="dxa"/>
            <w:vAlign w:val="center"/>
          </w:tcPr>
          <w:p w:rsidR="000431D8" w:rsidRDefault="00B21C6E">
            <w:pPr>
              <w:jc w:val="center"/>
            </w:pPr>
            <w:r>
              <w:rPr>
                <w:color w:val="000000"/>
                <w:sz w:val="24"/>
                <w:szCs w:val="24"/>
              </w:rPr>
              <w:t>0.55%</w:t>
            </w:r>
          </w:p>
        </w:tc>
        <w:tc>
          <w:tcPr>
            <w:tcW w:w="1194" w:type="dxa"/>
            <w:vAlign w:val="center"/>
          </w:tcPr>
          <w:p w:rsidR="000431D8" w:rsidRDefault="00B21C6E">
            <w:pPr>
              <w:jc w:val="center"/>
            </w:pPr>
            <w:r>
              <w:rPr>
                <w:color w:val="000000"/>
                <w:sz w:val="24"/>
                <w:szCs w:val="24"/>
              </w:rPr>
              <w:t>9.09%</w:t>
            </w:r>
          </w:p>
        </w:tc>
        <w:tc>
          <w:tcPr>
            <w:tcW w:w="1492" w:type="dxa"/>
            <w:vAlign w:val="center"/>
          </w:tcPr>
          <w:p w:rsidR="000431D8" w:rsidRDefault="00B21C6E">
            <w:pPr>
              <w:jc w:val="center"/>
            </w:pPr>
            <w:r>
              <w:rPr>
                <w:color w:val="000000"/>
                <w:sz w:val="24"/>
                <w:szCs w:val="24"/>
              </w:rPr>
              <w:t>0.69%</w:t>
            </w:r>
          </w:p>
        </w:tc>
        <w:tc>
          <w:tcPr>
            <w:tcW w:w="1194" w:type="dxa"/>
            <w:vAlign w:val="center"/>
          </w:tcPr>
          <w:p w:rsidR="000431D8" w:rsidRDefault="00B21C6E">
            <w:pPr>
              <w:jc w:val="center"/>
            </w:pPr>
            <w:r>
              <w:rPr>
                <w:color w:val="000000"/>
                <w:sz w:val="24"/>
                <w:szCs w:val="24"/>
              </w:rPr>
              <w:t>-0.64%</w:t>
            </w:r>
          </w:p>
        </w:tc>
        <w:tc>
          <w:tcPr>
            <w:tcW w:w="898" w:type="dxa"/>
            <w:vAlign w:val="center"/>
          </w:tcPr>
          <w:p w:rsidR="000431D8" w:rsidRDefault="00B21C6E">
            <w:pPr>
              <w:jc w:val="center"/>
            </w:pPr>
            <w:r>
              <w:rPr>
                <w:color w:val="000000"/>
                <w:sz w:val="24"/>
                <w:szCs w:val="24"/>
              </w:rPr>
              <w:t>-0.14%</w:t>
            </w:r>
          </w:p>
        </w:tc>
      </w:tr>
      <w:tr w:rsidR="000431D8">
        <w:trPr>
          <w:jc w:val="center"/>
        </w:trPr>
        <w:tc>
          <w:tcPr>
            <w:tcW w:w="1701" w:type="dxa"/>
            <w:vAlign w:val="center"/>
          </w:tcPr>
          <w:p w:rsidR="000431D8" w:rsidRDefault="00B21C6E">
            <w:pPr>
              <w:jc w:val="left"/>
            </w:pPr>
            <w:r>
              <w:rPr>
                <w:color w:val="000000"/>
                <w:sz w:val="24"/>
                <w:szCs w:val="24"/>
              </w:rPr>
              <w:t>自基金合同生效起至今</w:t>
            </w:r>
          </w:p>
        </w:tc>
        <w:tc>
          <w:tcPr>
            <w:tcW w:w="1045" w:type="dxa"/>
            <w:vAlign w:val="center"/>
          </w:tcPr>
          <w:p w:rsidR="000431D8" w:rsidRDefault="00B21C6E">
            <w:pPr>
              <w:jc w:val="center"/>
            </w:pPr>
            <w:r>
              <w:rPr>
                <w:color w:val="000000"/>
                <w:sz w:val="24"/>
                <w:szCs w:val="24"/>
              </w:rPr>
              <w:t>5.90%</w:t>
            </w:r>
          </w:p>
        </w:tc>
        <w:tc>
          <w:tcPr>
            <w:tcW w:w="1344" w:type="dxa"/>
            <w:vAlign w:val="center"/>
          </w:tcPr>
          <w:p w:rsidR="000431D8" w:rsidRDefault="00B21C6E">
            <w:pPr>
              <w:jc w:val="center"/>
            </w:pPr>
            <w:r>
              <w:rPr>
                <w:color w:val="000000"/>
                <w:sz w:val="24"/>
                <w:szCs w:val="24"/>
              </w:rPr>
              <w:t>0.64%</w:t>
            </w:r>
          </w:p>
        </w:tc>
        <w:tc>
          <w:tcPr>
            <w:tcW w:w="1194" w:type="dxa"/>
            <w:vAlign w:val="center"/>
          </w:tcPr>
          <w:p w:rsidR="000431D8" w:rsidRDefault="00B21C6E">
            <w:pPr>
              <w:jc w:val="center"/>
            </w:pPr>
            <w:r>
              <w:rPr>
                <w:color w:val="000000"/>
                <w:sz w:val="24"/>
                <w:szCs w:val="24"/>
              </w:rPr>
              <w:t>0.11%</w:t>
            </w:r>
          </w:p>
        </w:tc>
        <w:tc>
          <w:tcPr>
            <w:tcW w:w="1492" w:type="dxa"/>
            <w:vAlign w:val="center"/>
          </w:tcPr>
          <w:p w:rsidR="000431D8" w:rsidRDefault="00B21C6E">
            <w:pPr>
              <w:jc w:val="center"/>
            </w:pPr>
            <w:r>
              <w:rPr>
                <w:color w:val="000000"/>
                <w:sz w:val="24"/>
                <w:szCs w:val="24"/>
              </w:rPr>
              <w:t>1.04%</w:t>
            </w:r>
          </w:p>
        </w:tc>
        <w:tc>
          <w:tcPr>
            <w:tcW w:w="1194" w:type="dxa"/>
            <w:vAlign w:val="center"/>
          </w:tcPr>
          <w:p w:rsidR="000431D8" w:rsidRDefault="00B21C6E">
            <w:pPr>
              <w:jc w:val="center"/>
            </w:pPr>
            <w:r>
              <w:rPr>
                <w:color w:val="000000"/>
                <w:sz w:val="24"/>
                <w:szCs w:val="24"/>
              </w:rPr>
              <w:t>5.79%</w:t>
            </w:r>
          </w:p>
        </w:tc>
        <w:tc>
          <w:tcPr>
            <w:tcW w:w="898" w:type="dxa"/>
            <w:vAlign w:val="center"/>
          </w:tcPr>
          <w:p w:rsidR="000431D8" w:rsidRDefault="00B21C6E">
            <w:pPr>
              <w:jc w:val="center"/>
            </w:pPr>
            <w:r>
              <w:rPr>
                <w:color w:val="000000"/>
                <w:sz w:val="24"/>
                <w:szCs w:val="24"/>
              </w:rPr>
              <w:t>-0.40%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交银施罗德瑞思三年封闭运作混合型证券投资基金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2020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2020</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21</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2020</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0431D8">
        <w:trPr>
          <w:jc w:val="center"/>
        </w:trPr>
        <w:tc>
          <w:tcPr>
            <w:tcW w:w="846" w:type="dxa"/>
            <w:vAlign w:val="center"/>
          </w:tcPr>
          <w:p w:rsidR="000431D8" w:rsidRDefault="00B21C6E">
            <w:pPr>
              <w:jc w:val="center"/>
            </w:pPr>
            <w:r>
              <w:rPr>
                <w:color w:val="000000"/>
                <w:sz w:val="24"/>
                <w:szCs w:val="24"/>
              </w:rPr>
              <w:lastRenderedPageBreak/>
              <w:t>沈楠</w:t>
            </w:r>
          </w:p>
        </w:tc>
        <w:tc>
          <w:tcPr>
            <w:tcW w:w="845" w:type="dxa"/>
            <w:vAlign w:val="center"/>
          </w:tcPr>
          <w:p w:rsidR="000431D8" w:rsidRDefault="00B21C6E">
            <w:pPr>
              <w:jc w:val="center"/>
            </w:pPr>
            <w:r>
              <w:rPr>
                <w:color w:val="000000"/>
                <w:sz w:val="24"/>
                <w:szCs w:val="24"/>
              </w:rPr>
              <w:t>交银主题优选混合、交银国企改革灵活配置混合、交银瑞思混合的基金经理</w:t>
            </w:r>
          </w:p>
        </w:tc>
        <w:tc>
          <w:tcPr>
            <w:tcW w:w="1549" w:type="dxa"/>
            <w:vAlign w:val="center"/>
          </w:tcPr>
          <w:p w:rsidR="000431D8" w:rsidRDefault="00B21C6E">
            <w:pPr>
              <w:jc w:val="center"/>
            </w:pPr>
            <w:r>
              <w:rPr>
                <w:color w:val="000000"/>
                <w:sz w:val="24"/>
                <w:szCs w:val="24"/>
              </w:rPr>
              <w:t>2020-02-21</w:t>
            </w:r>
          </w:p>
        </w:tc>
        <w:tc>
          <w:tcPr>
            <w:tcW w:w="1548" w:type="dxa"/>
            <w:vAlign w:val="center"/>
          </w:tcPr>
          <w:p w:rsidR="000431D8" w:rsidRDefault="00B21C6E">
            <w:pPr>
              <w:jc w:val="center"/>
            </w:pPr>
            <w:r>
              <w:rPr>
                <w:color w:val="000000"/>
                <w:sz w:val="24"/>
                <w:szCs w:val="24"/>
              </w:rPr>
              <w:t>-</w:t>
            </w:r>
          </w:p>
        </w:tc>
        <w:tc>
          <w:tcPr>
            <w:tcW w:w="1407" w:type="dxa"/>
            <w:vAlign w:val="center"/>
          </w:tcPr>
          <w:p w:rsidR="000431D8" w:rsidRDefault="00B21C6E">
            <w:pPr>
              <w:jc w:val="center"/>
            </w:pPr>
            <w:r>
              <w:rPr>
                <w:color w:val="000000"/>
                <w:sz w:val="24"/>
                <w:szCs w:val="24"/>
              </w:rPr>
              <w:t>11</w:t>
            </w:r>
            <w:r>
              <w:rPr>
                <w:color w:val="000000"/>
                <w:sz w:val="24"/>
                <w:szCs w:val="24"/>
              </w:rPr>
              <w:t>年</w:t>
            </w:r>
          </w:p>
        </w:tc>
        <w:tc>
          <w:tcPr>
            <w:tcW w:w="2673" w:type="dxa"/>
            <w:vAlign w:val="center"/>
          </w:tcPr>
          <w:p w:rsidR="000431D8" w:rsidRDefault="00B21C6E">
            <w:r>
              <w:rPr>
                <w:color w:val="000000"/>
                <w:sz w:val="24"/>
                <w:szCs w:val="24"/>
              </w:rPr>
              <w:t>沈楠先生，复旦大学硕士。历任长江证券高级分析师，</w:t>
            </w:r>
            <w:r>
              <w:rPr>
                <w:color w:val="000000"/>
                <w:sz w:val="24"/>
                <w:szCs w:val="24"/>
              </w:rPr>
              <w:t>2011</w:t>
            </w:r>
            <w:r>
              <w:rPr>
                <w:color w:val="000000"/>
                <w:sz w:val="24"/>
                <w:szCs w:val="24"/>
              </w:rPr>
              <w:t>年加入交银施罗德基金管理有限公司，历任行业分析师、基金经理助理。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0431D8" w:rsidRDefault="00B21C6E">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0431D8" w:rsidRDefault="00B21C6E">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0431D8" w:rsidRDefault="00B21C6E">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0431D8" w:rsidRDefault="00B21C6E">
      <w:pPr>
        <w:spacing w:before="29" w:line="288" w:lineRule="auto"/>
        <w:ind w:firstLineChars="200" w:firstLine="480"/>
        <w:rPr>
          <w:color w:val="000000"/>
          <w:sz w:val="24"/>
          <w:szCs w:val="24"/>
        </w:rPr>
      </w:pPr>
      <w:r>
        <w:rPr>
          <w:color w:val="000000"/>
          <w:sz w:val="24"/>
          <w:szCs w:val="24"/>
        </w:rPr>
        <w:t>2020</w:t>
      </w:r>
      <w:r>
        <w:rPr>
          <w:color w:val="000000"/>
          <w:sz w:val="24"/>
          <w:szCs w:val="24"/>
        </w:rPr>
        <w:t>年二季度，受全球新冠疫情扩散和反复的影响，经济在供给和需求层面均受到了一定冲击。全球大幅货币宽松和财政手段支持措施的出台缓解了经济下滑预期，我们认为政策在未来一段时间将维持偏宽松格局。在流动性偏松的大环境下，市场有望继续呈现较强的结构性行情。</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报告期内，本基金仍处于建仓期，在此前市场大幅调整中加大仓位，但在后续市场强势反弹中保持谨慎乐观，缓慢进行</w:t>
      </w:r>
      <w:r w:rsidR="00EE11F3">
        <w:rPr>
          <w:rFonts w:hint="eastAsia"/>
          <w:color w:val="000000"/>
          <w:sz w:val="24"/>
          <w:szCs w:val="24"/>
        </w:rPr>
        <w:t>建仓</w:t>
      </w:r>
      <w:r>
        <w:rPr>
          <w:color w:val="000000"/>
          <w:sz w:val="24"/>
          <w:szCs w:val="24"/>
        </w:rPr>
        <w:t>。目前在合理安全垫的基础上结合低估值和长期成长潜力两个维度进行配置，主要集中在先进制造、食品农业、计算机传媒电子以及部分低估值的金融地产家电等行业。</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年三季度，我们认为如果新冠疫情在全球得到有效控制，同时通胀压力减缓，那么可以对市场继续保持乐观，基本面</w:t>
      </w:r>
      <w:r w:rsidRPr="00414345">
        <w:rPr>
          <w:color w:val="000000"/>
          <w:sz w:val="24"/>
          <w:szCs w:val="24"/>
        </w:rPr>
        <w:t>“</w:t>
      </w:r>
      <w:r w:rsidRPr="00414345">
        <w:rPr>
          <w:color w:val="000000"/>
          <w:sz w:val="24"/>
          <w:szCs w:val="24"/>
        </w:rPr>
        <w:t>深坑</w:t>
      </w:r>
      <w:r w:rsidRPr="00414345">
        <w:rPr>
          <w:color w:val="000000"/>
          <w:sz w:val="24"/>
          <w:szCs w:val="24"/>
        </w:rPr>
        <w:t>”</w:t>
      </w:r>
      <w:r w:rsidRPr="00414345">
        <w:rPr>
          <w:color w:val="000000"/>
          <w:sz w:val="24"/>
          <w:szCs w:val="24"/>
        </w:rPr>
        <w:t>后投资机会有望扩散。伴随科创板及创业板中更多优质资产登陆资本市场，上市企业的分化会加大，拥有较好现金流以及商业壁垒的企业仍是我们看好的主要方向。而伴随贸易战、新冠疫情等外部不利因素，我们认为仍需重点关注内需相关，不受外需影响的领域和上市企业。未来我们将更多挖掘受益于进口替代的高端制造业，受益于技术升级的计算机、传媒、通信电子等行业，以及食品、医药等必须消费品，同时关注低估值蓝筹的修复性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lastRenderedPageBreak/>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3,370,918,179.13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63.87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3,370,918,179.13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63.87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1,400,000,000.00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26.52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429,910,069.07</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8.15</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77,355,004.66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5,278,183,252.86</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90,266,689.82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1.72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1,473,138,946.91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72,165,015.09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11,387,568.00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88,993,610.66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225,264,868.71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40,799,187.75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0.78</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357,799,854.98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264,124,014.64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323,993,962.84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112,164,222.46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13,282,083.70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12,830,136.62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0.24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30,196,155.00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52,904,062.40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3,169,310,379.58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60.51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tbl>
      <w:tblPr>
        <w:tblW w:w="8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7"/>
        <w:gridCol w:w="3119"/>
        <w:gridCol w:w="3118"/>
      </w:tblGrid>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行业类别</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公允价值（人民币）</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占基金资产净值比例（</w:t>
            </w:r>
            <w:r w:rsidRPr="00FF0BBF">
              <w:rPr>
                <w:rFonts w:hint="eastAsia"/>
                <w:color w:val="000000"/>
                <w:sz w:val="24"/>
              </w:rPr>
              <w:t>%</w:t>
            </w:r>
            <w:r w:rsidRPr="00FF0BBF">
              <w:rPr>
                <w:rFonts w:hint="eastAsia"/>
                <w:color w:val="000000"/>
                <w:sz w:val="24"/>
              </w:rPr>
              <w:t>）</w:t>
            </w:r>
          </w:p>
        </w:tc>
      </w:tr>
      <w:tr w:rsidR="000431D8">
        <w:trPr>
          <w:jc w:val="center"/>
        </w:trPr>
        <w:tc>
          <w:tcPr>
            <w:tcW w:w="2397" w:type="dxa"/>
            <w:vAlign w:val="center"/>
          </w:tcPr>
          <w:p w:rsidR="000431D8" w:rsidRDefault="00B21C6E">
            <w:pPr>
              <w:jc w:val="center"/>
            </w:pPr>
            <w:r>
              <w:rPr>
                <w:color w:val="000000"/>
                <w:sz w:val="24"/>
              </w:rPr>
              <w:t>金融</w:t>
            </w:r>
          </w:p>
        </w:tc>
        <w:tc>
          <w:tcPr>
            <w:tcW w:w="3119" w:type="dxa"/>
            <w:vAlign w:val="center"/>
          </w:tcPr>
          <w:p w:rsidR="000431D8" w:rsidRDefault="00B21C6E">
            <w:pPr>
              <w:jc w:val="center"/>
            </w:pPr>
            <w:r>
              <w:rPr>
                <w:color w:val="000000"/>
                <w:sz w:val="24"/>
              </w:rPr>
              <w:t>102,001,844.36</w:t>
            </w:r>
          </w:p>
        </w:tc>
        <w:tc>
          <w:tcPr>
            <w:tcW w:w="3118" w:type="dxa"/>
            <w:vAlign w:val="center"/>
          </w:tcPr>
          <w:p w:rsidR="000431D8" w:rsidRDefault="00B21C6E">
            <w:pPr>
              <w:jc w:val="center"/>
            </w:pPr>
            <w:r>
              <w:rPr>
                <w:color w:val="000000"/>
                <w:sz w:val="24"/>
              </w:rPr>
              <w:t>1.95</w:t>
            </w:r>
          </w:p>
        </w:tc>
      </w:tr>
      <w:tr w:rsidR="000431D8">
        <w:trPr>
          <w:jc w:val="center"/>
        </w:trPr>
        <w:tc>
          <w:tcPr>
            <w:tcW w:w="2397" w:type="dxa"/>
            <w:vAlign w:val="center"/>
          </w:tcPr>
          <w:p w:rsidR="000431D8" w:rsidRDefault="00B21C6E">
            <w:pPr>
              <w:jc w:val="center"/>
            </w:pPr>
            <w:r>
              <w:rPr>
                <w:color w:val="000000"/>
                <w:sz w:val="24"/>
              </w:rPr>
              <w:t>医疗保健</w:t>
            </w:r>
          </w:p>
        </w:tc>
        <w:tc>
          <w:tcPr>
            <w:tcW w:w="3119" w:type="dxa"/>
            <w:vAlign w:val="center"/>
          </w:tcPr>
          <w:p w:rsidR="000431D8" w:rsidRDefault="00B21C6E">
            <w:pPr>
              <w:jc w:val="center"/>
            </w:pPr>
            <w:r>
              <w:rPr>
                <w:color w:val="000000"/>
                <w:sz w:val="24"/>
              </w:rPr>
              <w:t>33,431,904.00</w:t>
            </w:r>
          </w:p>
        </w:tc>
        <w:tc>
          <w:tcPr>
            <w:tcW w:w="3118" w:type="dxa"/>
            <w:vAlign w:val="center"/>
          </w:tcPr>
          <w:p w:rsidR="000431D8" w:rsidRDefault="00B21C6E">
            <w:pPr>
              <w:jc w:val="center"/>
            </w:pPr>
            <w:r>
              <w:rPr>
                <w:color w:val="000000"/>
                <w:sz w:val="24"/>
              </w:rPr>
              <w:t>0.64</w:t>
            </w:r>
          </w:p>
        </w:tc>
      </w:tr>
      <w:tr w:rsidR="000431D8">
        <w:trPr>
          <w:jc w:val="center"/>
        </w:trPr>
        <w:tc>
          <w:tcPr>
            <w:tcW w:w="2397" w:type="dxa"/>
            <w:vAlign w:val="center"/>
          </w:tcPr>
          <w:p w:rsidR="000431D8" w:rsidRDefault="00B21C6E">
            <w:pPr>
              <w:jc w:val="center"/>
            </w:pPr>
            <w:r>
              <w:rPr>
                <w:color w:val="000000"/>
                <w:sz w:val="24"/>
              </w:rPr>
              <w:t>非日常生活消费品</w:t>
            </w:r>
          </w:p>
        </w:tc>
        <w:tc>
          <w:tcPr>
            <w:tcW w:w="3119" w:type="dxa"/>
            <w:vAlign w:val="center"/>
          </w:tcPr>
          <w:p w:rsidR="000431D8" w:rsidRDefault="00B21C6E">
            <w:pPr>
              <w:jc w:val="center"/>
            </w:pPr>
            <w:r>
              <w:rPr>
                <w:color w:val="000000"/>
                <w:sz w:val="24"/>
              </w:rPr>
              <w:t>30,289,560.79</w:t>
            </w:r>
          </w:p>
        </w:tc>
        <w:tc>
          <w:tcPr>
            <w:tcW w:w="3118" w:type="dxa"/>
            <w:vAlign w:val="center"/>
          </w:tcPr>
          <w:p w:rsidR="000431D8" w:rsidRDefault="00B21C6E">
            <w:pPr>
              <w:jc w:val="center"/>
            </w:pPr>
            <w:r>
              <w:rPr>
                <w:color w:val="000000"/>
                <w:sz w:val="24"/>
              </w:rPr>
              <w:t>0.58</w:t>
            </w:r>
          </w:p>
        </w:tc>
      </w:tr>
      <w:tr w:rsidR="000431D8">
        <w:trPr>
          <w:jc w:val="center"/>
        </w:trPr>
        <w:tc>
          <w:tcPr>
            <w:tcW w:w="2397" w:type="dxa"/>
            <w:vAlign w:val="center"/>
          </w:tcPr>
          <w:p w:rsidR="000431D8" w:rsidRDefault="00B21C6E">
            <w:pPr>
              <w:jc w:val="center"/>
            </w:pPr>
            <w:r>
              <w:rPr>
                <w:color w:val="000000"/>
                <w:sz w:val="24"/>
              </w:rPr>
              <w:t>公用事业</w:t>
            </w:r>
          </w:p>
        </w:tc>
        <w:tc>
          <w:tcPr>
            <w:tcW w:w="3119" w:type="dxa"/>
            <w:vAlign w:val="center"/>
          </w:tcPr>
          <w:p w:rsidR="000431D8" w:rsidRDefault="00B21C6E">
            <w:pPr>
              <w:jc w:val="center"/>
            </w:pPr>
            <w:r>
              <w:rPr>
                <w:color w:val="000000"/>
                <w:sz w:val="24"/>
              </w:rPr>
              <w:t>29,239,214.40</w:t>
            </w:r>
          </w:p>
        </w:tc>
        <w:tc>
          <w:tcPr>
            <w:tcW w:w="3118" w:type="dxa"/>
            <w:vAlign w:val="center"/>
          </w:tcPr>
          <w:p w:rsidR="000431D8" w:rsidRDefault="00B21C6E">
            <w:pPr>
              <w:jc w:val="center"/>
            </w:pPr>
            <w:r>
              <w:rPr>
                <w:color w:val="000000"/>
                <w:sz w:val="24"/>
              </w:rPr>
              <w:t>0.56</w:t>
            </w:r>
          </w:p>
        </w:tc>
      </w:tr>
      <w:tr w:rsidR="000431D8">
        <w:trPr>
          <w:jc w:val="center"/>
        </w:trPr>
        <w:tc>
          <w:tcPr>
            <w:tcW w:w="2397" w:type="dxa"/>
            <w:vAlign w:val="center"/>
          </w:tcPr>
          <w:p w:rsidR="000431D8" w:rsidRDefault="00B21C6E">
            <w:pPr>
              <w:jc w:val="center"/>
            </w:pPr>
            <w:r>
              <w:rPr>
                <w:color w:val="000000"/>
                <w:sz w:val="24"/>
              </w:rPr>
              <w:t>工业</w:t>
            </w:r>
          </w:p>
        </w:tc>
        <w:tc>
          <w:tcPr>
            <w:tcW w:w="3119" w:type="dxa"/>
            <w:vAlign w:val="center"/>
          </w:tcPr>
          <w:p w:rsidR="000431D8" w:rsidRDefault="00B21C6E">
            <w:pPr>
              <w:jc w:val="center"/>
            </w:pPr>
            <w:r>
              <w:rPr>
                <w:color w:val="000000"/>
                <w:sz w:val="24"/>
              </w:rPr>
              <w:t>6,645,276.00</w:t>
            </w:r>
          </w:p>
        </w:tc>
        <w:tc>
          <w:tcPr>
            <w:tcW w:w="3118" w:type="dxa"/>
            <w:vAlign w:val="center"/>
          </w:tcPr>
          <w:p w:rsidR="000431D8" w:rsidRDefault="00B21C6E">
            <w:pPr>
              <w:jc w:val="center"/>
            </w:pPr>
            <w:r>
              <w:rPr>
                <w:color w:val="000000"/>
                <w:sz w:val="24"/>
              </w:rPr>
              <w:t>0.13</w:t>
            </w:r>
          </w:p>
        </w:tc>
      </w:tr>
      <w:tr w:rsidR="00F51C4E" w:rsidRPr="00FF0BBF" w:rsidTr="00AD114B">
        <w:trPr>
          <w:jc w:val="center"/>
        </w:trPr>
        <w:tc>
          <w:tcPr>
            <w:tcW w:w="2397"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合计</w:t>
            </w:r>
          </w:p>
        </w:tc>
        <w:tc>
          <w:tcPr>
            <w:tcW w:w="3119"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201,607,799.55</w:t>
            </w:r>
          </w:p>
        </w:tc>
        <w:tc>
          <w:tcPr>
            <w:tcW w:w="3118" w:type="dxa"/>
            <w:vAlign w:val="center"/>
          </w:tcPr>
          <w:p w:rsidR="00F51C4E" w:rsidRPr="00FF0BBF" w:rsidRDefault="00F51C4E" w:rsidP="00AD114B">
            <w:pPr>
              <w:spacing w:before="29" w:line="360" w:lineRule="auto"/>
              <w:ind w:left="17"/>
              <w:jc w:val="center"/>
              <w:rPr>
                <w:color w:val="000000"/>
                <w:sz w:val="24"/>
              </w:rPr>
            </w:pPr>
            <w:r w:rsidRPr="00FF0BBF">
              <w:rPr>
                <w:rFonts w:hint="eastAsia"/>
                <w:color w:val="000000"/>
                <w:sz w:val="24"/>
              </w:rPr>
              <w:t>3.85</w:t>
            </w:r>
          </w:p>
        </w:tc>
      </w:tr>
    </w:tbl>
    <w:p w:rsidR="00F51C4E" w:rsidRDefault="00F51C4E" w:rsidP="00F51C4E">
      <w:pPr>
        <w:spacing w:before="29" w:line="360" w:lineRule="auto"/>
        <w:ind w:left="17"/>
        <w:rPr>
          <w:color w:val="000000"/>
          <w:sz w:val="24"/>
        </w:rPr>
      </w:pPr>
      <w:r w:rsidRPr="00FF0BBF">
        <w:rPr>
          <w:color w:val="000000"/>
          <w:sz w:val="24"/>
        </w:rPr>
        <w:t>注：以上分类采用全球行业分类标准（</w:t>
      </w:r>
      <w:r w:rsidRPr="00FF0BBF">
        <w:rPr>
          <w:color w:val="000000"/>
          <w:sz w:val="24"/>
        </w:rPr>
        <w:t>GICS</w:t>
      </w:r>
      <w:r w:rsidRPr="00FF0BBF">
        <w:rPr>
          <w:color w:val="000000"/>
          <w:sz w:val="24"/>
        </w:rPr>
        <w:t>）。</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0431D8">
        <w:trPr>
          <w:jc w:val="center"/>
        </w:trPr>
        <w:tc>
          <w:tcPr>
            <w:tcW w:w="855" w:type="dxa"/>
            <w:vAlign w:val="center"/>
          </w:tcPr>
          <w:p w:rsidR="000431D8" w:rsidRDefault="00B21C6E">
            <w:pPr>
              <w:jc w:val="center"/>
            </w:pPr>
            <w:r>
              <w:rPr>
                <w:color w:val="000000"/>
                <w:sz w:val="24"/>
                <w:szCs w:val="24"/>
              </w:rPr>
              <w:t>1</w:t>
            </w:r>
          </w:p>
        </w:tc>
        <w:tc>
          <w:tcPr>
            <w:tcW w:w="1334" w:type="dxa"/>
            <w:vAlign w:val="center"/>
          </w:tcPr>
          <w:p w:rsidR="000431D8" w:rsidRDefault="00B21C6E">
            <w:pPr>
              <w:jc w:val="center"/>
            </w:pPr>
            <w:r>
              <w:rPr>
                <w:color w:val="000000"/>
                <w:sz w:val="24"/>
                <w:szCs w:val="24"/>
              </w:rPr>
              <w:t>600383</w:t>
            </w:r>
          </w:p>
        </w:tc>
        <w:tc>
          <w:tcPr>
            <w:tcW w:w="1777" w:type="dxa"/>
            <w:vAlign w:val="center"/>
          </w:tcPr>
          <w:p w:rsidR="000431D8" w:rsidRDefault="00B21C6E">
            <w:pPr>
              <w:jc w:val="center"/>
            </w:pPr>
            <w:r>
              <w:rPr>
                <w:color w:val="000000"/>
                <w:sz w:val="24"/>
                <w:szCs w:val="24"/>
              </w:rPr>
              <w:t>金地集团</w:t>
            </w:r>
          </w:p>
        </w:tc>
        <w:tc>
          <w:tcPr>
            <w:tcW w:w="1334" w:type="dxa"/>
            <w:vAlign w:val="center"/>
          </w:tcPr>
          <w:p w:rsidR="000431D8" w:rsidRDefault="00B21C6E">
            <w:pPr>
              <w:jc w:val="right"/>
            </w:pPr>
            <w:r>
              <w:rPr>
                <w:color w:val="000000"/>
                <w:sz w:val="24"/>
                <w:szCs w:val="24"/>
              </w:rPr>
              <w:t>11,678,934</w:t>
            </w:r>
          </w:p>
        </w:tc>
        <w:tc>
          <w:tcPr>
            <w:tcW w:w="1924" w:type="dxa"/>
            <w:vAlign w:val="center"/>
          </w:tcPr>
          <w:p w:rsidR="000431D8" w:rsidRDefault="00B21C6E">
            <w:pPr>
              <w:jc w:val="right"/>
            </w:pPr>
            <w:r>
              <w:rPr>
                <w:color w:val="000000"/>
                <w:sz w:val="24"/>
                <w:szCs w:val="24"/>
              </w:rPr>
              <w:t>160,001,395.80</w:t>
            </w:r>
          </w:p>
        </w:tc>
        <w:tc>
          <w:tcPr>
            <w:tcW w:w="1644" w:type="dxa"/>
            <w:vAlign w:val="center"/>
          </w:tcPr>
          <w:p w:rsidR="000431D8" w:rsidRDefault="00B21C6E">
            <w:pPr>
              <w:jc w:val="right"/>
            </w:pPr>
            <w:r>
              <w:rPr>
                <w:color w:val="000000"/>
                <w:sz w:val="24"/>
                <w:szCs w:val="24"/>
              </w:rPr>
              <w:t>3.05</w:t>
            </w:r>
          </w:p>
        </w:tc>
      </w:tr>
      <w:tr w:rsidR="000431D8">
        <w:trPr>
          <w:jc w:val="center"/>
        </w:trPr>
        <w:tc>
          <w:tcPr>
            <w:tcW w:w="855" w:type="dxa"/>
            <w:vAlign w:val="center"/>
          </w:tcPr>
          <w:p w:rsidR="000431D8" w:rsidRDefault="00B21C6E">
            <w:pPr>
              <w:jc w:val="center"/>
            </w:pPr>
            <w:r>
              <w:rPr>
                <w:color w:val="000000"/>
                <w:sz w:val="24"/>
                <w:szCs w:val="24"/>
              </w:rPr>
              <w:t>2</w:t>
            </w:r>
          </w:p>
        </w:tc>
        <w:tc>
          <w:tcPr>
            <w:tcW w:w="1334" w:type="dxa"/>
            <w:vAlign w:val="center"/>
          </w:tcPr>
          <w:p w:rsidR="000431D8" w:rsidRDefault="00B21C6E">
            <w:pPr>
              <w:jc w:val="center"/>
            </w:pPr>
            <w:r>
              <w:rPr>
                <w:color w:val="000000"/>
                <w:sz w:val="24"/>
                <w:szCs w:val="24"/>
              </w:rPr>
              <w:t>600690</w:t>
            </w:r>
          </w:p>
        </w:tc>
        <w:tc>
          <w:tcPr>
            <w:tcW w:w="1777" w:type="dxa"/>
            <w:vAlign w:val="center"/>
          </w:tcPr>
          <w:p w:rsidR="000431D8" w:rsidRDefault="00B21C6E">
            <w:pPr>
              <w:jc w:val="center"/>
            </w:pPr>
            <w:r>
              <w:rPr>
                <w:color w:val="000000"/>
                <w:sz w:val="24"/>
                <w:szCs w:val="24"/>
              </w:rPr>
              <w:t>海尔智家</w:t>
            </w:r>
          </w:p>
        </w:tc>
        <w:tc>
          <w:tcPr>
            <w:tcW w:w="1334" w:type="dxa"/>
            <w:vAlign w:val="center"/>
          </w:tcPr>
          <w:p w:rsidR="000431D8" w:rsidRDefault="00B21C6E">
            <w:pPr>
              <w:jc w:val="right"/>
            </w:pPr>
            <w:r>
              <w:rPr>
                <w:color w:val="000000"/>
                <w:sz w:val="24"/>
                <w:szCs w:val="24"/>
              </w:rPr>
              <w:t>7,289,647</w:t>
            </w:r>
          </w:p>
        </w:tc>
        <w:tc>
          <w:tcPr>
            <w:tcW w:w="1924" w:type="dxa"/>
            <w:vAlign w:val="center"/>
          </w:tcPr>
          <w:p w:rsidR="000431D8" w:rsidRDefault="00B21C6E">
            <w:pPr>
              <w:jc w:val="right"/>
            </w:pPr>
            <w:r>
              <w:rPr>
                <w:color w:val="000000"/>
                <w:sz w:val="24"/>
                <w:szCs w:val="24"/>
              </w:rPr>
              <w:t>129,026,751.90</w:t>
            </w:r>
          </w:p>
        </w:tc>
        <w:tc>
          <w:tcPr>
            <w:tcW w:w="1644" w:type="dxa"/>
            <w:vAlign w:val="center"/>
          </w:tcPr>
          <w:p w:rsidR="000431D8" w:rsidRDefault="00B21C6E">
            <w:pPr>
              <w:jc w:val="right"/>
            </w:pPr>
            <w:r>
              <w:rPr>
                <w:color w:val="000000"/>
                <w:sz w:val="24"/>
                <w:szCs w:val="24"/>
              </w:rPr>
              <w:t>2.46</w:t>
            </w:r>
          </w:p>
        </w:tc>
      </w:tr>
      <w:tr w:rsidR="000431D8">
        <w:trPr>
          <w:jc w:val="center"/>
        </w:trPr>
        <w:tc>
          <w:tcPr>
            <w:tcW w:w="855" w:type="dxa"/>
            <w:vAlign w:val="center"/>
          </w:tcPr>
          <w:p w:rsidR="000431D8" w:rsidRDefault="00B21C6E">
            <w:pPr>
              <w:jc w:val="center"/>
            </w:pPr>
            <w:r>
              <w:rPr>
                <w:color w:val="000000"/>
                <w:sz w:val="24"/>
                <w:szCs w:val="24"/>
              </w:rPr>
              <w:t>3</w:t>
            </w:r>
          </w:p>
        </w:tc>
        <w:tc>
          <w:tcPr>
            <w:tcW w:w="1334" w:type="dxa"/>
            <w:vAlign w:val="center"/>
          </w:tcPr>
          <w:p w:rsidR="000431D8" w:rsidRDefault="00B21C6E">
            <w:pPr>
              <w:jc w:val="center"/>
            </w:pPr>
            <w:r>
              <w:rPr>
                <w:color w:val="000000"/>
                <w:sz w:val="24"/>
                <w:szCs w:val="24"/>
              </w:rPr>
              <w:t>002439</w:t>
            </w:r>
          </w:p>
        </w:tc>
        <w:tc>
          <w:tcPr>
            <w:tcW w:w="1777" w:type="dxa"/>
            <w:vAlign w:val="center"/>
          </w:tcPr>
          <w:p w:rsidR="000431D8" w:rsidRDefault="00B21C6E">
            <w:pPr>
              <w:jc w:val="center"/>
            </w:pPr>
            <w:r>
              <w:rPr>
                <w:color w:val="000000"/>
                <w:sz w:val="24"/>
                <w:szCs w:val="24"/>
              </w:rPr>
              <w:t>启明星辰</w:t>
            </w:r>
          </w:p>
        </w:tc>
        <w:tc>
          <w:tcPr>
            <w:tcW w:w="1334" w:type="dxa"/>
            <w:vAlign w:val="center"/>
          </w:tcPr>
          <w:p w:rsidR="000431D8" w:rsidRDefault="00B21C6E">
            <w:pPr>
              <w:jc w:val="right"/>
            </w:pPr>
            <w:r>
              <w:rPr>
                <w:color w:val="000000"/>
                <w:sz w:val="24"/>
                <w:szCs w:val="24"/>
              </w:rPr>
              <w:t>3,015,832</w:t>
            </w:r>
          </w:p>
        </w:tc>
        <w:tc>
          <w:tcPr>
            <w:tcW w:w="1924" w:type="dxa"/>
            <w:vAlign w:val="center"/>
          </w:tcPr>
          <w:p w:rsidR="000431D8" w:rsidRDefault="00B21C6E">
            <w:pPr>
              <w:jc w:val="right"/>
            </w:pPr>
            <w:r>
              <w:rPr>
                <w:color w:val="000000"/>
                <w:sz w:val="24"/>
                <w:szCs w:val="24"/>
              </w:rPr>
              <w:t>126,876,052.24</w:t>
            </w:r>
          </w:p>
        </w:tc>
        <w:tc>
          <w:tcPr>
            <w:tcW w:w="1644" w:type="dxa"/>
            <w:vAlign w:val="center"/>
          </w:tcPr>
          <w:p w:rsidR="000431D8" w:rsidRDefault="00B21C6E">
            <w:pPr>
              <w:jc w:val="right"/>
            </w:pPr>
            <w:r>
              <w:rPr>
                <w:color w:val="000000"/>
                <w:sz w:val="24"/>
                <w:szCs w:val="24"/>
              </w:rPr>
              <w:t>2.42</w:t>
            </w:r>
          </w:p>
        </w:tc>
      </w:tr>
      <w:tr w:rsidR="000431D8">
        <w:trPr>
          <w:jc w:val="center"/>
        </w:trPr>
        <w:tc>
          <w:tcPr>
            <w:tcW w:w="855" w:type="dxa"/>
            <w:vAlign w:val="center"/>
          </w:tcPr>
          <w:p w:rsidR="000431D8" w:rsidRDefault="00B21C6E">
            <w:pPr>
              <w:jc w:val="center"/>
            </w:pPr>
            <w:r>
              <w:rPr>
                <w:color w:val="000000"/>
                <w:sz w:val="24"/>
                <w:szCs w:val="24"/>
              </w:rPr>
              <w:t>4</w:t>
            </w:r>
          </w:p>
        </w:tc>
        <w:tc>
          <w:tcPr>
            <w:tcW w:w="1334" w:type="dxa"/>
            <w:vAlign w:val="center"/>
          </w:tcPr>
          <w:p w:rsidR="000431D8" w:rsidRDefault="00B21C6E">
            <w:pPr>
              <w:jc w:val="center"/>
            </w:pPr>
            <w:r>
              <w:rPr>
                <w:color w:val="000000"/>
                <w:sz w:val="24"/>
                <w:szCs w:val="24"/>
              </w:rPr>
              <w:t>601166</w:t>
            </w:r>
          </w:p>
        </w:tc>
        <w:tc>
          <w:tcPr>
            <w:tcW w:w="1777" w:type="dxa"/>
            <w:vAlign w:val="center"/>
          </w:tcPr>
          <w:p w:rsidR="000431D8" w:rsidRDefault="00B21C6E">
            <w:pPr>
              <w:jc w:val="center"/>
            </w:pPr>
            <w:r>
              <w:rPr>
                <w:color w:val="000000"/>
                <w:sz w:val="24"/>
                <w:szCs w:val="24"/>
              </w:rPr>
              <w:t>兴业银行</w:t>
            </w:r>
          </w:p>
        </w:tc>
        <w:tc>
          <w:tcPr>
            <w:tcW w:w="1334" w:type="dxa"/>
            <w:vAlign w:val="center"/>
          </w:tcPr>
          <w:p w:rsidR="000431D8" w:rsidRDefault="00B21C6E">
            <w:pPr>
              <w:jc w:val="right"/>
            </w:pPr>
            <w:r>
              <w:rPr>
                <w:color w:val="000000"/>
                <w:sz w:val="24"/>
                <w:szCs w:val="24"/>
              </w:rPr>
              <w:t>6,366,600</w:t>
            </w:r>
          </w:p>
        </w:tc>
        <w:tc>
          <w:tcPr>
            <w:tcW w:w="1924" w:type="dxa"/>
            <w:vAlign w:val="center"/>
          </w:tcPr>
          <w:p w:rsidR="000431D8" w:rsidRDefault="00B21C6E">
            <w:pPr>
              <w:jc w:val="right"/>
            </w:pPr>
            <w:r>
              <w:rPr>
                <w:color w:val="000000"/>
                <w:sz w:val="24"/>
                <w:szCs w:val="24"/>
              </w:rPr>
              <w:t>100,464,948.00</w:t>
            </w:r>
          </w:p>
        </w:tc>
        <w:tc>
          <w:tcPr>
            <w:tcW w:w="1644" w:type="dxa"/>
            <w:vAlign w:val="center"/>
          </w:tcPr>
          <w:p w:rsidR="000431D8" w:rsidRDefault="00B21C6E">
            <w:pPr>
              <w:jc w:val="right"/>
            </w:pPr>
            <w:r>
              <w:rPr>
                <w:color w:val="000000"/>
                <w:sz w:val="24"/>
                <w:szCs w:val="24"/>
              </w:rPr>
              <w:t>1.92</w:t>
            </w:r>
          </w:p>
        </w:tc>
      </w:tr>
      <w:tr w:rsidR="000431D8">
        <w:trPr>
          <w:jc w:val="center"/>
        </w:trPr>
        <w:tc>
          <w:tcPr>
            <w:tcW w:w="855" w:type="dxa"/>
            <w:vAlign w:val="center"/>
          </w:tcPr>
          <w:p w:rsidR="000431D8" w:rsidRDefault="00B21C6E">
            <w:pPr>
              <w:jc w:val="center"/>
            </w:pPr>
            <w:r>
              <w:rPr>
                <w:color w:val="000000"/>
                <w:sz w:val="24"/>
                <w:szCs w:val="24"/>
              </w:rPr>
              <w:lastRenderedPageBreak/>
              <w:t>5</w:t>
            </w:r>
          </w:p>
        </w:tc>
        <w:tc>
          <w:tcPr>
            <w:tcW w:w="1334" w:type="dxa"/>
            <w:vAlign w:val="center"/>
          </w:tcPr>
          <w:p w:rsidR="000431D8" w:rsidRDefault="00B21C6E">
            <w:pPr>
              <w:jc w:val="center"/>
            </w:pPr>
            <w:r>
              <w:rPr>
                <w:color w:val="000000"/>
                <w:sz w:val="24"/>
                <w:szCs w:val="24"/>
              </w:rPr>
              <w:t>603195</w:t>
            </w:r>
          </w:p>
        </w:tc>
        <w:tc>
          <w:tcPr>
            <w:tcW w:w="1777" w:type="dxa"/>
            <w:vAlign w:val="center"/>
          </w:tcPr>
          <w:p w:rsidR="000431D8" w:rsidRDefault="00B21C6E">
            <w:pPr>
              <w:jc w:val="center"/>
            </w:pPr>
            <w:r>
              <w:rPr>
                <w:color w:val="000000"/>
                <w:sz w:val="24"/>
                <w:szCs w:val="24"/>
              </w:rPr>
              <w:t>公牛集团</w:t>
            </w:r>
          </w:p>
        </w:tc>
        <w:tc>
          <w:tcPr>
            <w:tcW w:w="1334" w:type="dxa"/>
            <w:vAlign w:val="center"/>
          </w:tcPr>
          <w:p w:rsidR="000431D8" w:rsidRDefault="00B21C6E">
            <w:pPr>
              <w:jc w:val="right"/>
            </w:pPr>
            <w:r>
              <w:rPr>
                <w:color w:val="000000"/>
                <w:sz w:val="24"/>
                <w:szCs w:val="24"/>
              </w:rPr>
              <w:t>616,659</w:t>
            </w:r>
          </w:p>
        </w:tc>
        <w:tc>
          <w:tcPr>
            <w:tcW w:w="1924" w:type="dxa"/>
            <w:vAlign w:val="center"/>
          </w:tcPr>
          <w:p w:rsidR="000431D8" w:rsidRDefault="00B21C6E">
            <w:pPr>
              <w:jc w:val="right"/>
            </w:pPr>
            <w:r>
              <w:rPr>
                <w:color w:val="000000"/>
                <w:sz w:val="24"/>
                <w:szCs w:val="24"/>
              </w:rPr>
              <w:t>99,066,268.35</w:t>
            </w:r>
          </w:p>
        </w:tc>
        <w:tc>
          <w:tcPr>
            <w:tcW w:w="1644" w:type="dxa"/>
            <w:vAlign w:val="center"/>
          </w:tcPr>
          <w:p w:rsidR="000431D8" w:rsidRDefault="00B21C6E">
            <w:pPr>
              <w:jc w:val="right"/>
            </w:pPr>
            <w:r>
              <w:rPr>
                <w:color w:val="000000"/>
                <w:sz w:val="24"/>
                <w:szCs w:val="24"/>
              </w:rPr>
              <w:t>1.89</w:t>
            </w:r>
          </w:p>
        </w:tc>
      </w:tr>
      <w:tr w:rsidR="000431D8">
        <w:trPr>
          <w:jc w:val="center"/>
        </w:trPr>
        <w:tc>
          <w:tcPr>
            <w:tcW w:w="855" w:type="dxa"/>
            <w:vAlign w:val="center"/>
          </w:tcPr>
          <w:p w:rsidR="000431D8" w:rsidRDefault="00B21C6E">
            <w:pPr>
              <w:jc w:val="center"/>
            </w:pPr>
            <w:r>
              <w:rPr>
                <w:color w:val="000000"/>
                <w:sz w:val="24"/>
                <w:szCs w:val="24"/>
              </w:rPr>
              <w:t>6</w:t>
            </w:r>
          </w:p>
        </w:tc>
        <w:tc>
          <w:tcPr>
            <w:tcW w:w="1334" w:type="dxa"/>
            <w:vAlign w:val="center"/>
          </w:tcPr>
          <w:p w:rsidR="000431D8" w:rsidRDefault="00B21C6E">
            <w:pPr>
              <w:jc w:val="center"/>
            </w:pPr>
            <w:r>
              <w:rPr>
                <w:color w:val="000000"/>
                <w:sz w:val="24"/>
                <w:szCs w:val="24"/>
              </w:rPr>
              <w:t>600048</w:t>
            </w:r>
          </w:p>
        </w:tc>
        <w:tc>
          <w:tcPr>
            <w:tcW w:w="1777" w:type="dxa"/>
            <w:vAlign w:val="center"/>
          </w:tcPr>
          <w:p w:rsidR="000431D8" w:rsidRDefault="00B21C6E">
            <w:pPr>
              <w:jc w:val="center"/>
            </w:pPr>
            <w:r>
              <w:rPr>
                <w:color w:val="000000"/>
                <w:sz w:val="24"/>
                <w:szCs w:val="24"/>
              </w:rPr>
              <w:t>保利地产</w:t>
            </w:r>
          </w:p>
        </w:tc>
        <w:tc>
          <w:tcPr>
            <w:tcW w:w="1334" w:type="dxa"/>
            <w:vAlign w:val="center"/>
          </w:tcPr>
          <w:p w:rsidR="000431D8" w:rsidRDefault="00B21C6E">
            <w:pPr>
              <w:jc w:val="right"/>
            </w:pPr>
            <w:r>
              <w:rPr>
                <w:color w:val="000000"/>
                <w:sz w:val="24"/>
                <w:szCs w:val="24"/>
              </w:rPr>
              <w:t>6,673,400</w:t>
            </w:r>
          </w:p>
        </w:tc>
        <w:tc>
          <w:tcPr>
            <w:tcW w:w="1924" w:type="dxa"/>
            <w:vAlign w:val="center"/>
          </w:tcPr>
          <w:p w:rsidR="000431D8" w:rsidRDefault="00B21C6E">
            <w:pPr>
              <w:jc w:val="right"/>
            </w:pPr>
            <w:r>
              <w:rPr>
                <w:color w:val="000000"/>
                <w:sz w:val="24"/>
                <w:szCs w:val="24"/>
              </w:rPr>
              <w:t>98,632,852.00</w:t>
            </w:r>
          </w:p>
        </w:tc>
        <w:tc>
          <w:tcPr>
            <w:tcW w:w="1644" w:type="dxa"/>
            <w:vAlign w:val="center"/>
          </w:tcPr>
          <w:p w:rsidR="000431D8" w:rsidRDefault="00B21C6E">
            <w:pPr>
              <w:jc w:val="right"/>
            </w:pPr>
            <w:r>
              <w:rPr>
                <w:color w:val="000000"/>
                <w:sz w:val="24"/>
                <w:szCs w:val="24"/>
              </w:rPr>
              <w:t>1.88</w:t>
            </w:r>
          </w:p>
        </w:tc>
      </w:tr>
      <w:tr w:rsidR="000431D8">
        <w:trPr>
          <w:jc w:val="center"/>
        </w:trPr>
        <w:tc>
          <w:tcPr>
            <w:tcW w:w="855" w:type="dxa"/>
            <w:vAlign w:val="center"/>
          </w:tcPr>
          <w:p w:rsidR="000431D8" w:rsidRDefault="00B21C6E">
            <w:pPr>
              <w:jc w:val="center"/>
            </w:pPr>
            <w:r>
              <w:rPr>
                <w:color w:val="000000"/>
                <w:sz w:val="24"/>
                <w:szCs w:val="24"/>
              </w:rPr>
              <w:t>7</w:t>
            </w:r>
          </w:p>
        </w:tc>
        <w:tc>
          <w:tcPr>
            <w:tcW w:w="1334" w:type="dxa"/>
            <w:vAlign w:val="center"/>
          </w:tcPr>
          <w:p w:rsidR="000431D8" w:rsidRDefault="00B21C6E">
            <w:pPr>
              <w:jc w:val="center"/>
            </w:pPr>
            <w:r>
              <w:rPr>
                <w:color w:val="000000"/>
                <w:sz w:val="24"/>
                <w:szCs w:val="24"/>
              </w:rPr>
              <w:t>600967</w:t>
            </w:r>
          </w:p>
        </w:tc>
        <w:tc>
          <w:tcPr>
            <w:tcW w:w="1777" w:type="dxa"/>
            <w:vAlign w:val="center"/>
          </w:tcPr>
          <w:p w:rsidR="000431D8" w:rsidRDefault="00B21C6E">
            <w:pPr>
              <w:jc w:val="center"/>
            </w:pPr>
            <w:r>
              <w:rPr>
                <w:color w:val="000000"/>
                <w:sz w:val="24"/>
                <w:szCs w:val="24"/>
              </w:rPr>
              <w:t>内蒙一机</w:t>
            </w:r>
          </w:p>
        </w:tc>
        <w:tc>
          <w:tcPr>
            <w:tcW w:w="1334" w:type="dxa"/>
            <w:vAlign w:val="center"/>
          </w:tcPr>
          <w:p w:rsidR="000431D8" w:rsidRDefault="00B21C6E">
            <w:pPr>
              <w:jc w:val="right"/>
            </w:pPr>
            <w:r>
              <w:rPr>
                <w:color w:val="000000"/>
                <w:sz w:val="24"/>
                <w:szCs w:val="24"/>
              </w:rPr>
              <w:t>8,020,731</w:t>
            </w:r>
          </w:p>
        </w:tc>
        <w:tc>
          <w:tcPr>
            <w:tcW w:w="1924" w:type="dxa"/>
            <w:vAlign w:val="center"/>
          </w:tcPr>
          <w:p w:rsidR="000431D8" w:rsidRDefault="00B21C6E">
            <w:pPr>
              <w:jc w:val="right"/>
            </w:pPr>
            <w:r>
              <w:rPr>
                <w:color w:val="000000"/>
                <w:sz w:val="24"/>
                <w:szCs w:val="24"/>
              </w:rPr>
              <w:t>83,335,395.09</w:t>
            </w:r>
          </w:p>
        </w:tc>
        <w:tc>
          <w:tcPr>
            <w:tcW w:w="1644" w:type="dxa"/>
            <w:vAlign w:val="center"/>
          </w:tcPr>
          <w:p w:rsidR="000431D8" w:rsidRDefault="00B21C6E">
            <w:pPr>
              <w:jc w:val="right"/>
            </w:pPr>
            <w:r>
              <w:rPr>
                <w:color w:val="000000"/>
                <w:sz w:val="24"/>
                <w:szCs w:val="24"/>
              </w:rPr>
              <w:t>1.59</w:t>
            </w:r>
          </w:p>
        </w:tc>
      </w:tr>
      <w:tr w:rsidR="000431D8">
        <w:trPr>
          <w:jc w:val="center"/>
        </w:trPr>
        <w:tc>
          <w:tcPr>
            <w:tcW w:w="855" w:type="dxa"/>
            <w:vAlign w:val="center"/>
          </w:tcPr>
          <w:p w:rsidR="000431D8" w:rsidRDefault="00B21C6E">
            <w:pPr>
              <w:jc w:val="center"/>
            </w:pPr>
            <w:r>
              <w:rPr>
                <w:color w:val="000000"/>
                <w:sz w:val="24"/>
                <w:szCs w:val="24"/>
              </w:rPr>
              <w:t>8</w:t>
            </w:r>
          </w:p>
        </w:tc>
        <w:tc>
          <w:tcPr>
            <w:tcW w:w="1334" w:type="dxa"/>
            <w:vAlign w:val="center"/>
          </w:tcPr>
          <w:p w:rsidR="000431D8" w:rsidRDefault="00B21C6E">
            <w:pPr>
              <w:jc w:val="center"/>
            </w:pPr>
            <w:r>
              <w:rPr>
                <w:color w:val="000000"/>
                <w:sz w:val="24"/>
                <w:szCs w:val="24"/>
              </w:rPr>
              <w:t>300034</w:t>
            </w:r>
          </w:p>
        </w:tc>
        <w:tc>
          <w:tcPr>
            <w:tcW w:w="1777" w:type="dxa"/>
            <w:vAlign w:val="center"/>
          </w:tcPr>
          <w:p w:rsidR="000431D8" w:rsidRDefault="00B21C6E">
            <w:pPr>
              <w:jc w:val="center"/>
            </w:pPr>
            <w:r>
              <w:rPr>
                <w:color w:val="000000"/>
                <w:sz w:val="24"/>
                <w:szCs w:val="24"/>
              </w:rPr>
              <w:t>钢研高纳</w:t>
            </w:r>
          </w:p>
        </w:tc>
        <w:tc>
          <w:tcPr>
            <w:tcW w:w="1334" w:type="dxa"/>
            <w:vAlign w:val="center"/>
          </w:tcPr>
          <w:p w:rsidR="000431D8" w:rsidRDefault="00B21C6E">
            <w:pPr>
              <w:jc w:val="right"/>
            </w:pPr>
            <w:r>
              <w:rPr>
                <w:color w:val="000000"/>
                <w:sz w:val="24"/>
                <w:szCs w:val="24"/>
              </w:rPr>
              <w:t>4,380,705</w:t>
            </w:r>
          </w:p>
        </w:tc>
        <w:tc>
          <w:tcPr>
            <w:tcW w:w="1924" w:type="dxa"/>
            <w:vAlign w:val="center"/>
          </w:tcPr>
          <w:p w:rsidR="000431D8" w:rsidRDefault="00B21C6E">
            <w:pPr>
              <w:jc w:val="right"/>
            </w:pPr>
            <w:r>
              <w:rPr>
                <w:color w:val="000000"/>
                <w:sz w:val="24"/>
                <w:szCs w:val="24"/>
              </w:rPr>
              <w:t>82,182,025.80</w:t>
            </w:r>
          </w:p>
        </w:tc>
        <w:tc>
          <w:tcPr>
            <w:tcW w:w="1644" w:type="dxa"/>
            <w:vAlign w:val="center"/>
          </w:tcPr>
          <w:p w:rsidR="000431D8" w:rsidRDefault="00B21C6E">
            <w:pPr>
              <w:jc w:val="right"/>
            </w:pPr>
            <w:r>
              <w:rPr>
                <w:color w:val="000000"/>
                <w:sz w:val="24"/>
                <w:szCs w:val="24"/>
              </w:rPr>
              <w:t>1.57</w:t>
            </w:r>
          </w:p>
        </w:tc>
      </w:tr>
      <w:tr w:rsidR="000431D8">
        <w:trPr>
          <w:jc w:val="center"/>
        </w:trPr>
        <w:tc>
          <w:tcPr>
            <w:tcW w:w="855" w:type="dxa"/>
            <w:vAlign w:val="center"/>
          </w:tcPr>
          <w:p w:rsidR="000431D8" w:rsidRDefault="00B21C6E">
            <w:pPr>
              <w:jc w:val="center"/>
            </w:pPr>
            <w:r>
              <w:rPr>
                <w:color w:val="000000"/>
                <w:sz w:val="24"/>
                <w:szCs w:val="24"/>
              </w:rPr>
              <w:t>9</w:t>
            </w:r>
          </w:p>
        </w:tc>
        <w:tc>
          <w:tcPr>
            <w:tcW w:w="1334" w:type="dxa"/>
            <w:vAlign w:val="center"/>
          </w:tcPr>
          <w:p w:rsidR="000431D8" w:rsidRDefault="00B21C6E">
            <w:pPr>
              <w:jc w:val="center"/>
            </w:pPr>
            <w:r>
              <w:rPr>
                <w:color w:val="000000"/>
                <w:sz w:val="24"/>
                <w:szCs w:val="24"/>
              </w:rPr>
              <w:t>002841</w:t>
            </w:r>
          </w:p>
        </w:tc>
        <w:tc>
          <w:tcPr>
            <w:tcW w:w="1777" w:type="dxa"/>
            <w:vAlign w:val="center"/>
          </w:tcPr>
          <w:p w:rsidR="000431D8" w:rsidRDefault="00B21C6E">
            <w:pPr>
              <w:jc w:val="center"/>
            </w:pPr>
            <w:r>
              <w:rPr>
                <w:color w:val="000000"/>
                <w:sz w:val="24"/>
                <w:szCs w:val="24"/>
              </w:rPr>
              <w:t>视源股份</w:t>
            </w:r>
          </w:p>
        </w:tc>
        <w:tc>
          <w:tcPr>
            <w:tcW w:w="1334" w:type="dxa"/>
            <w:vAlign w:val="center"/>
          </w:tcPr>
          <w:p w:rsidR="000431D8" w:rsidRDefault="00B21C6E">
            <w:pPr>
              <w:jc w:val="right"/>
            </w:pPr>
            <w:r>
              <w:rPr>
                <w:color w:val="000000"/>
                <w:sz w:val="24"/>
                <w:szCs w:val="24"/>
              </w:rPr>
              <w:t>835,955</w:t>
            </w:r>
          </w:p>
        </w:tc>
        <w:tc>
          <w:tcPr>
            <w:tcW w:w="1924" w:type="dxa"/>
            <w:vAlign w:val="center"/>
          </w:tcPr>
          <w:p w:rsidR="000431D8" w:rsidRDefault="00B21C6E">
            <w:pPr>
              <w:jc w:val="right"/>
            </w:pPr>
            <w:r>
              <w:rPr>
                <w:color w:val="000000"/>
                <w:sz w:val="24"/>
                <w:szCs w:val="24"/>
              </w:rPr>
              <w:t>81,274,241.60</w:t>
            </w:r>
          </w:p>
        </w:tc>
        <w:tc>
          <w:tcPr>
            <w:tcW w:w="1644" w:type="dxa"/>
            <w:vAlign w:val="center"/>
          </w:tcPr>
          <w:p w:rsidR="000431D8" w:rsidRDefault="00B21C6E">
            <w:pPr>
              <w:jc w:val="right"/>
            </w:pPr>
            <w:r>
              <w:rPr>
                <w:color w:val="000000"/>
                <w:sz w:val="24"/>
                <w:szCs w:val="24"/>
              </w:rPr>
              <w:t>1.55</w:t>
            </w:r>
          </w:p>
        </w:tc>
      </w:tr>
      <w:tr w:rsidR="000431D8">
        <w:trPr>
          <w:jc w:val="center"/>
        </w:trPr>
        <w:tc>
          <w:tcPr>
            <w:tcW w:w="855" w:type="dxa"/>
            <w:vAlign w:val="center"/>
          </w:tcPr>
          <w:p w:rsidR="000431D8" w:rsidRDefault="00B21C6E">
            <w:pPr>
              <w:jc w:val="center"/>
            </w:pPr>
            <w:r>
              <w:rPr>
                <w:color w:val="000000"/>
                <w:sz w:val="24"/>
                <w:szCs w:val="24"/>
              </w:rPr>
              <w:t>10</w:t>
            </w:r>
          </w:p>
        </w:tc>
        <w:tc>
          <w:tcPr>
            <w:tcW w:w="1334" w:type="dxa"/>
            <w:vAlign w:val="center"/>
          </w:tcPr>
          <w:p w:rsidR="000431D8" w:rsidRDefault="00B21C6E">
            <w:pPr>
              <w:jc w:val="center"/>
            </w:pPr>
            <w:r>
              <w:rPr>
                <w:color w:val="000000"/>
                <w:sz w:val="24"/>
                <w:szCs w:val="24"/>
              </w:rPr>
              <w:t>002050</w:t>
            </w:r>
          </w:p>
        </w:tc>
        <w:tc>
          <w:tcPr>
            <w:tcW w:w="1777" w:type="dxa"/>
            <w:vAlign w:val="center"/>
          </w:tcPr>
          <w:p w:rsidR="000431D8" w:rsidRDefault="00B21C6E">
            <w:pPr>
              <w:jc w:val="center"/>
            </w:pPr>
            <w:r>
              <w:rPr>
                <w:color w:val="000000"/>
                <w:sz w:val="24"/>
                <w:szCs w:val="24"/>
              </w:rPr>
              <w:t>三花智控</w:t>
            </w:r>
          </w:p>
        </w:tc>
        <w:tc>
          <w:tcPr>
            <w:tcW w:w="1334" w:type="dxa"/>
            <w:vAlign w:val="center"/>
          </w:tcPr>
          <w:p w:rsidR="000431D8" w:rsidRDefault="00B21C6E">
            <w:pPr>
              <w:jc w:val="right"/>
            </w:pPr>
            <w:r>
              <w:rPr>
                <w:color w:val="000000"/>
                <w:sz w:val="24"/>
                <w:szCs w:val="24"/>
              </w:rPr>
              <w:t>3,693,297</w:t>
            </w:r>
          </w:p>
        </w:tc>
        <w:tc>
          <w:tcPr>
            <w:tcW w:w="1924" w:type="dxa"/>
            <w:vAlign w:val="center"/>
          </w:tcPr>
          <w:p w:rsidR="000431D8" w:rsidRDefault="00B21C6E">
            <w:pPr>
              <w:jc w:val="right"/>
            </w:pPr>
            <w:r>
              <w:rPr>
                <w:color w:val="000000"/>
                <w:sz w:val="24"/>
                <w:szCs w:val="24"/>
              </w:rPr>
              <w:t>80,883,204.30</w:t>
            </w:r>
          </w:p>
        </w:tc>
        <w:tc>
          <w:tcPr>
            <w:tcW w:w="1644" w:type="dxa"/>
            <w:vAlign w:val="center"/>
          </w:tcPr>
          <w:p w:rsidR="000431D8" w:rsidRDefault="00B21C6E">
            <w:pPr>
              <w:jc w:val="right"/>
            </w:pPr>
            <w:r>
              <w:rPr>
                <w:color w:val="000000"/>
                <w:sz w:val="24"/>
                <w:szCs w:val="24"/>
              </w:rPr>
              <w:t>1.54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275745" w:rsidRPr="00414345" w:rsidTr="00AB4DB6">
        <w:trPr>
          <w:trHeight w:val="105"/>
          <w:jc w:val="center"/>
        </w:trPr>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代码</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名称</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持仓量</w:t>
            </w:r>
          </w:p>
        </w:tc>
        <w:tc>
          <w:tcPr>
            <w:tcW w:w="1422"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合约市值</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23" w:type="dxa"/>
            <w:vAlign w:val="center"/>
          </w:tcPr>
          <w:p w:rsidR="00275745" w:rsidRPr="00414345" w:rsidRDefault="00275745" w:rsidP="00C15CAC">
            <w:pPr>
              <w:pStyle w:val="Default"/>
              <w:spacing w:before="29" w:line="288" w:lineRule="auto"/>
              <w:jc w:val="center"/>
              <w:rPr>
                <w:rFonts w:ascii="Times New Roman" w:hAnsi="Times New Roman" w:cs="Times New Roman"/>
              </w:rPr>
            </w:pPr>
            <w:r w:rsidRPr="00414345">
              <w:rPr>
                <w:rFonts w:ascii="Times New Roman" w:hAnsi="Times New Roman" w:cs="Times New Roman"/>
              </w:rPr>
              <w:t>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center"/>
              <w:rPr>
                <w:rFonts w:ascii="Times New Roman" w:hAnsi="Times New Roman" w:cs="Times New Roman"/>
                <w:color w:val="auto"/>
              </w:rPr>
            </w:pPr>
            <w:r w:rsidRPr="00414345">
              <w:rPr>
                <w:rFonts w:ascii="Times New Roman" w:hAnsi="Times New Roman" w:cs="Times New Roman"/>
                <w:color w:val="auto"/>
              </w:rPr>
              <w:t>风险说明</w:t>
            </w:r>
          </w:p>
        </w:tc>
      </w:tr>
      <w:tr w:rsidR="00B21C6E" w:rsidRPr="00414345" w:rsidTr="00AB4DB6">
        <w:trPr>
          <w:trHeight w:val="105"/>
          <w:jc w:val="center"/>
        </w:trPr>
        <w:tc>
          <w:tcPr>
            <w:tcW w:w="1422" w:type="dxa"/>
            <w:vAlign w:val="center"/>
          </w:tcPr>
          <w:p w:rsidR="00B21C6E" w:rsidRPr="00414345" w:rsidRDefault="00B21C6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B21C6E" w:rsidRPr="00414345" w:rsidRDefault="00B21C6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B21C6E" w:rsidRPr="00414345" w:rsidRDefault="00B21C6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2" w:type="dxa"/>
            <w:vAlign w:val="center"/>
          </w:tcPr>
          <w:p w:rsidR="00B21C6E" w:rsidRPr="00414345" w:rsidRDefault="00B21C6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23" w:type="dxa"/>
            <w:vAlign w:val="center"/>
          </w:tcPr>
          <w:p w:rsidR="00B21C6E" w:rsidRPr="00414345" w:rsidRDefault="00B21C6E" w:rsidP="00C15CAC">
            <w:pPr>
              <w:pStyle w:val="Default"/>
              <w:spacing w:before="29" w:line="288" w:lineRule="auto"/>
              <w:jc w:val="center"/>
              <w:rPr>
                <w:rFonts w:ascii="Times New Roman" w:hAnsi="Times New Roman" w:cs="Times New Roman"/>
              </w:rPr>
            </w:pPr>
            <w:r>
              <w:rPr>
                <w:rFonts w:ascii="Times New Roman" w:hAnsi="Times New Roman" w:cs="Times New Roman" w:hint="eastAsia"/>
              </w:rPr>
              <w:t>-</w:t>
            </w:r>
          </w:p>
        </w:tc>
        <w:tc>
          <w:tcPr>
            <w:tcW w:w="1416" w:type="dxa"/>
            <w:vAlign w:val="center"/>
          </w:tcPr>
          <w:p w:rsidR="00B21C6E" w:rsidRPr="00414345" w:rsidRDefault="00B21C6E" w:rsidP="00C15CAC">
            <w:pPr>
              <w:pStyle w:val="Default"/>
              <w:spacing w:before="29" w:line="288" w:lineRule="auto"/>
              <w:jc w:val="center"/>
              <w:rPr>
                <w:rFonts w:ascii="Times New Roman" w:hAnsi="Times New Roman" w:cs="Times New Roman"/>
                <w:color w:val="auto"/>
              </w:rPr>
            </w:pPr>
            <w:r>
              <w:rPr>
                <w:rFonts w:ascii="Times New Roman" w:hAnsi="Times New Roman" w:cs="Times New Roman" w:hint="eastAsia"/>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rPr>
            </w:pPr>
            <w:r w:rsidRPr="00414345">
              <w:rPr>
                <w:rFonts w:ascii="Times New Roman" w:hAnsi="Times New Roman" w:cs="Times New Roman"/>
              </w:rPr>
              <w:t>公允价值变动总额合计</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股指期货投资本期收益</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-6,271,590.00</w:t>
            </w:r>
          </w:p>
        </w:tc>
      </w:tr>
      <w:tr w:rsidR="00275745" w:rsidRPr="00414345" w:rsidTr="00AB4DB6">
        <w:trPr>
          <w:trHeight w:val="105"/>
          <w:jc w:val="center"/>
        </w:trPr>
        <w:tc>
          <w:tcPr>
            <w:tcW w:w="7111" w:type="dxa"/>
            <w:gridSpan w:val="5"/>
            <w:vAlign w:val="center"/>
          </w:tcPr>
          <w:p w:rsidR="00275745" w:rsidRPr="00414345" w:rsidRDefault="00275745" w:rsidP="00C15CAC">
            <w:pPr>
              <w:pStyle w:val="Default"/>
              <w:spacing w:before="29" w:line="288" w:lineRule="auto"/>
              <w:rPr>
                <w:rFonts w:ascii="Times New Roman" w:hAnsi="Times New Roman" w:cs="Times New Roman"/>
                <w:color w:val="auto"/>
              </w:rPr>
            </w:pPr>
            <w:r w:rsidRPr="00414345">
              <w:rPr>
                <w:rFonts w:ascii="Times New Roman" w:hAnsi="Times New Roman" w:cs="Times New Roman"/>
                <w:color w:val="auto"/>
              </w:rPr>
              <w:t>股指期货投资本期公允价值变动</w:t>
            </w:r>
            <w:r w:rsidR="00C87129" w:rsidRPr="00414345">
              <w:rPr>
                <w:rFonts w:ascii="Times New Roman" w:hAnsi="Times New Roman" w:cs="Times New Roman"/>
              </w:rPr>
              <w:t>(</w:t>
            </w:r>
            <w:r w:rsidR="00C87129" w:rsidRPr="00414345">
              <w:rPr>
                <w:rFonts w:ascii="Times New Roman" w:hAnsi="Times New Roman" w:cs="Times New Roman"/>
              </w:rPr>
              <w:t>元</w:t>
            </w:r>
            <w:r w:rsidR="00C87129" w:rsidRPr="00414345">
              <w:rPr>
                <w:rFonts w:ascii="Times New Roman" w:hAnsi="Times New Roman" w:cs="Times New Roman"/>
              </w:rPr>
              <w:t>)</w:t>
            </w:r>
          </w:p>
        </w:tc>
        <w:tc>
          <w:tcPr>
            <w:tcW w:w="1416" w:type="dxa"/>
            <w:vAlign w:val="center"/>
          </w:tcPr>
          <w:p w:rsidR="00275745" w:rsidRPr="00414345" w:rsidRDefault="00275745" w:rsidP="00C15CAC">
            <w:pPr>
              <w:pStyle w:val="Default"/>
              <w:spacing w:before="29" w:line="288" w:lineRule="auto"/>
              <w:jc w:val="right"/>
              <w:rPr>
                <w:rFonts w:ascii="Times New Roman" w:hAnsi="Times New Roman" w:cs="Times New Roman"/>
                <w:color w:val="auto"/>
              </w:rPr>
            </w:pPr>
            <w:r w:rsidRPr="00414345">
              <w:rPr>
                <w:rFonts w:ascii="Times New Roman" w:hAnsi="Times New Roman" w:cs="Times New Roman"/>
                <w:color w:val="auto"/>
              </w:rPr>
              <w:t>-</w:t>
            </w:r>
          </w:p>
        </w:tc>
      </w:tr>
    </w:tbl>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注：本基金本报告期末未持有股指期货。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lastRenderedPageBreak/>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903,006.56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74,348,718.99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1,890,524.00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212,755.11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77,355,004.66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0431D8">
        <w:trPr>
          <w:jc w:val="center"/>
        </w:trPr>
        <w:tc>
          <w:tcPr>
            <w:tcW w:w="1129" w:type="dxa"/>
            <w:vAlign w:val="center"/>
          </w:tcPr>
          <w:p w:rsidR="000431D8" w:rsidRDefault="00B21C6E">
            <w:pPr>
              <w:jc w:val="center"/>
            </w:pPr>
            <w:r>
              <w:rPr>
                <w:color w:val="000000"/>
                <w:sz w:val="24"/>
                <w:szCs w:val="24"/>
              </w:rPr>
              <w:t>1</w:t>
            </w:r>
          </w:p>
        </w:tc>
        <w:tc>
          <w:tcPr>
            <w:tcW w:w="1356" w:type="dxa"/>
            <w:vAlign w:val="center"/>
          </w:tcPr>
          <w:p w:rsidR="000431D8" w:rsidRDefault="00B21C6E">
            <w:pPr>
              <w:jc w:val="center"/>
            </w:pPr>
            <w:r>
              <w:rPr>
                <w:color w:val="000000"/>
                <w:sz w:val="24"/>
                <w:szCs w:val="24"/>
              </w:rPr>
              <w:t>002841</w:t>
            </w:r>
          </w:p>
        </w:tc>
        <w:tc>
          <w:tcPr>
            <w:tcW w:w="1355" w:type="dxa"/>
            <w:vAlign w:val="center"/>
          </w:tcPr>
          <w:p w:rsidR="000431D8" w:rsidRDefault="00B21C6E">
            <w:pPr>
              <w:jc w:val="center"/>
            </w:pPr>
            <w:r>
              <w:rPr>
                <w:color w:val="000000"/>
                <w:sz w:val="24"/>
                <w:szCs w:val="24"/>
              </w:rPr>
              <w:t>视源股份</w:t>
            </w:r>
          </w:p>
        </w:tc>
        <w:tc>
          <w:tcPr>
            <w:tcW w:w="1880" w:type="dxa"/>
            <w:vAlign w:val="center"/>
          </w:tcPr>
          <w:p w:rsidR="000431D8" w:rsidRDefault="00B21C6E">
            <w:pPr>
              <w:jc w:val="right"/>
            </w:pPr>
            <w:r>
              <w:rPr>
                <w:color w:val="000000"/>
                <w:sz w:val="24"/>
                <w:szCs w:val="24"/>
              </w:rPr>
              <w:t>27,936,000.00</w:t>
            </w:r>
          </w:p>
        </w:tc>
        <w:tc>
          <w:tcPr>
            <w:tcW w:w="1724" w:type="dxa"/>
            <w:vAlign w:val="center"/>
          </w:tcPr>
          <w:p w:rsidR="000431D8" w:rsidRDefault="00B21C6E">
            <w:pPr>
              <w:jc w:val="right"/>
            </w:pPr>
            <w:r>
              <w:rPr>
                <w:color w:val="000000"/>
                <w:sz w:val="24"/>
                <w:szCs w:val="24"/>
              </w:rPr>
              <w:t>0.53</w:t>
            </w:r>
          </w:p>
        </w:tc>
        <w:tc>
          <w:tcPr>
            <w:tcW w:w="1424" w:type="dxa"/>
            <w:vAlign w:val="center"/>
          </w:tcPr>
          <w:p w:rsidR="000431D8" w:rsidRDefault="00B21C6E">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基金合同生效日</w:t>
            </w:r>
            <w:r w:rsidR="004061AC" w:rsidRPr="00414345">
              <w:rPr>
                <w:color w:val="000000"/>
                <w:kern w:val="0"/>
                <w:sz w:val="24"/>
                <w:szCs w:val="24"/>
              </w:rPr>
              <w:t>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4,945,845,223.18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4,945,845,223.18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4,945,845,223.18</w:t>
            </w:r>
          </w:p>
        </w:tc>
      </w:tr>
    </w:tbl>
    <w:p w:rsidR="004061AC" w:rsidRPr="00414345" w:rsidRDefault="00B21C6E" w:rsidP="003E1A7D">
      <w:pPr>
        <w:autoSpaceDE w:val="0"/>
        <w:autoSpaceDN w:val="0"/>
        <w:adjustRightInd w:val="0"/>
        <w:spacing w:before="29" w:line="288" w:lineRule="auto"/>
        <w:jc w:val="left"/>
        <w:rPr>
          <w:color w:val="000000"/>
          <w:sz w:val="24"/>
          <w:szCs w:val="24"/>
        </w:rPr>
      </w:pPr>
      <w:r>
        <w:rPr>
          <w:color w:val="000000"/>
          <w:sz w:val="24"/>
          <w:szCs w:val="24"/>
        </w:rPr>
        <w:t>注：</w:t>
      </w:r>
      <w:r w:rsidR="003E1A7D" w:rsidRPr="003E1A7D">
        <w:rPr>
          <w:rFonts w:hint="eastAsia"/>
          <w:color w:val="000000"/>
          <w:sz w:val="24"/>
          <w:szCs w:val="24"/>
        </w:rPr>
        <w:t>本基金合同生效后，前三年封闭运作，在封闭期内，本基金不办理申购、赎回业务，但投资人可在本基金上市交易后通过上海证券交易所转让基金份额，也可以办理将已持有基金份额的转托管业务。本报告期内基金总赎回份额含跨系统转托管导致强制赎回的份额。</w:t>
      </w:r>
    </w:p>
    <w:p w:rsidR="00320E90" w:rsidRDefault="00320E90" w:rsidP="00C15CAC">
      <w:pPr>
        <w:autoSpaceDE w:val="0"/>
        <w:autoSpaceDN w:val="0"/>
        <w:adjustRightInd w:val="0"/>
        <w:spacing w:before="29" w:line="288" w:lineRule="auto"/>
        <w:jc w:val="left"/>
        <w:rPr>
          <w:color w:val="000000"/>
          <w:sz w:val="24"/>
          <w:szCs w:val="24"/>
        </w:rPr>
      </w:pPr>
      <w:bookmarkStart w:id="0" w:name="_GoBack"/>
      <w:bookmarkEnd w:id="0"/>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0431D8" w:rsidRDefault="00B21C6E">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、中国证监会准予交银施罗德瑞思三年封闭运作混合型证券投资基金募集注册的文件；</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、《交银施罗德瑞思三年封闭运作混合型证券投资基金基金合同》；</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、《交银施罗德瑞思三年封闭运作混合型证券投资基金招募说明书》；</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、《交银施罗德瑞思三年封闭运作混合型证券投资基金托管协议》；</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、关于申请募集注册交银施罗德瑞思三年封闭运作混合型证券投资基金的法律意见书；</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0431D8" w:rsidRDefault="00B21C6E">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、报告期内交银施罗德瑞思三年封闭运作混合型证券投资基金在指定报刊上各项公告的原稿。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0431D8" w:rsidRDefault="00B21C6E">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2483" w:rsidRDefault="007E2483" w:rsidP="00876D65">
      <w:r>
        <w:separator/>
      </w:r>
    </w:p>
  </w:endnote>
  <w:endnote w:type="continuationSeparator" w:id="0">
    <w:p w:rsidR="007E2483" w:rsidRDefault="007E248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3E1A7D">
      <w:rPr>
        <w:noProof/>
        <w:kern w:val="0"/>
        <w:szCs w:val="21"/>
      </w:rPr>
      <w:t>10</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3E1A7D">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2483" w:rsidRDefault="007E2483" w:rsidP="00876D65">
      <w:r>
        <w:separator/>
      </w:r>
    </w:p>
  </w:footnote>
  <w:footnote w:type="continuationSeparator" w:id="0">
    <w:p w:rsidR="007E2483" w:rsidRDefault="007E248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交银施罗德瑞思三年封闭运作混合型证券投资基金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1D8"/>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92571"/>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1A7D"/>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483"/>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1C6E"/>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11F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EC970-5ED7-4817-A063-4E98F748E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TotalTime>
  <Pages>12</Pages>
  <Words>1082</Words>
  <Characters>6169</Characters>
  <Application>Microsoft Office Word</Application>
  <DocSecurity>0</DocSecurity>
  <Lines>51</Lines>
  <Paragraphs>14</Paragraphs>
  <ScaleCrop>false</ScaleCrop>
  <Company/>
  <LinksUpToDate>false</LinksUpToDate>
  <CharactersWithSpaces>7237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603</cp:revision>
  <dcterms:created xsi:type="dcterms:W3CDTF">2012-10-16T06:07:00Z</dcterms:created>
  <dcterms:modified xsi:type="dcterms:W3CDTF">2020-07-17T05:39:00Z</dcterms:modified>
</cp:coreProperties>
</file>