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中国邮政储蓄银行股份有限公司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基金托管人中国邮政储蓄银行股份有限公司根据本基金合同规定，于2020年7月20日复核了本报告中的财务指标、净值表现和投资组合报告等内容，保证复核内容不存在虚假记载、误导性陈述或者重大遗漏。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1,254,981,662.53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1,121,150,252.22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133,831,410.31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交银裕隆纯债债券A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交银裕隆纯债债券C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11,265,533.66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2,445,181.05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2,536,857.40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453,787.49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0.0032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1,351,795,675.93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160,144,672.32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1.2057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1.1966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交银裕隆纯债债券A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0.37%</w:t>
            </w:r>
          </w:p>
        </w:tc>
        <w:tc>
          <w:tcPr>
            <w:vAlign w:val="center"/>
          </w:tcPr>
          <w:p>
            <w:pPr>
              <w:jc w:val="center"/>
            </w:pPr>
            <w:r>
              <w:rPr>
                <w:color w:val="000000"/>
                <w:sz w:val="24"/>
              </w:rPr>
              <w:t>0.08%</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1.41%</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2.66%</w:t>
            </w:r>
          </w:p>
        </w:tc>
        <w:tc>
          <w:tcPr>
            <w:vAlign w:val="center"/>
          </w:tcPr>
          <w:p>
            <w:pPr>
              <w:jc w:val="center"/>
            </w:pPr>
            <w:r>
              <w:rPr>
                <w:color w:val="000000"/>
                <w:sz w:val="24"/>
              </w:rPr>
              <w:t>0.08%</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1.87%</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5.71%</w:t>
            </w:r>
          </w:p>
        </w:tc>
        <w:tc>
          <w:tcPr>
            <w:vAlign w:val="center"/>
          </w:tcPr>
          <w:p>
            <w:pPr>
              <w:jc w:val="center"/>
            </w:pPr>
            <w:r>
              <w:rPr>
                <w:color w:val="000000"/>
                <w:sz w:val="24"/>
              </w:rPr>
              <w:t>0.06%</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3.84%</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18.00%</w:t>
            </w:r>
          </w:p>
        </w:tc>
        <w:tc>
          <w:tcPr>
            <w:vAlign w:val="center"/>
          </w:tcPr>
          <w:p>
            <w:pPr>
              <w:jc w:val="center"/>
            </w:pPr>
            <w:r>
              <w:rPr>
                <w:color w:val="000000"/>
                <w:sz w:val="24"/>
              </w:rPr>
              <w:t>0.05%</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12.39%</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20.57%</w:t>
            </w:r>
          </w:p>
        </w:tc>
        <w:tc>
          <w:tcPr>
            <w:vAlign w:val="center"/>
          </w:tcPr>
          <w:p>
            <w:pPr>
              <w:jc w:val="center"/>
            </w:pPr>
            <w:r>
              <w:rPr>
                <w:color w:val="000000"/>
                <w:sz w:val="24"/>
              </w:rPr>
              <w:t>0.05%</w:t>
            </w:r>
          </w:p>
        </w:tc>
        <w:tc>
          <w:tcPr>
            <w:vAlign w:val="center"/>
          </w:tcPr>
          <w:p>
            <w:pPr>
              <w:jc w:val="center"/>
            </w:pPr>
            <w:r>
              <w:rPr>
                <w:color w:val="000000"/>
                <w:sz w:val="24"/>
              </w:rPr>
              <w:t>1.59%</w:t>
            </w:r>
          </w:p>
        </w:tc>
        <w:tc>
          <w:tcPr>
            <w:vAlign w:val="center"/>
          </w:tcPr>
          <w:p>
            <w:pPr>
              <w:jc w:val="center"/>
            </w:pPr>
            <w:r>
              <w:rPr>
                <w:color w:val="000000"/>
                <w:sz w:val="24"/>
              </w:rPr>
              <w:t>0.08%</w:t>
            </w:r>
          </w:p>
        </w:tc>
        <w:tc>
          <w:tcPr>
            <w:vAlign w:val="center"/>
          </w:tcPr>
          <w:p>
            <w:pPr>
              <w:jc w:val="center"/>
            </w:pPr>
            <w:r>
              <w:rPr>
                <w:color w:val="000000"/>
                <w:sz w:val="24"/>
              </w:rPr>
              <w:t>18.98%</w:t>
            </w:r>
          </w:p>
        </w:tc>
        <w:tc>
          <w:tcPr>
            <w:vAlign w:val="center"/>
          </w:tcPr>
          <w:p>
            <w:pPr>
              <w:jc w:val="center"/>
            </w:pPr>
            <w:r>
              <w:rPr>
                <w:color w:val="000000"/>
                <w:sz w:val="24"/>
              </w:rPr>
              <w:t>-0.03%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交银裕隆纯债债券C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0.27%</w:t>
            </w:r>
          </w:p>
        </w:tc>
        <w:tc>
          <w:tcPr>
            <w:vAlign w:val="center"/>
          </w:tcPr>
          <w:p>
            <w:pPr>
              <w:jc w:val="center"/>
            </w:pPr>
            <w:r>
              <w:rPr>
                <w:color w:val="000000"/>
                <w:sz w:val="24"/>
              </w:rPr>
              <w:t>0.08%</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1.31%</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2.45%</w:t>
            </w:r>
          </w:p>
        </w:tc>
        <w:tc>
          <w:tcPr>
            <w:vAlign w:val="center"/>
          </w:tcPr>
          <w:p>
            <w:pPr>
              <w:jc w:val="center"/>
            </w:pPr>
            <w:r>
              <w:rPr>
                <w:color w:val="000000"/>
                <w:sz w:val="24"/>
              </w:rPr>
              <w:t>0.08%</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1.66%</w:t>
            </w:r>
          </w:p>
        </w:tc>
        <w:tc>
          <w:tcPr>
            <w:vAlign w:val="center"/>
          </w:tcPr>
          <w:p>
            <w:pPr>
              <w:jc w:val="center"/>
            </w:pPr>
            <w:r>
              <w:rPr>
                <w:color w:val="000000"/>
                <w:sz w:val="24"/>
              </w:rPr>
              <w:t>-0.03%</w:t>
            </w:r>
          </w:p>
        </w:tc>
      </w:tr>
      <w:tr>
        <w:tc>
          <w:tcPr>
            <w:vAlign w:val="center"/>
          </w:tcPr>
          <w:p>
            <w:pPr>
              <w:jc w:val="left"/>
            </w:pPr>
            <w:r>
              <w:rPr>
                <w:color w:val="000000"/>
                <w:sz w:val="24"/>
              </w:rPr>
              <w:t>过去一年</w:t>
            </w:r>
          </w:p>
        </w:tc>
        <w:tc>
          <w:tcPr>
            <w:vAlign w:val="center"/>
          </w:tcPr>
          <w:p>
            <w:pPr>
              <w:jc w:val="center"/>
            </w:pPr>
            <w:r>
              <w:rPr>
                <w:color w:val="000000"/>
                <w:sz w:val="24"/>
              </w:rPr>
              <w:t>5.28%</w:t>
            </w:r>
          </w:p>
        </w:tc>
        <w:tc>
          <w:tcPr>
            <w:vAlign w:val="center"/>
          </w:tcPr>
          <w:p>
            <w:pPr>
              <w:jc w:val="center"/>
            </w:pPr>
            <w:r>
              <w:rPr>
                <w:color w:val="000000"/>
                <w:sz w:val="24"/>
              </w:rPr>
              <w:t>0.06%</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3.41%</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17.58%</w:t>
            </w:r>
          </w:p>
        </w:tc>
        <w:tc>
          <w:tcPr>
            <w:vAlign w:val="center"/>
          </w:tcPr>
          <w:p>
            <w:pPr>
              <w:jc w:val="center"/>
            </w:pPr>
            <w:r>
              <w:rPr>
                <w:color w:val="000000"/>
                <w:sz w:val="24"/>
              </w:rPr>
              <w:t>0.05%</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11.97%</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19.66%</w:t>
            </w:r>
          </w:p>
        </w:tc>
        <w:tc>
          <w:tcPr>
            <w:vAlign w:val="center"/>
          </w:tcPr>
          <w:p>
            <w:pPr>
              <w:jc w:val="center"/>
            </w:pPr>
            <w:r>
              <w:rPr>
                <w:color w:val="000000"/>
                <w:sz w:val="24"/>
              </w:rPr>
              <w:t>0.05%</w:t>
            </w:r>
          </w:p>
        </w:tc>
        <w:tc>
          <w:tcPr>
            <w:vAlign w:val="center"/>
          </w:tcPr>
          <w:p>
            <w:pPr>
              <w:jc w:val="center"/>
            </w:pPr>
            <w:r>
              <w:rPr>
                <w:color w:val="000000"/>
                <w:sz w:val="24"/>
              </w:rPr>
              <w:t>1.59%</w:t>
            </w:r>
          </w:p>
        </w:tc>
        <w:tc>
          <w:tcPr>
            <w:vAlign w:val="center"/>
          </w:tcPr>
          <w:p>
            <w:pPr>
              <w:jc w:val="center"/>
            </w:pPr>
            <w:r>
              <w:rPr>
                <w:color w:val="000000"/>
                <w:sz w:val="24"/>
              </w:rPr>
              <w:t>0.08%</w:t>
            </w:r>
          </w:p>
        </w:tc>
        <w:tc>
          <w:tcPr>
            <w:vAlign w:val="center"/>
          </w:tcPr>
          <w:p>
            <w:pPr>
              <w:jc w:val="center"/>
            </w:pPr>
            <w:r>
              <w:rPr>
                <w:color w:val="000000"/>
                <w:sz w:val="24"/>
              </w:rPr>
              <w:t>18.07%</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交银施罗德裕隆纯债债券型证券投资基金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2016年11月28日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交银裕隆纯债债券C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基金操作方面，本基金仍然是以信用债票息策略为主，适当降低了组合的久期。具体配置方面仍以1-3年中高等级信用债为底仓，同时配置了部分4-5年的高收益信用债，提高组合静态收益。由于资金成本相对较低，本基金适度运用杠杆操作增厚组合收益。</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7C14DF" w:rsidR="00952A72" w:rsidRDefault="00323F25" w:rsidRPr="007F52FA">
      <w:pPr>
        <w:spacing w:before="29" w:line="288" w:lineRule="auto"/>
        <w:ind w:firstLine="480" w:firstLineChars="200"/>
        <w:rPr>
          <w:color w:val="000000"/>
          <w:sz w:val="24"/>
        </w:rPr>
      </w:pPr>
      <w:r w:rsidRPr="007F52FA">
        <w:rPr>
          <w:color w:val="00000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1,669,973,700.00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1,669,973,700.00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1,979,157.60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28,946,613.10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1,700,899,470.70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1,600,800.00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0.11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82,304,400.00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82,304,400.00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15,366,000.00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1.02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115,308,000.00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7.63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1,455,394,500.00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96.26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1,669,973,700.00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110.45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101901454</w:t>
            </w:r>
          </w:p>
        </w:tc>
        <w:tc>
          <w:tcPr>
            <w:vAlign w:val="center"/>
          </w:tcPr>
          <w:p>
            <w:pPr>
              <w:jc w:val="center"/>
            </w:pPr>
            <w:r>
              <w:rPr>
                <w:color w:val="000000"/>
                <w:sz w:val="24"/>
              </w:rPr>
              <w:t>19武进经发MTN001</w:t>
            </w:r>
          </w:p>
        </w:tc>
        <w:tc>
          <w:tcPr>
            <w:vAlign w:val="center"/>
          </w:tcPr>
          <w:p>
            <w:pPr>
              <w:jc w:val="right"/>
            </w:pPr>
            <w:r>
              <w:rPr>
                <w:color w:val="000000"/>
                <w:sz w:val="24"/>
              </w:rPr>
              <w:t>500,000</w:t>
            </w:r>
          </w:p>
        </w:tc>
        <w:tc>
          <w:tcPr>
            <w:vAlign w:val="center"/>
          </w:tcPr>
          <w:p>
            <w:pPr>
              <w:jc w:val="right"/>
            </w:pPr>
            <w:r>
              <w:rPr>
                <w:color w:val="000000"/>
                <w:sz w:val="24"/>
              </w:rPr>
              <w:t>51,115,000.00</w:t>
            </w:r>
          </w:p>
        </w:tc>
        <w:tc>
          <w:tcPr>
            <w:vAlign w:val="center"/>
          </w:tcPr>
          <w:p>
            <w:pPr>
              <w:jc w:val="right"/>
            </w:pPr>
            <w:r>
              <w:rPr>
                <w:color w:val="000000"/>
                <w:sz w:val="24"/>
              </w:rPr>
              <w:t>3.38</w:t>
            </w:r>
          </w:p>
        </w:tc>
      </w:tr>
      <w:tr>
        <w:tc>
          <w:tcPr>
            <w:vAlign w:val="center"/>
          </w:tcPr>
          <w:p>
            <w:pPr>
              <w:jc w:val="center"/>
            </w:pPr>
            <w:r>
              <w:rPr>
                <w:color w:val="000000"/>
                <w:sz w:val="24"/>
              </w:rPr>
              <w:t>2</w:t>
            </w:r>
          </w:p>
        </w:tc>
        <w:tc>
          <w:tcPr>
            <w:vAlign w:val="center"/>
          </w:tcPr>
          <w:p>
            <w:pPr>
              <w:jc w:val="center"/>
            </w:pPr>
            <w:r>
              <w:rPr>
                <w:color w:val="000000"/>
                <w:sz w:val="24"/>
              </w:rPr>
              <w:t>101901322</w:t>
            </w:r>
          </w:p>
        </w:tc>
        <w:tc>
          <w:tcPr>
            <w:vAlign w:val="center"/>
          </w:tcPr>
          <w:p>
            <w:pPr>
              <w:jc w:val="center"/>
            </w:pPr>
            <w:r>
              <w:rPr>
                <w:color w:val="000000"/>
                <w:sz w:val="24"/>
              </w:rPr>
              <w:t>19宿迁水务MTN001</w:t>
            </w:r>
          </w:p>
        </w:tc>
        <w:tc>
          <w:tcPr>
            <w:vAlign w:val="center"/>
          </w:tcPr>
          <w:p>
            <w:pPr>
              <w:jc w:val="right"/>
            </w:pPr>
            <w:r>
              <w:rPr>
                <w:color w:val="000000"/>
                <w:sz w:val="24"/>
              </w:rPr>
              <w:t>500,000</w:t>
            </w:r>
          </w:p>
        </w:tc>
        <w:tc>
          <w:tcPr>
            <w:vAlign w:val="center"/>
          </w:tcPr>
          <w:p>
            <w:pPr>
              <w:jc w:val="right"/>
            </w:pPr>
            <w:r>
              <w:rPr>
                <w:color w:val="000000"/>
                <w:sz w:val="24"/>
              </w:rPr>
              <w:t>50,655,000.00</w:t>
            </w:r>
          </w:p>
        </w:tc>
        <w:tc>
          <w:tcPr>
            <w:vAlign w:val="center"/>
          </w:tcPr>
          <w:p>
            <w:pPr>
              <w:jc w:val="right"/>
            </w:pPr>
            <w:r>
              <w:rPr>
                <w:color w:val="000000"/>
                <w:sz w:val="24"/>
              </w:rPr>
              <w:t>3.35</w:t>
            </w:r>
          </w:p>
        </w:tc>
      </w:tr>
      <w:tr>
        <w:tc>
          <w:tcPr>
            <w:vAlign w:val="center"/>
          </w:tcPr>
          <w:p>
            <w:pPr>
              <w:jc w:val="center"/>
            </w:pPr>
            <w:r>
              <w:rPr>
                <w:color w:val="000000"/>
                <w:sz w:val="24"/>
              </w:rPr>
              <w:t>3</w:t>
            </w:r>
          </w:p>
        </w:tc>
        <w:tc>
          <w:tcPr>
            <w:vAlign w:val="center"/>
          </w:tcPr>
          <w:p>
            <w:pPr>
              <w:jc w:val="center"/>
            </w:pPr>
            <w:r>
              <w:rPr>
                <w:color w:val="000000"/>
                <w:sz w:val="24"/>
              </w:rPr>
              <w:t>102000086</w:t>
            </w:r>
          </w:p>
        </w:tc>
        <w:tc>
          <w:tcPr>
            <w:vAlign w:val="center"/>
          </w:tcPr>
          <w:p>
            <w:pPr>
              <w:jc w:val="center"/>
            </w:pPr>
            <w:r>
              <w:rPr>
                <w:color w:val="000000"/>
                <w:sz w:val="24"/>
              </w:rPr>
              <w:t>20伊犁财通MTN001</w:t>
            </w:r>
          </w:p>
        </w:tc>
        <w:tc>
          <w:tcPr>
            <w:vAlign w:val="center"/>
          </w:tcPr>
          <w:p>
            <w:pPr>
              <w:jc w:val="right"/>
            </w:pPr>
            <w:r>
              <w:rPr>
                <w:color w:val="000000"/>
                <w:sz w:val="24"/>
              </w:rPr>
              <w:t>500,000</w:t>
            </w:r>
          </w:p>
        </w:tc>
        <w:tc>
          <w:tcPr>
            <w:vAlign w:val="center"/>
          </w:tcPr>
          <w:p>
            <w:pPr>
              <w:jc w:val="right"/>
            </w:pPr>
            <w:r>
              <w:rPr>
                <w:color w:val="000000"/>
                <w:sz w:val="24"/>
              </w:rPr>
              <w:t>50,500,000.00</w:t>
            </w:r>
          </w:p>
        </w:tc>
        <w:tc>
          <w:tcPr>
            <w:vAlign w:val="center"/>
          </w:tcPr>
          <w:p>
            <w:pPr>
              <w:jc w:val="right"/>
            </w:pPr>
            <w:r>
              <w:rPr>
                <w:color w:val="000000"/>
                <w:sz w:val="24"/>
              </w:rPr>
              <w:t>3.34</w:t>
            </w:r>
          </w:p>
        </w:tc>
      </w:tr>
      <w:tr>
        <w:tc>
          <w:tcPr>
            <w:vAlign w:val="center"/>
          </w:tcPr>
          <w:p>
            <w:pPr>
              <w:jc w:val="center"/>
            </w:pPr>
            <w:r>
              <w:rPr>
                <w:color w:val="000000"/>
                <w:sz w:val="24"/>
              </w:rPr>
              <w:t>4</w:t>
            </w:r>
          </w:p>
        </w:tc>
        <w:tc>
          <w:tcPr>
            <w:vAlign w:val="center"/>
          </w:tcPr>
          <w:p>
            <w:pPr>
              <w:jc w:val="center"/>
            </w:pPr>
            <w:r>
              <w:rPr>
                <w:color w:val="000000"/>
                <w:sz w:val="24"/>
              </w:rPr>
              <w:t>042000013</w:t>
            </w:r>
          </w:p>
        </w:tc>
        <w:tc>
          <w:tcPr>
            <w:vAlign w:val="center"/>
          </w:tcPr>
          <w:p>
            <w:pPr>
              <w:jc w:val="center"/>
            </w:pPr>
            <w:r>
              <w:rPr>
                <w:color w:val="000000"/>
                <w:sz w:val="24"/>
              </w:rPr>
              <w:t>20盐城资产CP001</w:t>
            </w:r>
          </w:p>
        </w:tc>
        <w:tc>
          <w:tcPr>
            <w:vAlign w:val="center"/>
          </w:tcPr>
          <w:p>
            <w:pPr>
              <w:jc w:val="right"/>
            </w:pPr>
            <w:r>
              <w:rPr>
                <w:color w:val="000000"/>
                <w:sz w:val="24"/>
              </w:rPr>
              <w:t>500,000</w:t>
            </w:r>
          </w:p>
        </w:tc>
        <w:tc>
          <w:tcPr>
            <w:vAlign w:val="center"/>
          </w:tcPr>
          <w:p>
            <w:pPr>
              <w:jc w:val="right"/>
            </w:pPr>
            <w:r>
              <w:rPr>
                <w:color w:val="000000"/>
                <w:sz w:val="24"/>
              </w:rPr>
              <w:t>50,185,000.00</w:t>
            </w:r>
          </w:p>
        </w:tc>
        <w:tc>
          <w:tcPr>
            <w:vAlign w:val="center"/>
          </w:tcPr>
          <w:p>
            <w:pPr>
              <w:jc w:val="right"/>
            </w:pPr>
            <w:r>
              <w:rPr>
                <w:color w:val="000000"/>
                <w:sz w:val="24"/>
              </w:rPr>
              <w:t>3.32</w:t>
            </w:r>
          </w:p>
        </w:tc>
      </w:tr>
      <w:tr>
        <w:tc>
          <w:tcPr>
            <w:vAlign w:val="center"/>
          </w:tcPr>
          <w:p>
            <w:pPr>
              <w:jc w:val="center"/>
            </w:pPr>
            <w:r>
              <w:rPr>
                <w:color w:val="000000"/>
                <w:sz w:val="24"/>
              </w:rPr>
              <w:t>5</w:t>
            </w:r>
          </w:p>
        </w:tc>
        <w:tc>
          <w:tcPr>
            <w:vAlign w:val="center"/>
          </w:tcPr>
          <w:p>
            <w:pPr>
              <w:jc w:val="center"/>
            </w:pPr>
            <w:r>
              <w:rPr>
                <w:color w:val="000000"/>
                <w:sz w:val="24"/>
              </w:rPr>
              <w:t>102000521</w:t>
            </w:r>
          </w:p>
        </w:tc>
        <w:tc>
          <w:tcPr>
            <w:vAlign w:val="center"/>
          </w:tcPr>
          <w:p>
            <w:pPr>
              <w:jc w:val="center"/>
            </w:pPr>
            <w:r>
              <w:rPr>
                <w:color w:val="000000"/>
                <w:sz w:val="24"/>
              </w:rPr>
              <w:t>20荆门城投MTN001</w:t>
            </w:r>
          </w:p>
        </w:tc>
        <w:tc>
          <w:tcPr>
            <w:vAlign w:val="center"/>
          </w:tcPr>
          <w:p>
            <w:pPr>
              <w:jc w:val="right"/>
            </w:pPr>
            <w:r>
              <w:rPr>
                <w:color w:val="000000"/>
                <w:sz w:val="24"/>
              </w:rPr>
              <w:t>500,000</w:t>
            </w:r>
          </w:p>
        </w:tc>
        <w:tc>
          <w:tcPr>
            <w:vAlign w:val="center"/>
          </w:tcPr>
          <w:p>
            <w:pPr>
              <w:jc w:val="right"/>
            </w:pPr>
            <w:r>
              <w:rPr>
                <w:color w:val="000000"/>
                <w:sz w:val="24"/>
              </w:rPr>
              <w:t>49,965,000.00</w:t>
            </w:r>
          </w:p>
        </w:tc>
        <w:tc>
          <w:tcPr>
            <w:vAlign w:val="center"/>
          </w:tcPr>
          <w:p>
            <w:pPr>
              <w:jc w:val="right"/>
            </w:pPr>
            <w:r>
              <w:rPr>
                <w:color w:val="000000"/>
                <w:sz w:val="24"/>
              </w:rPr>
              <w:t>3.30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543.95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28,909,417.01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36,652.14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28,946,613.10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交银裕隆纯债债券A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交银裕隆纯债债券C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546,075,199.73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143,625,522.32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682,108,345.09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9,336,666.81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107,033,292.60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19,130,778.82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1,121,150,252.22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133,831,410.31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90,000,000.00</w:t>
            </w:r>
          </w:p>
        </w:tc>
        <w:tc>
          <w:tcPr>
            <w:vAlign w:val="center"/>
          </w:tcPr>
          <w:p>
            <w:pPr>
              <w:jc w:val="center"/>
            </w:pPr>
            <w:r>
              <w:rPr>
                <w:rFonts w:ascii="宋体" w:hAnsi="宋体" w:hint="eastAsia"/>
                <w:color w:val="000000"/>
                <w:kern w:val="0"/>
                <w:szCs w:val="21"/>
              </w:rPr>
              <w:t>374,291,600.21</w:t>
            </w:r>
          </w:p>
        </w:tc>
        <w:tc>
          <w:tcPr>
            <w:vAlign w:val="center"/>
          </w:tcPr>
          <w:p>
            <w:pPr>
              <w:jc w:val="center"/>
            </w:pPr>
            <w:r>
              <w:rPr>
                <w:rFonts w:ascii="宋体" w:hAnsi="宋体" w:hint="eastAsia"/>
                <w:color w:val="000000"/>
                <w:kern w:val="0"/>
                <w:szCs w:val="21"/>
              </w:rPr>
              <w:t>29.82%</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248,521,843.87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248,521,843.87</w:t>
            </w:r>
          </w:p>
        </w:tc>
        <w:tc>
          <w:tcPr>
            <w:vAlign w:val="center"/>
          </w:tcPr>
          <w:p>
            <w:pPr>
              <w:jc w:val="center"/>
            </w:pPr>
            <w:r>
              <w:rPr>
                <w:rFonts w:ascii="宋体" w:hAnsi="宋体" w:hint="eastAsia"/>
                <w:color w:val="000000"/>
                <w:kern w:val="0"/>
                <w:szCs w:val="21"/>
              </w:rPr>
              <w:t>19.80%</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165,699,668.60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165,699,668.60</w:t>
            </w:r>
          </w:p>
        </w:tc>
        <w:tc>
          <w:tcPr>
            <w:vAlign w:val="center"/>
          </w:tcPr>
          <w:p>
            <w:pPr>
              <w:jc w:val="center"/>
            </w:pPr>
            <w:r>
              <w:rPr>
                <w:rFonts w:ascii="宋体" w:hAnsi="宋体" w:hint="eastAsia"/>
                <w:color w:val="000000"/>
                <w:kern w:val="0"/>
                <w:szCs w:val="21"/>
              </w:rPr>
              <w:t>13.20%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1、中国证监会准予交银施罗德裕隆纯债债券型证券投资基金募集注册的文件；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2、《交银施罗德裕隆纯债债券型证券投资基金基金合同》；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3、《交银施罗德裕隆纯债债券型证券投资基金招募说明书》；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4、《交银施罗德裕隆纯债债券型证券投资基金托管协议》；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5、关于申请募集注册交银施罗德裕隆纯债债券型证券投资基金的法律意见书；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8、报告期内交银施罗德裕隆纯债债券型证券投资基金在指定报刊上各项公告的原稿。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交银施罗德裕隆纯债债券型证券投资基金2020年第2季度报告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