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2020</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2020</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二〇二〇年七月二十一日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BB3041">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5440C1" w:rsidRDefault="00E9497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440C1" w:rsidRDefault="00E9497A">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440C1" w:rsidRDefault="00E9497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440C1" w:rsidRDefault="00E9497A">
      <w:pPr>
        <w:spacing w:before="29" w:line="288" w:lineRule="auto"/>
        <w:ind w:firstLineChars="200" w:firstLine="480"/>
        <w:rPr>
          <w:color w:val="000000"/>
          <w:sz w:val="24"/>
        </w:rPr>
      </w:pPr>
      <w:r>
        <w:rPr>
          <w:color w:val="000000"/>
          <w:sz w:val="24"/>
        </w:rPr>
        <w:t>基金的过往业绩并不代表其未来表现</w:t>
      </w:r>
      <w:r>
        <w:rPr>
          <w:color w:val="000000"/>
          <w:sz w:val="24"/>
        </w:rPr>
        <w:t>。投资有风险，投资者在作出投资决策前应仔细阅读本基金的招募说明书。</w:t>
      </w:r>
      <w:r>
        <w:rPr>
          <w:color w:val="000000"/>
          <w:sz w:val="24"/>
        </w:rPr>
        <w:t xml:space="preserve"> </w:t>
      </w:r>
    </w:p>
    <w:p w:rsidR="005440C1" w:rsidRDefault="00E9497A">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2020</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59,799,309.65</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A2A93" w:rsidRPr="008640AE" w:rsidTr="001A2A93">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(2020</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-2020</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1A2A93" w:rsidRPr="008640AE" w:rsidTr="001A2A9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-286,681.10</w:t>
            </w:r>
          </w:p>
        </w:tc>
      </w:tr>
      <w:tr w:rsidR="001A2A93" w:rsidRPr="008640AE" w:rsidTr="001A2A9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19,965,801.68</w:t>
            </w:r>
          </w:p>
        </w:tc>
      </w:tr>
      <w:tr w:rsidR="001A2A93" w:rsidRPr="008640AE" w:rsidTr="001A2A9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0.3270</w:t>
            </w:r>
          </w:p>
        </w:tc>
      </w:tr>
      <w:tr w:rsidR="001A2A93" w:rsidRPr="008640AE" w:rsidTr="001A2A9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127,531,487.00</w:t>
            </w:r>
          </w:p>
        </w:tc>
      </w:tr>
      <w:tr w:rsidR="001A2A93" w:rsidRPr="008640AE" w:rsidTr="001A2A93">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2.133</w:t>
            </w:r>
          </w:p>
        </w:tc>
      </w:tr>
    </w:tbl>
    <w:p w:rsidR="005440C1" w:rsidRDefault="00E9497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5440C1">
        <w:trPr>
          <w:jc w:val="center"/>
        </w:trPr>
        <w:tc>
          <w:tcPr>
            <w:tcW w:w="1701" w:type="dxa"/>
            <w:vAlign w:val="center"/>
          </w:tcPr>
          <w:p w:rsidR="005440C1" w:rsidRDefault="00E9497A">
            <w:pPr>
              <w:jc w:val="left"/>
            </w:pPr>
            <w:r>
              <w:rPr>
                <w:color w:val="000000"/>
                <w:sz w:val="24"/>
              </w:rPr>
              <w:t>过去三个月</w:t>
            </w:r>
          </w:p>
        </w:tc>
        <w:tc>
          <w:tcPr>
            <w:tcW w:w="1194" w:type="dxa"/>
            <w:vAlign w:val="center"/>
          </w:tcPr>
          <w:p w:rsidR="005440C1" w:rsidRDefault="00E9497A">
            <w:pPr>
              <w:jc w:val="right"/>
            </w:pPr>
            <w:r>
              <w:rPr>
                <w:color w:val="000000"/>
                <w:sz w:val="24"/>
              </w:rPr>
              <w:t>18.04%</w:t>
            </w:r>
          </w:p>
        </w:tc>
        <w:tc>
          <w:tcPr>
            <w:tcW w:w="1194" w:type="dxa"/>
            <w:vAlign w:val="center"/>
          </w:tcPr>
          <w:p w:rsidR="005440C1" w:rsidRDefault="00E9497A">
            <w:pPr>
              <w:jc w:val="right"/>
            </w:pPr>
            <w:r>
              <w:rPr>
                <w:color w:val="000000"/>
                <w:sz w:val="24"/>
              </w:rPr>
              <w:t>1.30%</w:t>
            </w:r>
          </w:p>
        </w:tc>
        <w:tc>
          <w:tcPr>
            <w:tcW w:w="1194" w:type="dxa"/>
            <w:vAlign w:val="center"/>
          </w:tcPr>
          <w:p w:rsidR="005440C1" w:rsidRDefault="00E9497A">
            <w:pPr>
              <w:jc w:val="right"/>
            </w:pPr>
            <w:r>
              <w:rPr>
                <w:color w:val="000000"/>
                <w:sz w:val="24"/>
              </w:rPr>
              <w:t>13.93%</w:t>
            </w:r>
          </w:p>
        </w:tc>
        <w:tc>
          <w:tcPr>
            <w:tcW w:w="1343" w:type="dxa"/>
            <w:vAlign w:val="center"/>
          </w:tcPr>
          <w:p w:rsidR="005440C1" w:rsidRDefault="00E9497A">
            <w:pPr>
              <w:jc w:val="right"/>
            </w:pPr>
            <w:r>
              <w:rPr>
                <w:color w:val="000000"/>
                <w:sz w:val="24"/>
              </w:rPr>
              <w:t>1.53%</w:t>
            </w:r>
          </w:p>
        </w:tc>
        <w:tc>
          <w:tcPr>
            <w:tcW w:w="1194" w:type="dxa"/>
            <w:vAlign w:val="center"/>
          </w:tcPr>
          <w:p w:rsidR="005440C1" w:rsidRDefault="00E9497A">
            <w:pPr>
              <w:jc w:val="right"/>
            </w:pPr>
            <w:r>
              <w:rPr>
                <w:color w:val="000000"/>
                <w:sz w:val="24"/>
              </w:rPr>
              <w:t>4.11%</w:t>
            </w:r>
          </w:p>
        </w:tc>
        <w:tc>
          <w:tcPr>
            <w:tcW w:w="1048" w:type="dxa"/>
            <w:vAlign w:val="center"/>
          </w:tcPr>
          <w:p w:rsidR="005440C1" w:rsidRDefault="00E9497A">
            <w:pPr>
              <w:jc w:val="right"/>
            </w:pPr>
            <w:r>
              <w:rPr>
                <w:color w:val="000000"/>
                <w:sz w:val="24"/>
              </w:rPr>
              <w:t>-0.23%</w:t>
            </w:r>
          </w:p>
        </w:tc>
      </w:tr>
      <w:tr w:rsidR="005440C1">
        <w:trPr>
          <w:jc w:val="center"/>
        </w:trPr>
        <w:tc>
          <w:tcPr>
            <w:tcW w:w="1701" w:type="dxa"/>
            <w:vAlign w:val="center"/>
          </w:tcPr>
          <w:p w:rsidR="005440C1" w:rsidRDefault="00E9497A">
            <w:pPr>
              <w:jc w:val="left"/>
            </w:pPr>
            <w:r>
              <w:rPr>
                <w:color w:val="000000"/>
                <w:sz w:val="24"/>
              </w:rPr>
              <w:lastRenderedPageBreak/>
              <w:t>过去六个月</w:t>
            </w:r>
          </w:p>
        </w:tc>
        <w:tc>
          <w:tcPr>
            <w:tcW w:w="1194" w:type="dxa"/>
            <w:vAlign w:val="center"/>
          </w:tcPr>
          <w:p w:rsidR="005440C1" w:rsidRDefault="00E9497A">
            <w:pPr>
              <w:jc w:val="right"/>
            </w:pPr>
            <w:r>
              <w:rPr>
                <w:color w:val="000000"/>
                <w:sz w:val="24"/>
              </w:rPr>
              <w:t>2.72%</w:t>
            </w:r>
          </w:p>
        </w:tc>
        <w:tc>
          <w:tcPr>
            <w:tcW w:w="1194" w:type="dxa"/>
            <w:vAlign w:val="center"/>
          </w:tcPr>
          <w:p w:rsidR="005440C1" w:rsidRDefault="00E9497A">
            <w:pPr>
              <w:jc w:val="right"/>
            </w:pPr>
            <w:r>
              <w:rPr>
                <w:color w:val="000000"/>
                <w:sz w:val="24"/>
              </w:rPr>
              <w:t>1.87%</w:t>
            </w:r>
          </w:p>
        </w:tc>
        <w:tc>
          <w:tcPr>
            <w:tcW w:w="1194" w:type="dxa"/>
            <w:vAlign w:val="center"/>
          </w:tcPr>
          <w:p w:rsidR="005440C1" w:rsidRDefault="00E9497A">
            <w:pPr>
              <w:jc w:val="right"/>
            </w:pPr>
            <w:r>
              <w:rPr>
                <w:color w:val="000000"/>
                <w:sz w:val="24"/>
              </w:rPr>
              <w:t>-8.42%</w:t>
            </w:r>
          </w:p>
        </w:tc>
        <w:tc>
          <w:tcPr>
            <w:tcW w:w="1343" w:type="dxa"/>
            <w:vAlign w:val="center"/>
          </w:tcPr>
          <w:p w:rsidR="005440C1" w:rsidRDefault="00E9497A">
            <w:pPr>
              <w:jc w:val="right"/>
            </w:pPr>
            <w:r>
              <w:rPr>
                <w:color w:val="000000"/>
                <w:sz w:val="24"/>
              </w:rPr>
              <w:t>2.05%</w:t>
            </w:r>
          </w:p>
        </w:tc>
        <w:tc>
          <w:tcPr>
            <w:tcW w:w="1194" w:type="dxa"/>
            <w:vAlign w:val="center"/>
          </w:tcPr>
          <w:p w:rsidR="005440C1" w:rsidRDefault="00E9497A">
            <w:pPr>
              <w:jc w:val="right"/>
            </w:pPr>
            <w:r>
              <w:rPr>
                <w:color w:val="000000"/>
                <w:sz w:val="24"/>
              </w:rPr>
              <w:t>11.14%</w:t>
            </w:r>
          </w:p>
        </w:tc>
        <w:tc>
          <w:tcPr>
            <w:tcW w:w="1048" w:type="dxa"/>
            <w:vAlign w:val="center"/>
          </w:tcPr>
          <w:p w:rsidR="005440C1" w:rsidRDefault="00E9497A">
            <w:pPr>
              <w:jc w:val="right"/>
            </w:pPr>
            <w:r>
              <w:rPr>
                <w:color w:val="000000"/>
                <w:sz w:val="24"/>
              </w:rPr>
              <w:t>-0.18%</w:t>
            </w:r>
          </w:p>
        </w:tc>
      </w:tr>
      <w:tr w:rsidR="005440C1">
        <w:trPr>
          <w:jc w:val="center"/>
        </w:trPr>
        <w:tc>
          <w:tcPr>
            <w:tcW w:w="1701" w:type="dxa"/>
            <w:vAlign w:val="center"/>
          </w:tcPr>
          <w:p w:rsidR="005440C1" w:rsidRDefault="00E9497A">
            <w:pPr>
              <w:jc w:val="left"/>
            </w:pPr>
            <w:r>
              <w:rPr>
                <w:color w:val="000000"/>
                <w:sz w:val="24"/>
              </w:rPr>
              <w:t>过去一年</w:t>
            </w:r>
          </w:p>
        </w:tc>
        <w:tc>
          <w:tcPr>
            <w:tcW w:w="1194" w:type="dxa"/>
            <w:vAlign w:val="center"/>
          </w:tcPr>
          <w:p w:rsidR="005440C1" w:rsidRDefault="00E9497A">
            <w:pPr>
              <w:jc w:val="right"/>
            </w:pPr>
            <w:r>
              <w:rPr>
                <w:color w:val="000000"/>
                <w:sz w:val="24"/>
              </w:rPr>
              <w:t>11.69%</w:t>
            </w:r>
          </w:p>
        </w:tc>
        <w:tc>
          <w:tcPr>
            <w:tcW w:w="1194" w:type="dxa"/>
            <w:vAlign w:val="center"/>
          </w:tcPr>
          <w:p w:rsidR="005440C1" w:rsidRDefault="00E9497A">
            <w:pPr>
              <w:jc w:val="right"/>
            </w:pPr>
            <w:r>
              <w:rPr>
                <w:color w:val="000000"/>
                <w:sz w:val="24"/>
              </w:rPr>
              <w:t>1.36%</w:t>
            </w:r>
          </w:p>
        </w:tc>
        <w:tc>
          <w:tcPr>
            <w:tcW w:w="1194" w:type="dxa"/>
            <w:vAlign w:val="center"/>
          </w:tcPr>
          <w:p w:rsidR="005440C1" w:rsidRDefault="00E9497A">
            <w:pPr>
              <w:jc w:val="right"/>
            </w:pPr>
            <w:r>
              <w:rPr>
                <w:color w:val="000000"/>
                <w:sz w:val="24"/>
              </w:rPr>
              <w:t>-3.51%</w:t>
            </w:r>
          </w:p>
        </w:tc>
        <w:tc>
          <w:tcPr>
            <w:tcW w:w="1343" w:type="dxa"/>
            <w:vAlign w:val="center"/>
          </w:tcPr>
          <w:p w:rsidR="005440C1" w:rsidRDefault="00E9497A">
            <w:pPr>
              <w:jc w:val="right"/>
            </w:pPr>
            <w:r>
              <w:rPr>
                <w:color w:val="000000"/>
                <w:sz w:val="24"/>
              </w:rPr>
              <w:t>1.49%</w:t>
            </w:r>
          </w:p>
        </w:tc>
        <w:tc>
          <w:tcPr>
            <w:tcW w:w="1194" w:type="dxa"/>
            <w:vAlign w:val="center"/>
          </w:tcPr>
          <w:p w:rsidR="005440C1" w:rsidRDefault="00E9497A">
            <w:pPr>
              <w:jc w:val="right"/>
            </w:pPr>
            <w:r>
              <w:rPr>
                <w:color w:val="000000"/>
                <w:sz w:val="24"/>
              </w:rPr>
              <w:t>15.20%</w:t>
            </w:r>
          </w:p>
        </w:tc>
        <w:tc>
          <w:tcPr>
            <w:tcW w:w="1048" w:type="dxa"/>
            <w:vAlign w:val="center"/>
          </w:tcPr>
          <w:p w:rsidR="005440C1" w:rsidRDefault="00E9497A">
            <w:pPr>
              <w:jc w:val="right"/>
            </w:pPr>
            <w:r>
              <w:rPr>
                <w:color w:val="000000"/>
                <w:sz w:val="24"/>
              </w:rPr>
              <w:t>-0.13%</w:t>
            </w:r>
          </w:p>
        </w:tc>
      </w:tr>
      <w:tr w:rsidR="005440C1">
        <w:trPr>
          <w:jc w:val="center"/>
        </w:trPr>
        <w:tc>
          <w:tcPr>
            <w:tcW w:w="1701" w:type="dxa"/>
            <w:vAlign w:val="center"/>
          </w:tcPr>
          <w:p w:rsidR="005440C1" w:rsidRDefault="00E9497A">
            <w:pPr>
              <w:jc w:val="left"/>
            </w:pPr>
            <w:r>
              <w:rPr>
                <w:color w:val="000000"/>
                <w:sz w:val="24"/>
              </w:rPr>
              <w:t>过去三年</w:t>
            </w:r>
          </w:p>
        </w:tc>
        <w:tc>
          <w:tcPr>
            <w:tcW w:w="1194" w:type="dxa"/>
            <w:vAlign w:val="center"/>
          </w:tcPr>
          <w:p w:rsidR="005440C1" w:rsidRDefault="00E9497A">
            <w:pPr>
              <w:jc w:val="right"/>
            </w:pPr>
            <w:r>
              <w:rPr>
                <w:color w:val="000000"/>
                <w:sz w:val="24"/>
              </w:rPr>
              <w:t>34.82%</w:t>
            </w:r>
          </w:p>
        </w:tc>
        <w:tc>
          <w:tcPr>
            <w:tcW w:w="1194" w:type="dxa"/>
            <w:vAlign w:val="center"/>
          </w:tcPr>
          <w:p w:rsidR="005440C1" w:rsidRDefault="00E9497A">
            <w:pPr>
              <w:jc w:val="right"/>
            </w:pPr>
            <w:r>
              <w:rPr>
                <w:color w:val="000000"/>
                <w:sz w:val="24"/>
              </w:rPr>
              <w:t>0.98%</w:t>
            </w:r>
          </w:p>
        </w:tc>
        <w:tc>
          <w:tcPr>
            <w:tcW w:w="1194" w:type="dxa"/>
            <w:vAlign w:val="center"/>
          </w:tcPr>
          <w:p w:rsidR="005440C1" w:rsidRDefault="00E9497A">
            <w:pPr>
              <w:jc w:val="right"/>
            </w:pPr>
            <w:r>
              <w:rPr>
                <w:color w:val="000000"/>
                <w:sz w:val="24"/>
              </w:rPr>
              <w:t>8.50%</w:t>
            </w:r>
          </w:p>
        </w:tc>
        <w:tc>
          <w:tcPr>
            <w:tcW w:w="1343" w:type="dxa"/>
            <w:vAlign w:val="center"/>
          </w:tcPr>
          <w:p w:rsidR="005440C1" w:rsidRDefault="00E9497A">
            <w:pPr>
              <w:jc w:val="right"/>
            </w:pPr>
            <w:r>
              <w:rPr>
                <w:color w:val="000000"/>
                <w:sz w:val="24"/>
              </w:rPr>
              <w:t>1.02%</w:t>
            </w:r>
          </w:p>
        </w:tc>
        <w:tc>
          <w:tcPr>
            <w:tcW w:w="1194" w:type="dxa"/>
            <w:vAlign w:val="center"/>
          </w:tcPr>
          <w:p w:rsidR="005440C1" w:rsidRDefault="00E9497A">
            <w:pPr>
              <w:jc w:val="right"/>
            </w:pPr>
            <w:r>
              <w:rPr>
                <w:color w:val="000000"/>
                <w:sz w:val="24"/>
              </w:rPr>
              <w:t>26.32%</w:t>
            </w:r>
          </w:p>
        </w:tc>
        <w:tc>
          <w:tcPr>
            <w:tcW w:w="1048" w:type="dxa"/>
            <w:vAlign w:val="center"/>
          </w:tcPr>
          <w:p w:rsidR="005440C1" w:rsidRDefault="00E9497A">
            <w:pPr>
              <w:jc w:val="right"/>
            </w:pPr>
            <w:r>
              <w:rPr>
                <w:color w:val="000000"/>
                <w:sz w:val="24"/>
              </w:rPr>
              <w:t>-0.04%</w:t>
            </w:r>
          </w:p>
        </w:tc>
      </w:tr>
      <w:tr w:rsidR="005440C1">
        <w:trPr>
          <w:jc w:val="center"/>
        </w:trPr>
        <w:tc>
          <w:tcPr>
            <w:tcW w:w="1701" w:type="dxa"/>
            <w:vAlign w:val="center"/>
          </w:tcPr>
          <w:p w:rsidR="005440C1" w:rsidRDefault="00E9497A">
            <w:pPr>
              <w:jc w:val="left"/>
            </w:pPr>
            <w:r>
              <w:rPr>
                <w:color w:val="000000"/>
                <w:sz w:val="24"/>
              </w:rPr>
              <w:t>过去五年</w:t>
            </w:r>
          </w:p>
        </w:tc>
        <w:tc>
          <w:tcPr>
            <w:tcW w:w="1194" w:type="dxa"/>
            <w:vAlign w:val="center"/>
          </w:tcPr>
          <w:p w:rsidR="005440C1" w:rsidRDefault="00E9497A">
            <w:pPr>
              <w:jc w:val="right"/>
            </w:pPr>
            <w:r>
              <w:rPr>
                <w:color w:val="000000"/>
                <w:sz w:val="24"/>
              </w:rPr>
              <w:t>44.20%</w:t>
            </w:r>
          </w:p>
        </w:tc>
        <w:tc>
          <w:tcPr>
            <w:tcW w:w="1194" w:type="dxa"/>
            <w:vAlign w:val="center"/>
          </w:tcPr>
          <w:p w:rsidR="005440C1" w:rsidRDefault="00E9497A">
            <w:pPr>
              <w:jc w:val="right"/>
            </w:pPr>
            <w:r>
              <w:rPr>
                <w:color w:val="000000"/>
                <w:sz w:val="24"/>
              </w:rPr>
              <w:t>0.96%</w:t>
            </w:r>
          </w:p>
        </w:tc>
        <w:tc>
          <w:tcPr>
            <w:tcW w:w="1194" w:type="dxa"/>
            <w:vAlign w:val="center"/>
          </w:tcPr>
          <w:p w:rsidR="005440C1" w:rsidRDefault="00E9497A">
            <w:pPr>
              <w:jc w:val="right"/>
            </w:pPr>
            <w:r>
              <w:rPr>
                <w:color w:val="000000"/>
                <w:sz w:val="24"/>
              </w:rPr>
              <w:t>15.56%</w:t>
            </w:r>
          </w:p>
        </w:tc>
        <w:tc>
          <w:tcPr>
            <w:tcW w:w="1343" w:type="dxa"/>
            <w:vAlign w:val="center"/>
          </w:tcPr>
          <w:p w:rsidR="005440C1" w:rsidRDefault="00E9497A">
            <w:pPr>
              <w:jc w:val="right"/>
            </w:pPr>
            <w:r>
              <w:rPr>
                <w:color w:val="000000"/>
                <w:sz w:val="24"/>
              </w:rPr>
              <w:t>0.95%</w:t>
            </w:r>
          </w:p>
        </w:tc>
        <w:tc>
          <w:tcPr>
            <w:tcW w:w="1194" w:type="dxa"/>
            <w:vAlign w:val="center"/>
          </w:tcPr>
          <w:p w:rsidR="005440C1" w:rsidRDefault="00E9497A">
            <w:pPr>
              <w:jc w:val="right"/>
            </w:pPr>
            <w:r>
              <w:rPr>
                <w:color w:val="000000"/>
                <w:sz w:val="24"/>
              </w:rPr>
              <w:t>28.64%</w:t>
            </w:r>
          </w:p>
        </w:tc>
        <w:tc>
          <w:tcPr>
            <w:tcW w:w="1048" w:type="dxa"/>
            <w:vAlign w:val="center"/>
          </w:tcPr>
          <w:p w:rsidR="005440C1" w:rsidRDefault="00E9497A">
            <w:pPr>
              <w:jc w:val="right"/>
            </w:pPr>
            <w:r>
              <w:rPr>
                <w:color w:val="000000"/>
                <w:sz w:val="24"/>
              </w:rPr>
              <w:t>0.01%</w:t>
            </w:r>
          </w:p>
        </w:tc>
      </w:tr>
      <w:tr w:rsidR="005440C1">
        <w:trPr>
          <w:jc w:val="center"/>
        </w:trPr>
        <w:tc>
          <w:tcPr>
            <w:tcW w:w="1701" w:type="dxa"/>
            <w:vAlign w:val="center"/>
          </w:tcPr>
          <w:p w:rsidR="005440C1" w:rsidRDefault="00E9497A">
            <w:pPr>
              <w:jc w:val="left"/>
            </w:pPr>
            <w:r>
              <w:rPr>
                <w:color w:val="000000"/>
                <w:sz w:val="24"/>
              </w:rPr>
              <w:t>自基金合同生效起至今</w:t>
            </w:r>
          </w:p>
        </w:tc>
        <w:tc>
          <w:tcPr>
            <w:tcW w:w="1194" w:type="dxa"/>
            <w:vAlign w:val="center"/>
          </w:tcPr>
          <w:p w:rsidR="005440C1" w:rsidRDefault="00E9497A">
            <w:pPr>
              <w:jc w:val="right"/>
            </w:pPr>
            <w:r>
              <w:rPr>
                <w:color w:val="000000"/>
                <w:sz w:val="24"/>
              </w:rPr>
              <w:t>199.24%</w:t>
            </w:r>
          </w:p>
        </w:tc>
        <w:tc>
          <w:tcPr>
            <w:tcW w:w="1194" w:type="dxa"/>
            <w:vAlign w:val="center"/>
          </w:tcPr>
          <w:p w:rsidR="005440C1" w:rsidRDefault="00E9497A">
            <w:pPr>
              <w:jc w:val="right"/>
            </w:pPr>
            <w:r>
              <w:rPr>
                <w:color w:val="000000"/>
                <w:sz w:val="24"/>
              </w:rPr>
              <w:t>0.97%</w:t>
            </w:r>
          </w:p>
        </w:tc>
        <w:tc>
          <w:tcPr>
            <w:tcW w:w="1194" w:type="dxa"/>
            <w:vAlign w:val="center"/>
          </w:tcPr>
          <w:p w:rsidR="005440C1" w:rsidRDefault="00E9497A">
            <w:pPr>
              <w:jc w:val="right"/>
            </w:pPr>
            <w:r>
              <w:rPr>
                <w:color w:val="000000"/>
                <w:sz w:val="24"/>
              </w:rPr>
              <w:t>54.20%</w:t>
            </w:r>
          </w:p>
        </w:tc>
        <w:tc>
          <w:tcPr>
            <w:tcW w:w="1343" w:type="dxa"/>
            <w:vAlign w:val="center"/>
          </w:tcPr>
          <w:p w:rsidR="005440C1" w:rsidRDefault="00E9497A">
            <w:pPr>
              <w:jc w:val="right"/>
            </w:pPr>
            <w:r>
              <w:rPr>
                <w:color w:val="000000"/>
                <w:sz w:val="24"/>
              </w:rPr>
              <w:t>1.11%</w:t>
            </w:r>
          </w:p>
        </w:tc>
        <w:tc>
          <w:tcPr>
            <w:tcW w:w="1194" w:type="dxa"/>
            <w:vAlign w:val="center"/>
          </w:tcPr>
          <w:p w:rsidR="005440C1" w:rsidRDefault="00E9497A">
            <w:pPr>
              <w:jc w:val="right"/>
            </w:pPr>
            <w:r>
              <w:rPr>
                <w:color w:val="000000"/>
                <w:sz w:val="24"/>
              </w:rPr>
              <w:t>145.04%</w:t>
            </w:r>
          </w:p>
        </w:tc>
        <w:tc>
          <w:tcPr>
            <w:tcW w:w="1048" w:type="dxa"/>
            <w:vAlign w:val="center"/>
          </w:tcPr>
          <w:p w:rsidR="005440C1" w:rsidRDefault="00E9497A">
            <w:pPr>
              <w:jc w:val="right"/>
            </w:pPr>
            <w:r>
              <w:rPr>
                <w:color w:val="000000"/>
                <w:sz w:val="24"/>
              </w:rPr>
              <w:t>-0.14%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2020</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5440C1">
        <w:trPr>
          <w:jc w:val="center"/>
        </w:trPr>
        <w:tc>
          <w:tcPr>
            <w:tcW w:w="846" w:type="dxa"/>
            <w:vAlign w:val="center"/>
          </w:tcPr>
          <w:p w:rsidR="005440C1" w:rsidRDefault="00E9497A">
            <w:pPr>
              <w:jc w:val="center"/>
            </w:pPr>
            <w:r>
              <w:rPr>
                <w:color w:val="000000"/>
                <w:sz w:val="24"/>
              </w:rPr>
              <w:lastRenderedPageBreak/>
              <w:t>陈俊华</w:t>
            </w:r>
          </w:p>
        </w:tc>
        <w:tc>
          <w:tcPr>
            <w:tcW w:w="845" w:type="dxa"/>
            <w:vAlign w:val="center"/>
          </w:tcPr>
          <w:p w:rsidR="005440C1" w:rsidRDefault="00E9497A">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549" w:type="dxa"/>
            <w:vAlign w:val="center"/>
          </w:tcPr>
          <w:p w:rsidR="005440C1" w:rsidRDefault="00E9497A">
            <w:pPr>
              <w:jc w:val="center"/>
            </w:pPr>
            <w:r>
              <w:rPr>
                <w:color w:val="000000"/>
                <w:sz w:val="24"/>
              </w:rPr>
              <w:t>2015-11-21</w:t>
            </w:r>
          </w:p>
        </w:tc>
        <w:tc>
          <w:tcPr>
            <w:tcW w:w="1548" w:type="dxa"/>
            <w:vAlign w:val="center"/>
          </w:tcPr>
          <w:p w:rsidR="005440C1" w:rsidRDefault="00E9497A">
            <w:pPr>
              <w:jc w:val="center"/>
            </w:pPr>
            <w:r>
              <w:rPr>
                <w:color w:val="000000"/>
                <w:sz w:val="24"/>
              </w:rPr>
              <w:t>-</w:t>
            </w:r>
          </w:p>
        </w:tc>
        <w:tc>
          <w:tcPr>
            <w:tcW w:w="1407" w:type="dxa"/>
            <w:vAlign w:val="center"/>
          </w:tcPr>
          <w:p w:rsidR="005440C1" w:rsidRDefault="00E9497A">
            <w:pPr>
              <w:jc w:val="center"/>
            </w:pPr>
            <w:r>
              <w:rPr>
                <w:color w:val="000000"/>
                <w:sz w:val="24"/>
              </w:rPr>
              <w:t>15</w:t>
            </w:r>
            <w:r>
              <w:rPr>
                <w:color w:val="000000"/>
                <w:sz w:val="24"/>
              </w:rPr>
              <w:t>年</w:t>
            </w:r>
          </w:p>
        </w:tc>
        <w:tc>
          <w:tcPr>
            <w:tcW w:w="2673" w:type="dxa"/>
            <w:vAlign w:val="center"/>
          </w:tcPr>
          <w:p w:rsidR="005440C1" w:rsidRDefault="00E9497A">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5440C1">
        <w:trPr>
          <w:jc w:val="center"/>
        </w:trPr>
        <w:tc>
          <w:tcPr>
            <w:tcW w:w="846" w:type="dxa"/>
            <w:vAlign w:val="center"/>
          </w:tcPr>
          <w:p w:rsidR="005440C1" w:rsidRDefault="00E9497A">
            <w:pPr>
              <w:jc w:val="center"/>
            </w:pPr>
            <w:r>
              <w:rPr>
                <w:color w:val="000000"/>
                <w:sz w:val="24"/>
              </w:rPr>
              <w:t>周中</w:t>
            </w:r>
          </w:p>
        </w:tc>
        <w:tc>
          <w:tcPr>
            <w:tcW w:w="845" w:type="dxa"/>
            <w:vAlign w:val="center"/>
          </w:tcPr>
          <w:p w:rsidR="005440C1" w:rsidRDefault="00E9497A">
            <w:pPr>
              <w:jc w:val="center"/>
            </w:pPr>
            <w:r>
              <w:rPr>
                <w:color w:val="000000"/>
                <w:sz w:val="24"/>
              </w:rPr>
              <w:t>交银环球精选混合</w:t>
            </w:r>
            <w:r>
              <w:rPr>
                <w:color w:val="000000"/>
                <w:sz w:val="24"/>
              </w:rPr>
              <w:t>(QDII)</w:t>
            </w:r>
            <w:r>
              <w:rPr>
                <w:color w:val="000000"/>
                <w:sz w:val="24"/>
              </w:rPr>
              <w:t>、交银创新成长混合的基金经理</w:t>
            </w:r>
          </w:p>
        </w:tc>
        <w:tc>
          <w:tcPr>
            <w:tcW w:w="1549" w:type="dxa"/>
            <w:vAlign w:val="center"/>
          </w:tcPr>
          <w:p w:rsidR="005440C1" w:rsidRDefault="00E9497A">
            <w:pPr>
              <w:jc w:val="center"/>
            </w:pPr>
            <w:r>
              <w:rPr>
                <w:color w:val="000000"/>
                <w:sz w:val="24"/>
              </w:rPr>
              <w:t>2015-12-12</w:t>
            </w:r>
          </w:p>
        </w:tc>
        <w:tc>
          <w:tcPr>
            <w:tcW w:w="1548" w:type="dxa"/>
            <w:vAlign w:val="center"/>
          </w:tcPr>
          <w:p w:rsidR="005440C1" w:rsidRDefault="00E9497A">
            <w:pPr>
              <w:jc w:val="center"/>
            </w:pPr>
            <w:r>
              <w:rPr>
                <w:color w:val="000000"/>
                <w:sz w:val="24"/>
              </w:rPr>
              <w:t>-</w:t>
            </w:r>
          </w:p>
        </w:tc>
        <w:tc>
          <w:tcPr>
            <w:tcW w:w="1407" w:type="dxa"/>
            <w:vAlign w:val="center"/>
          </w:tcPr>
          <w:p w:rsidR="005440C1" w:rsidRDefault="00E9497A">
            <w:pPr>
              <w:jc w:val="center"/>
            </w:pPr>
            <w:r>
              <w:rPr>
                <w:color w:val="000000"/>
                <w:sz w:val="24"/>
              </w:rPr>
              <w:t>11</w:t>
            </w:r>
            <w:r>
              <w:rPr>
                <w:color w:val="000000"/>
                <w:sz w:val="24"/>
              </w:rPr>
              <w:t>年</w:t>
            </w:r>
          </w:p>
        </w:tc>
        <w:tc>
          <w:tcPr>
            <w:tcW w:w="2673" w:type="dxa"/>
            <w:vAlign w:val="center"/>
          </w:tcPr>
          <w:p w:rsidR="005440C1" w:rsidRDefault="00E9497A">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r w:rsidR="005440C1">
        <w:trPr>
          <w:jc w:val="center"/>
        </w:trPr>
        <w:tc>
          <w:tcPr>
            <w:tcW w:w="846" w:type="dxa"/>
            <w:vAlign w:val="center"/>
          </w:tcPr>
          <w:p w:rsidR="005440C1" w:rsidRDefault="00E9497A">
            <w:pPr>
              <w:jc w:val="center"/>
            </w:pPr>
            <w:r>
              <w:rPr>
                <w:color w:val="000000"/>
                <w:sz w:val="24"/>
              </w:rPr>
              <w:t>陈舒薇</w:t>
            </w:r>
          </w:p>
        </w:tc>
        <w:tc>
          <w:tcPr>
            <w:tcW w:w="845" w:type="dxa"/>
            <w:vAlign w:val="center"/>
          </w:tcPr>
          <w:p w:rsidR="005440C1" w:rsidRDefault="00E9497A">
            <w:pPr>
              <w:jc w:val="center"/>
            </w:pPr>
            <w:r>
              <w:rPr>
                <w:color w:val="000000"/>
                <w:sz w:val="24"/>
              </w:rPr>
              <w:t>交银环球精选混合</w:t>
            </w:r>
            <w:r>
              <w:rPr>
                <w:color w:val="000000"/>
                <w:sz w:val="24"/>
              </w:rPr>
              <w:t>(QDII)</w:t>
            </w:r>
            <w:r>
              <w:rPr>
                <w:color w:val="000000"/>
                <w:sz w:val="24"/>
              </w:rPr>
              <w:t>的基金经</w:t>
            </w:r>
            <w:r>
              <w:rPr>
                <w:color w:val="000000"/>
                <w:sz w:val="24"/>
              </w:rPr>
              <w:lastRenderedPageBreak/>
              <w:t>理</w:t>
            </w:r>
          </w:p>
        </w:tc>
        <w:tc>
          <w:tcPr>
            <w:tcW w:w="1549" w:type="dxa"/>
            <w:vAlign w:val="center"/>
          </w:tcPr>
          <w:p w:rsidR="005440C1" w:rsidRDefault="00E9497A">
            <w:pPr>
              <w:jc w:val="center"/>
            </w:pPr>
            <w:r>
              <w:rPr>
                <w:color w:val="000000"/>
                <w:sz w:val="24"/>
              </w:rPr>
              <w:lastRenderedPageBreak/>
              <w:t>2020-01-08</w:t>
            </w:r>
          </w:p>
        </w:tc>
        <w:tc>
          <w:tcPr>
            <w:tcW w:w="1548" w:type="dxa"/>
            <w:vAlign w:val="center"/>
          </w:tcPr>
          <w:p w:rsidR="005440C1" w:rsidRDefault="00E9497A">
            <w:pPr>
              <w:jc w:val="center"/>
            </w:pPr>
            <w:r>
              <w:rPr>
                <w:color w:val="000000"/>
                <w:sz w:val="24"/>
              </w:rPr>
              <w:t>-</w:t>
            </w:r>
          </w:p>
        </w:tc>
        <w:tc>
          <w:tcPr>
            <w:tcW w:w="1407" w:type="dxa"/>
            <w:vAlign w:val="center"/>
          </w:tcPr>
          <w:p w:rsidR="005440C1" w:rsidRDefault="00E9497A">
            <w:pPr>
              <w:jc w:val="center"/>
            </w:pPr>
            <w:r>
              <w:rPr>
                <w:color w:val="000000"/>
                <w:sz w:val="24"/>
              </w:rPr>
              <w:t>11</w:t>
            </w:r>
            <w:r>
              <w:rPr>
                <w:color w:val="000000"/>
                <w:sz w:val="24"/>
              </w:rPr>
              <w:t>年</w:t>
            </w:r>
          </w:p>
        </w:tc>
        <w:tc>
          <w:tcPr>
            <w:tcW w:w="2673" w:type="dxa"/>
            <w:vAlign w:val="center"/>
          </w:tcPr>
          <w:p w:rsidR="005440C1" w:rsidRDefault="00E9497A">
            <w:pPr>
              <w:jc w:val="left"/>
            </w:pPr>
            <w:r>
              <w:rPr>
                <w:color w:val="000000"/>
                <w:sz w:val="24"/>
              </w:rPr>
              <w:t>陈舒薇女士，宾夕法尼亚大学</w:t>
            </w:r>
            <w:r>
              <w:rPr>
                <w:color w:val="000000"/>
                <w:sz w:val="24"/>
              </w:rPr>
              <w:t>MBA</w:t>
            </w:r>
            <w:r>
              <w:rPr>
                <w:color w:val="000000"/>
                <w:sz w:val="24"/>
              </w:rPr>
              <w:t>、上海交通大学金融硕士、上海交通大学学士。历任东方证券分析师、中金公司分析师、光大证券分析师、香港瑞士信贷分析</w:t>
            </w:r>
            <w:r>
              <w:rPr>
                <w:color w:val="000000"/>
                <w:sz w:val="24"/>
              </w:rPr>
              <w:lastRenderedPageBreak/>
              <w:t>师。</w:t>
            </w:r>
            <w:r>
              <w:rPr>
                <w:color w:val="000000"/>
                <w:sz w:val="24"/>
              </w:rPr>
              <w:t>2019</w:t>
            </w:r>
            <w:r>
              <w:rPr>
                <w:color w:val="000000"/>
                <w:sz w:val="24"/>
              </w:rPr>
              <w:t>年加入交银施罗德基金管理有限公司，曾任跨境投资部基金经理助理。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5440C1">
        <w:trPr>
          <w:jc w:val="center"/>
        </w:trPr>
        <w:tc>
          <w:tcPr>
            <w:tcW w:w="2070" w:type="dxa"/>
            <w:vAlign w:val="center"/>
          </w:tcPr>
          <w:p w:rsidR="005440C1" w:rsidRDefault="00E9497A">
            <w:pPr>
              <w:jc w:val="center"/>
            </w:pPr>
            <w:r>
              <w:rPr>
                <w:color w:val="000000"/>
                <w:sz w:val="24"/>
              </w:rPr>
              <w:t>Simon Webber</w:t>
            </w:r>
          </w:p>
        </w:tc>
        <w:tc>
          <w:tcPr>
            <w:tcW w:w="2465" w:type="dxa"/>
            <w:vAlign w:val="center"/>
          </w:tcPr>
          <w:p w:rsidR="005440C1" w:rsidRDefault="00E9497A">
            <w:pPr>
              <w:jc w:val="center"/>
            </w:pPr>
            <w:r>
              <w:rPr>
                <w:color w:val="000000"/>
                <w:sz w:val="24"/>
              </w:rPr>
              <w:t>施罗德集团多区域（全球及国际）股票投资主管、全球和国际股票基金经理、全球气候变化股票基金经理</w:t>
            </w:r>
          </w:p>
        </w:tc>
        <w:tc>
          <w:tcPr>
            <w:tcW w:w="2116" w:type="dxa"/>
            <w:vAlign w:val="center"/>
          </w:tcPr>
          <w:p w:rsidR="005440C1" w:rsidRDefault="00E9497A">
            <w:pPr>
              <w:jc w:val="center"/>
            </w:pPr>
            <w:r>
              <w:rPr>
                <w:color w:val="000000"/>
                <w:sz w:val="24"/>
              </w:rPr>
              <w:t>21</w:t>
            </w:r>
            <w:r>
              <w:rPr>
                <w:color w:val="000000"/>
                <w:sz w:val="24"/>
              </w:rPr>
              <w:t>年</w:t>
            </w:r>
          </w:p>
        </w:tc>
        <w:tc>
          <w:tcPr>
            <w:tcW w:w="2217" w:type="dxa"/>
            <w:vAlign w:val="center"/>
          </w:tcPr>
          <w:p w:rsidR="005440C1" w:rsidRDefault="00E9497A">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5440C1" w:rsidRDefault="00E9497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440C1" w:rsidRDefault="00E9497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w:t>
      </w:r>
      <w:r>
        <w:rPr>
          <w:color w:val="000000"/>
          <w:sz w:val="24"/>
        </w:rPr>
        <w:t>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440C1" w:rsidRDefault="00E9497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5440C1" w:rsidRDefault="00E9497A">
      <w:pPr>
        <w:spacing w:before="29" w:line="288" w:lineRule="auto"/>
        <w:ind w:firstLineChars="200" w:firstLine="480"/>
        <w:rPr>
          <w:color w:val="000000"/>
          <w:sz w:val="24"/>
        </w:rPr>
      </w:pPr>
      <w:r>
        <w:rPr>
          <w:color w:val="000000"/>
          <w:sz w:val="24"/>
        </w:rPr>
        <w:t>2020</w:t>
      </w:r>
      <w:r>
        <w:rPr>
          <w:color w:val="000000"/>
          <w:sz w:val="24"/>
        </w:rPr>
        <w:t>年二季度，新冠疫情对国内经济影响逐步出清，海外影响虽仍未显著减弱，但随着各国政府配套货币、财政托底政策地不断出台，欧美市场已提前反映经济重启后的复苏预期，部分市场指数甚至已恢复并超过疫情前水平；</w:t>
      </w:r>
      <w:r>
        <w:rPr>
          <w:color w:val="000000"/>
          <w:sz w:val="24"/>
        </w:rPr>
        <w:t>疫情期间，中美贸易谈判仍有负面扰动，但此次香港市场并未重现</w:t>
      </w:r>
      <w:r>
        <w:rPr>
          <w:color w:val="000000"/>
          <w:sz w:val="24"/>
        </w:rPr>
        <w:t>2018</w:t>
      </w:r>
      <w:r>
        <w:rPr>
          <w:color w:val="000000"/>
          <w:sz w:val="24"/>
        </w:rPr>
        <w:t>年时的过度反应，在国内经济稳步复苏的带动下，表现基本平稳。二季度，纳斯达克反弹</w:t>
      </w:r>
      <w:r>
        <w:rPr>
          <w:color w:val="000000"/>
          <w:sz w:val="24"/>
        </w:rPr>
        <w:t>30.63%</w:t>
      </w:r>
      <w:r>
        <w:rPr>
          <w:color w:val="000000"/>
          <w:sz w:val="24"/>
        </w:rPr>
        <w:t>，标普</w:t>
      </w:r>
      <w:r>
        <w:rPr>
          <w:color w:val="000000"/>
          <w:sz w:val="24"/>
        </w:rPr>
        <w:t>500</w:t>
      </w:r>
      <w:r>
        <w:rPr>
          <w:color w:val="000000"/>
          <w:sz w:val="24"/>
        </w:rPr>
        <w:t>反弹</w:t>
      </w:r>
      <w:r>
        <w:rPr>
          <w:color w:val="000000"/>
          <w:sz w:val="24"/>
        </w:rPr>
        <w:t>19.95%</w:t>
      </w:r>
      <w:r>
        <w:rPr>
          <w:color w:val="000000"/>
          <w:sz w:val="24"/>
        </w:rPr>
        <w:t>；恒生指数小幅回升</w:t>
      </w:r>
      <w:r>
        <w:rPr>
          <w:color w:val="000000"/>
          <w:sz w:val="24"/>
        </w:rPr>
        <w:t>3.49%</w:t>
      </w:r>
      <w:r>
        <w:rPr>
          <w:color w:val="000000"/>
          <w:sz w:val="24"/>
        </w:rPr>
        <w:t>。</w:t>
      </w:r>
    </w:p>
    <w:p w:rsidR="005440C1" w:rsidRDefault="00E9497A">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二季度，我们调整仓位结构以抓住市场反弹机遇。对于欧美股市，我们增加科技、消费、银行以及医药等板块的持仓；港股方面，我们增加互联网、地产以及消费等板块配置，并于季度末适当减少医药个股的持仓。整体来看，二季度我们为投资者获得正收益，并超越基准指数回报。</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2020</w:t>
      </w:r>
      <w:r w:rsidRPr="008640AE">
        <w:rPr>
          <w:color w:val="000000"/>
          <w:sz w:val="24"/>
        </w:rPr>
        <w:t>年三季度，我们持谨慎乐观的态度。美股方面，我们相对谨慎，一方面，代表非周期性行业的纳斯达克指数已经连创新高，其中消费、科技类个股表现突出，乐观的市场预期已经提前反映了经济的重启效应，然而另一方面，疫情对于实体经济的影响远未消除，尤其是创新高的失业率对居民购买力的压制，预计将集中体现在二季报业绩中。虽然市场目前已对二季报业绩下修，并且更多展望的是下半年的反弹，但基于目前的疫情控制情况，业绩会期间公司对下半年的展望难言乐观；港股方面，我们相对乐观，受内地经济稳步复苏以及香港政府刺激经济政策的带动，预计二季报会比一季报表现更好，港股估值来看，横向对比</w:t>
      </w:r>
      <w:r w:rsidRPr="008640AE">
        <w:rPr>
          <w:color w:val="000000"/>
          <w:sz w:val="24"/>
        </w:rPr>
        <w:t>A</w:t>
      </w:r>
      <w:r w:rsidRPr="008640AE">
        <w:rPr>
          <w:color w:val="000000"/>
          <w:sz w:val="24"/>
        </w:rPr>
        <w:t>股和美股，或纵向来看，都还处于历史相对低位。长期来看，我们坚定看好香港上市的内地核心资产：港股在互联网、医药及消费领域中拥有</w:t>
      </w:r>
      <w:r w:rsidRPr="008640AE">
        <w:rPr>
          <w:color w:val="000000"/>
          <w:sz w:val="24"/>
        </w:rPr>
        <w:t>A</w:t>
      </w:r>
      <w:r w:rsidRPr="008640AE">
        <w:rPr>
          <w:color w:val="000000"/>
          <w:sz w:val="24"/>
        </w:rPr>
        <w:t>股没有的且具备全球竞争力的标的，尤其互联网板块，在未来中概股持续回归的趋势下，将是南下资金配置的重要方向；更多的创新医药、医疗器械公司因为上市条件宽松选择在港股首发上市，为投资人带来更早介入的机会。我们将继续在上述领域寻找投资标的，继续勤勉尽责地积极调研，努力为投资人赚取回报。</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“3.1</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 xml:space="preserve">“3.2.1 </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7977A8" w:rsidRPr="007977A8" w:rsidRDefault="007977A8" w:rsidP="007977A8">
      <w:pPr>
        <w:autoSpaceDE w:val="0"/>
        <w:autoSpaceDN w:val="0"/>
        <w:adjustRightInd w:val="0"/>
        <w:spacing w:before="29" w:line="288" w:lineRule="auto"/>
        <w:jc w:val="right"/>
        <w:rPr>
          <w:color w:val="000000"/>
          <w:kern w:val="0"/>
          <w:sz w:val="24"/>
        </w:rPr>
      </w:pPr>
      <w:r w:rsidRPr="007977A8">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1559" w:type="dxa"/>
            <w:shd w:val="clear" w:color="auto" w:fill="auto"/>
            <w:vAlign w:val="center"/>
          </w:tcPr>
          <w:p w:rsidR="00363E15" w:rsidRPr="008640AE" w:rsidRDefault="00363E15" w:rsidP="00890782">
            <w:pPr>
              <w:spacing w:before="29" w:line="288" w:lineRule="auto"/>
              <w:ind w:left="17"/>
              <w:jc w:val="center"/>
              <w:rPr>
                <w:color w:val="000000"/>
                <w:sz w:val="24"/>
              </w:rPr>
            </w:pPr>
            <w:r w:rsidRPr="008640AE">
              <w:rPr>
                <w:color w:val="000000"/>
                <w:sz w:val="24"/>
              </w:rPr>
              <w:t>占基金总资产的比例</w:t>
            </w:r>
            <w:r w:rsidR="00890782">
              <w:rPr>
                <w:rFonts w:hint="eastAsia"/>
                <w:color w:val="000000"/>
                <w:kern w:val="0"/>
                <w:sz w:val="24"/>
              </w:rPr>
              <w:t>(</w:t>
            </w:r>
            <w:r w:rsidR="00890782">
              <w:rPr>
                <w:color w:val="000000"/>
                <w:kern w:val="0"/>
                <w:sz w:val="24"/>
              </w:rPr>
              <w:t>%</w:t>
            </w:r>
            <w:r w:rsidR="00890782">
              <w:rPr>
                <w:rFonts w:hint="eastAsia"/>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114,361,707.60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87.44</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112,272,038.98</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85.84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2,089,668.62</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1.60</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08226F" w:rsidRPr="008640AE">
              <w:rPr>
                <w:color w:val="000000"/>
                <w:sz w:val="24"/>
              </w:rPr>
              <w:t>凭证</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15,183,695.78</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11.61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66673A">
              <w:rPr>
                <w:rFonts w:hint="eastAsia"/>
                <w:color w:val="000000"/>
                <w:sz w:val="24"/>
              </w:rPr>
              <w:t>各项</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1,245,531.15</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0.95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130,790,934.53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 xml:space="preserve">5.2 </w:t>
      </w:r>
      <w:r w:rsidRPr="008640AE">
        <w:rPr>
          <w:b/>
          <w:color w:val="000000"/>
          <w:kern w:val="0"/>
          <w:sz w:val="24"/>
        </w:rPr>
        <w:t>报告期末在各个国家（地区）证券市场的股票及存托凭证投资分布</w:t>
      </w:r>
    </w:p>
    <w:p w:rsidR="009F647F" w:rsidRPr="009F647F" w:rsidRDefault="009F647F" w:rsidP="009F647F">
      <w:pPr>
        <w:autoSpaceDE w:val="0"/>
        <w:autoSpaceDN w:val="0"/>
        <w:adjustRightInd w:val="0"/>
        <w:spacing w:before="29" w:line="288" w:lineRule="auto"/>
        <w:jc w:val="right"/>
        <w:rPr>
          <w:color w:val="000000"/>
          <w:kern w:val="0"/>
          <w:sz w:val="24"/>
        </w:rPr>
      </w:pPr>
      <w:r w:rsidRPr="009F647F">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5440C1">
        <w:trPr>
          <w:jc w:val="center"/>
        </w:trPr>
        <w:tc>
          <w:tcPr>
            <w:tcW w:w="2484" w:type="dxa"/>
            <w:vAlign w:val="center"/>
          </w:tcPr>
          <w:p w:rsidR="005440C1" w:rsidRDefault="00E9497A">
            <w:pPr>
              <w:jc w:val="left"/>
            </w:pPr>
            <w:r>
              <w:rPr>
                <w:color w:val="000000"/>
                <w:sz w:val="24"/>
              </w:rPr>
              <w:t>美国</w:t>
            </w:r>
          </w:p>
        </w:tc>
        <w:tc>
          <w:tcPr>
            <w:tcW w:w="3214" w:type="dxa"/>
            <w:vAlign w:val="center"/>
          </w:tcPr>
          <w:p w:rsidR="005440C1" w:rsidRDefault="00E9497A">
            <w:pPr>
              <w:jc w:val="right"/>
            </w:pPr>
            <w:r>
              <w:rPr>
                <w:color w:val="000000"/>
                <w:sz w:val="24"/>
              </w:rPr>
              <w:t>55,899,125.72</w:t>
            </w:r>
          </w:p>
        </w:tc>
        <w:tc>
          <w:tcPr>
            <w:tcW w:w="3170" w:type="dxa"/>
            <w:vAlign w:val="center"/>
          </w:tcPr>
          <w:p w:rsidR="005440C1" w:rsidRDefault="00E9497A">
            <w:pPr>
              <w:jc w:val="right"/>
            </w:pPr>
            <w:r>
              <w:rPr>
                <w:color w:val="000000"/>
                <w:sz w:val="24"/>
              </w:rPr>
              <w:t>43.83</w:t>
            </w:r>
          </w:p>
        </w:tc>
      </w:tr>
      <w:tr w:rsidR="005440C1">
        <w:trPr>
          <w:jc w:val="center"/>
        </w:trPr>
        <w:tc>
          <w:tcPr>
            <w:tcW w:w="2484" w:type="dxa"/>
            <w:vAlign w:val="center"/>
          </w:tcPr>
          <w:p w:rsidR="005440C1" w:rsidRDefault="00E9497A">
            <w:pPr>
              <w:jc w:val="left"/>
            </w:pPr>
            <w:r>
              <w:rPr>
                <w:color w:val="000000"/>
                <w:sz w:val="24"/>
              </w:rPr>
              <w:t>香港</w:t>
            </w:r>
          </w:p>
        </w:tc>
        <w:tc>
          <w:tcPr>
            <w:tcW w:w="3214" w:type="dxa"/>
            <w:vAlign w:val="center"/>
          </w:tcPr>
          <w:p w:rsidR="005440C1" w:rsidRDefault="00E9497A">
            <w:pPr>
              <w:jc w:val="right"/>
            </w:pPr>
            <w:r>
              <w:rPr>
                <w:color w:val="000000"/>
                <w:sz w:val="24"/>
              </w:rPr>
              <w:t>24,270,064.08</w:t>
            </w:r>
          </w:p>
        </w:tc>
        <w:tc>
          <w:tcPr>
            <w:tcW w:w="3170" w:type="dxa"/>
            <w:vAlign w:val="center"/>
          </w:tcPr>
          <w:p w:rsidR="005440C1" w:rsidRDefault="00E9497A">
            <w:pPr>
              <w:jc w:val="right"/>
            </w:pPr>
            <w:r>
              <w:rPr>
                <w:color w:val="000000"/>
                <w:sz w:val="24"/>
              </w:rPr>
              <w:t>19.03</w:t>
            </w:r>
          </w:p>
        </w:tc>
      </w:tr>
      <w:tr w:rsidR="005440C1">
        <w:trPr>
          <w:jc w:val="center"/>
        </w:trPr>
        <w:tc>
          <w:tcPr>
            <w:tcW w:w="2484" w:type="dxa"/>
            <w:vAlign w:val="center"/>
          </w:tcPr>
          <w:p w:rsidR="005440C1" w:rsidRDefault="00E9497A">
            <w:pPr>
              <w:jc w:val="left"/>
            </w:pPr>
            <w:r>
              <w:rPr>
                <w:color w:val="000000"/>
                <w:sz w:val="24"/>
              </w:rPr>
              <w:t>瑞士</w:t>
            </w:r>
          </w:p>
        </w:tc>
        <w:tc>
          <w:tcPr>
            <w:tcW w:w="3214" w:type="dxa"/>
            <w:vAlign w:val="center"/>
          </w:tcPr>
          <w:p w:rsidR="005440C1" w:rsidRDefault="00E9497A">
            <w:pPr>
              <w:jc w:val="right"/>
            </w:pPr>
            <w:r>
              <w:rPr>
                <w:color w:val="000000"/>
                <w:sz w:val="24"/>
              </w:rPr>
              <w:t>7,151,728.27</w:t>
            </w:r>
          </w:p>
        </w:tc>
        <w:tc>
          <w:tcPr>
            <w:tcW w:w="3170" w:type="dxa"/>
            <w:vAlign w:val="center"/>
          </w:tcPr>
          <w:p w:rsidR="005440C1" w:rsidRDefault="00E9497A">
            <w:pPr>
              <w:jc w:val="right"/>
            </w:pPr>
            <w:r>
              <w:rPr>
                <w:color w:val="000000"/>
                <w:sz w:val="24"/>
              </w:rPr>
              <w:t>5.61</w:t>
            </w:r>
          </w:p>
        </w:tc>
      </w:tr>
      <w:tr w:rsidR="005440C1">
        <w:trPr>
          <w:jc w:val="center"/>
        </w:trPr>
        <w:tc>
          <w:tcPr>
            <w:tcW w:w="2484" w:type="dxa"/>
            <w:vAlign w:val="center"/>
          </w:tcPr>
          <w:p w:rsidR="005440C1" w:rsidRDefault="00E9497A">
            <w:pPr>
              <w:jc w:val="left"/>
            </w:pPr>
            <w:r>
              <w:rPr>
                <w:color w:val="000000"/>
                <w:sz w:val="24"/>
              </w:rPr>
              <w:t>法国</w:t>
            </w:r>
          </w:p>
        </w:tc>
        <w:tc>
          <w:tcPr>
            <w:tcW w:w="3214" w:type="dxa"/>
            <w:vAlign w:val="center"/>
          </w:tcPr>
          <w:p w:rsidR="005440C1" w:rsidRDefault="00E9497A">
            <w:pPr>
              <w:jc w:val="right"/>
            </w:pPr>
            <w:r>
              <w:rPr>
                <w:color w:val="000000"/>
                <w:sz w:val="24"/>
              </w:rPr>
              <w:t>6,186,766.83</w:t>
            </w:r>
          </w:p>
        </w:tc>
        <w:tc>
          <w:tcPr>
            <w:tcW w:w="3170" w:type="dxa"/>
            <w:vAlign w:val="center"/>
          </w:tcPr>
          <w:p w:rsidR="005440C1" w:rsidRDefault="00E9497A">
            <w:pPr>
              <w:jc w:val="right"/>
            </w:pPr>
            <w:r>
              <w:rPr>
                <w:color w:val="000000"/>
                <w:sz w:val="24"/>
              </w:rPr>
              <w:t>4.85</w:t>
            </w:r>
          </w:p>
        </w:tc>
      </w:tr>
      <w:tr w:rsidR="005440C1">
        <w:trPr>
          <w:jc w:val="center"/>
        </w:trPr>
        <w:tc>
          <w:tcPr>
            <w:tcW w:w="2484" w:type="dxa"/>
            <w:vAlign w:val="center"/>
          </w:tcPr>
          <w:p w:rsidR="005440C1" w:rsidRDefault="00E9497A">
            <w:pPr>
              <w:jc w:val="left"/>
            </w:pPr>
            <w:r>
              <w:rPr>
                <w:color w:val="000000"/>
                <w:sz w:val="24"/>
              </w:rPr>
              <w:t>日本</w:t>
            </w:r>
          </w:p>
        </w:tc>
        <w:tc>
          <w:tcPr>
            <w:tcW w:w="3214" w:type="dxa"/>
            <w:vAlign w:val="center"/>
          </w:tcPr>
          <w:p w:rsidR="005440C1" w:rsidRDefault="00E9497A">
            <w:pPr>
              <w:jc w:val="right"/>
            </w:pPr>
            <w:r>
              <w:rPr>
                <w:color w:val="000000"/>
                <w:sz w:val="24"/>
              </w:rPr>
              <w:t>4,937,217.57</w:t>
            </w:r>
          </w:p>
        </w:tc>
        <w:tc>
          <w:tcPr>
            <w:tcW w:w="3170" w:type="dxa"/>
            <w:vAlign w:val="center"/>
          </w:tcPr>
          <w:p w:rsidR="005440C1" w:rsidRDefault="00E9497A">
            <w:pPr>
              <w:jc w:val="right"/>
            </w:pPr>
            <w:r>
              <w:rPr>
                <w:color w:val="000000"/>
                <w:sz w:val="24"/>
              </w:rPr>
              <w:t>3.87</w:t>
            </w:r>
          </w:p>
        </w:tc>
      </w:tr>
      <w:tr w:rsidR="005440C1">
        <w:trPr>
          <w:jc w:val="center"/>
        </w:trPr>
        <w:tc>
          <w:tcPr>
            <w:tcW w:w="2484" w:type="dxa"/>
            <w:vAlign w:val="center"/>
          </w:tcPr>
          <w:p w:rsidR="005440C1" w:rsidRDefault="00E9497A">
            <w:pPr>
              <w:jc w:val="left"/>
            </w:pPr>
            <w:r>
              <w:rPr>
                <w:color w:val="000000"/>
                <w:sz w:val="24"/>
              </w:rPr>
              <w:t>韩国</w:t>
            </w:r>
          </w:p>
        </w:tc>
        <w:tc>
          <w:tcPr>
            <w:tcW w:w="3214" w:type="dxa"/>
            <w:vAlign w:val="center"/>
          </w:tcPr>
          <w:p w:rsidR="005440C1" w:rsidRDefault="00E9497A">
            <w:pPr>
              <w:jc w:val="right"/>
            </w:pPr>
            <w:r>
              <w:rPr>
                <w:color w:val="000000"/>
                <w:sz w:val="24"/>
              </w:rPr>
              <w:t>3,541,359.34</w:t>
            </w:r>
          </w:p>
        </w:tc>
        <w:tc>
          <w:tcPr>
            <w:tcW w:w="3170" w:type="dxa"/>
            <w:vAlign w:val="center"/>
          </w:tcPr>
          <w:p w:rsidR="005440C1" w:rsidRDefault="00E9497A">
            <w:pPr>
              <w:jc w:val="right"/>
            </w:pPr>
            <w:r>
              <w:rPr>
                <w:color w:val="000000"/>
                <w:sz w:val="24"/>
              </w:rPr>
              <w:t>2.78</w:t>
            </w:r>
          </w:p>
        </w:tc>
      </w:tr>
      <w:tr w:rsidR="005440C1">
        <w:trPr>
          <w:jc w:val="center"/>
        </w:trPr>
        <w:tc>
          <w:tcPr>
            <w:tcW w:w="2484" w:type="dxa"/>
            <w:vAlign w:val="center"/>
          </w:tcPr>
          <w:p w:rsidR="005440C1" w:rsidRDefault="00E9497A">
            <w:pPr>
              <w:jc w:val="left"/>
            </w:pPr>
            <w:r>
              <w:rPr>
                <w:color w:val="000000"/>
                <w:sz w:val="24"/>
              </w:rPr>
              <w:t>荷兰</w:t>
            </w:r>
          </w:p>
        </w:tc>
        <w:tc>
          <w:tcPr>
            <w:tcW w:w="3214" w:type="dxa"/>
            <w:vAlign w:val="center"/>
          </w:tcPr>
          <w:p w:rsidR="005440C1" w:rsidRDefault="00E9497A">
            <w:pPr>
              <w:jc w:val="right"/>
            </w:pPr>
            <w:r>
              <w:rPr>
                <w:color w:val="000000"/>
                <w:sz w:val="24"/>
              </w:rPr>
              <w:t>3,513,305.71</w:t>
            </w:r>
          </w:p>
        </w:tc>
        <w:tc>
          <w:tcPr>
            <w:tcW w:w="3170" w:type="dxa"/>
            <w:vAlign w:val="center"/>
          </w:tcPr>
          <w:p w:rsidR="005440C1" w:rsidRDefault="00E9497A">
            <w:pPr>
              <w:jc w:val="right"/>
            </w:pPr>
            <w:r>
              <w:rPr>
                <w:color w:val="000000"/>
                <w:sz w:val="24"/>
              </w:rPr>
              <w:t>2.75</w:t>
            </w:r>
          </w:p>
        </w:tc>
      </w:tr>
      <w:tr w:rsidR="005440C1">
        <w:trPr>
          <w:jc w:val="center"/>
        </w:trPr>
        <w:tc>
          <w:tcPr>
            <w:tcW w:w="2484" w:type="dxa"/>
            <w:vAlign w:val="center"/>
          </w:tcPr>
          <w:p w:rsidR="005440C1" w:rsidRDefault="00E9497A">
            <w:pPr>
              <w:jc w:val="left"/>
            </w:pPr>
            <w:r>
              <w:rPr>
                <w:color w:val="000000"/>
                <w:sz w:val="24"/>
              </w:rPr>
              <w:t>英国</w:t>
            </w:r>
          </w:p>
        </w:tc>
        <w:tc>
          <w:tcPr>
            <w:tcW w:w="3214" w:type="dxa"/>
            <w:vAlign w:val="center"/>
          </w:tcPr>
          <w:p w:rsidR="005440C1" w:rsidRDefault="00E9497A">
            <w:pPr>
              <w:jc w:val="right"/>
            </w:pPr>
            <w:r>
              <w:rPr>
                <w:color w:val="000000"/>
                <w:sz w:val="24"/>
              </w:rPr>
              <w:t>3,348,116.50</w:t>
            </w:r>
          </w:p>
        </w:tc>
        <w:tc>
          <w:tcPr>
            <w:tcW w:w="3170" w:type="dxa"/>
            <w:vAlign w:val="center"/>
          </w:tcPr>
          <w:p w:rsidR="005440C1" w:rsidRDefault="00E9497A">
            <w:pPr>
              <w:jc w:val="right"/>
            </w:pPr>
            <w:r>
              <w:rPr>
                <w:color w:val="000000"/>
                <w:sz w:val="24"/>
              </w:rPr>
              <w:t>2.63</w:t>
            </w:r>
          </w:p>
        </w:tc>
      </w:tr>
      <w:tr w:rsidR="005440C1">
        <w:trPr>
          <w:jc w:val="center"/>
        </w:trPr>
        <w:tc>
          <w:tcPr>
            <w:tcW w:w="2484" w:type="dxa"/>
            <w:vAlign w:val="center"/>
          </w:tcPr>
          <w:p w:rsidR="005440C1" w:rsidRDefault="00E9497A">
            <w:pPr>
              <w:jc w:val="left"/>
            </w:pPr>
            <w:r>
              <w:rPr>
                <w:color w:val="000000"/>
                <w:sz w:val="24"/>
              </w:rPr>
              <w:t>德国</w:t>
            </w:r>
          </w:p>
        </w:tc>
        <w:tc>
          <w:tcPr>
            <w:tcW w:w="3214" w:type="dxa"/>
            <w:vAlign w:val="center"/>
          </w:tcPr>
          <w:p w:rsidR="005440C1" w:rsidRDefault="00E9497A">
            <w:pPr>
              <w:jc w:val="right"/>
            </w:pPr>
            <w:r>
              <w:rPr>
                <w:color w:val="000000"/>
                <w:sz w:val="24"/>
              </w:rPr>
              <w:t>2,875,752.47</w:t>
            </w:r>
          </w:p>
        </w:tc>
        <w:tc>
          <w:tcPr>
            <w:tcW w:w="3170" w:type="dxa"/>
            <w:vAlign w:val="center"/>
          </w:tcPr>
          <w:p w:rsidR="005440C1" w:rsidRDefault="00E9497A">
            <w:pPr>
              <w:jc w:val="right"/>
            </w:pPr>
            <w:r>
              <w:rPr>
                <w:color w:val="000000"/>
                <w:sz w:val="24"/>
              </w:rPr>
              <w:t>2.25</w:t>
            </w:r>
          </w:p>
        </w:tc>
      </w:tr>
      <w:tr w:rsidR="005440C1">
        <w:trPr>
          <w:jc w:val="center"/>
        </w:trPr>
        <w:tc>
          <w:tcPr>
            <w:tcW w:w="2484" w:type="dxa"/>
            <w:vAlign w:val="center"/>
          </w:tcPr>
          <w:p w:rsidR="005440C1" w:rsidRDefault="00E9497A">
            <w:pPr>
              <w:jc w:val="left"/>
            </w:pPr>
            <w:r>
              <w:rPr>
                <w:color w:val="000000"/>
                <w:sz w:val="24"/>
              </w:rPr>
              <w:t>奥地利</w:t>
            </w:r>
          </w:p>
        </w:tc>
        <w:tc>
          <w:tcPr>
            <w:tcW w:w="3214" w:type="dxa"/>
            <w:vAlign w:val="center"/>
          </w:tcPr>
          <w:p w:rsidR="005440C1" w:rsidRDefault="00E9497A">
            <w:pPr>
              <w:jc w:val="right"/>
            </w:pPr>
            <w:r>
              <w:rPr>
                <w:color w:val="000000"/>
                <w:sz w:val="24"/>
              </w:rPr>
              <w:t>1,668,358.52</w:t>
            </w:r>
          </w:p>
        </w:tc>
        <w:tc>
          <w:tcPr>
            <w:tcW w:w="3170" w:type="dxa"/>
            <w:vAlign w:val="center"/>
          </w:tcPr>
          <w:p w:rsidR="005440C1" w:rsidRDefault="00E9497A">
            <w:pPr>
              <w:jc w:val="right"/>
            </w:pPr>
            <w:r>
              <w:rPr>
                <w:color w:val="000000"/>
                <w:sz w:val="24"/>
              </w:rPr>
              <w:t>1.31</w:t>
            </w:r>
          </w:p>
        </w:tc>
      </w:tr>
      <w:tr w:rsidR="005440C1">
        <w:trPr>
          <w:jc w:val="center"/>
        </w:trPr>
        <w:tc>
          <w:tcPr>
            <w:tcW w:w="2484" w:type="dxa"/>
            <w:vAlign w:val="center"/>
          </w:tcPr>
          <w:p w:rsidR="005440C1" w:rsidRDefault="00E9497A">
            <w:pPr>
              <w:jc w:val="left"/>
            </w:pPr>
            <w:r>
              <w:rPr>
                <w:color w:val="000000"/>
                <w:sz w:val="24"/>
              </w:rPr>
              <w:t>澳大利亚</w:t>
            </w:r>
          </w:p>
        </w:tc>
        <w:tc>
          <w:tcPr>
            <w:tcW w:w="3214" w:type="dxa"/>
            <w:vAlign w:val="center"/>
          </w:tcPr>
          <w:p w:rsidR="005440C1" w:rsidRDefault="00E9497A">
            <w:pPr>
              <w:jc w:val="right"/>
            </w:pPr>
            <w:r>
              <w:rPr>
                <w:color w:val="000000"/>
                <w:sz w:val="24"/>
              </w:rPr>
              <w:t>969,912.59</w:t>
            </w:r>
          </w:p>
        </w:tc>
        <w:tc>
          <w:tcPr>
            <w:tcW w:w="3170" w:type="dxa"/>
            <w:vAlign w:val="center"/>
          </w:tcPr>
          <w:p w:rsidR="005440C1" w:rsidRDefault="00E9497A">
            <w:pPr>
              <w:jc w:val="right"/>
            </w:pPr>
            <w:r>
              <w:rPr>
                <w:color w:val="000000"/>
                <w:sz w:val="24"/>
              </w:rPr>
              <w:t>0.76</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114,361,707.60</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89.67</w:t>
            </w:r>
          </w:p>
        </w:tc>
      </w:tr>
    </w:tbl>
    <w:p w:rsidR="005440C1" w:rsidRDefault="00E9497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DB3862" w:rsidRPr="00DB3862" w:rsidRDefault="00DB3862" w:rsidP="00DB3862">
      <w:pPr>
        <w:autoSpaceDE w:val="0"/>
        <w:autoSpaceDN w:val="0"/>
        <w:adjustRightInd w:val="0"/>
        <w:spacing w:before="29" w:line="288" w:lineRule="auto"/>
        <w:jc w:val="right"/>
        <w:rPr>
          <w:color w:val="000000"/>
          <w:kern w:val="0"/>
          <w:sz w:val="24"/>
        </w:rPr>
      </w:pPr>
      <w:r w:rsidRPr="00DB3862">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DB3862" w:rsidP="005546C0">
            <w:pPr>
              <w:autoSpaceDE w:val="0"/>
              <w:autoSpaceDN w:val="0"/>
              <w:adjustRightInd w:val="0"/>
              <w:spacing w:before="29" w:line="288" w:lineRule="auto"/>
              <w:ind w:left="15"/>
              <w:jc w:val="center"/>
              <w:rPr>
                <w:color w:val="000000"/>
                <w:kern w:val="0"/>
                <w:sz w:val="24"/>
              </w:rPr>
            </w:pPr>
            <w:r>
              <w:rPr>
                <w:color w:val="000000"/>
                <w:kern w:val="0"/>
                <w:sz w:val="24"/>
              </w:rPr>
              <w:t>公允价值</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5440C1">
        <w:trPr>
          <w:jc w:val="center"/>
        </w:trPr>
        <w:tc>
          <w:tcPr>
            <w:tcW w:w="2904" w:type="dxa"/>
            <w:vAlign w:val="center"/>
          </w:tcPr>
          <w:p w:rsidR="005440C1" w:rsidRDefault="00E9497A">
            <w:pPr>
              <w:jc w:val="left"/>
            </w:pPr>
            <w:r>
              <w:rPr>
                <w:color w:val="000000"/>
                <w:sz w:val="24"/>
              </w:rPr>
              <w:t>电信服务</w:t>
            </w:r>
          </w:p>
        </w:tc>
        <w:tc>
          <w:tcPr>
            <w:tcW w:w="2657" w:type="dxa"/>
            <w:vAlign w:val="center"/>
          </w:tcPr>
          <w:p w:rsidR="005440C1" w:rsidRDefault="00E9497A">
            <w:pPr>
              <w:jc w:val="right"/>
            </w:pPr>
            <w:r>
              <w:rPr>
                <w:color w:val="000000"/>
                <w:sz w:val="24"/>
              </w:rPr>
              <w:t>13,533,917.34</w:t>
            </w:r>
          </w:p>
        </w:tc>
        <w:tc>
          <w:tcPr>
            <w:tcW w:w="3307" w:type="dxa"/>
            <w:vAlign w:val="center"/>
          </w:tcPr>
          <w:p w:rsidR="005440C1" w:rsidRDefault="00E9497A">
            <w:pPr>
              <w:jc w:val="right"/>
            </w:pPr>
            <w:r>
              <w:rPr>
                <w:color w:val="000000"/>
                <w:sz w:val="24"/>
              </w:rPr>
              <w:t>10.61</w:t>
            </w:r>
          </w:p>
        </w:tc>
      </w:tr>
      <w:tr w:rsidR="005440C1">
        <w:trPr>
          <w:jc w:val="center"/>
        </w:trPr>
        <w:tc>
          <w:tcPr>
            <w:tcW w:w="2904" w:type="dxa"/>
            <w:vAlign w:val="center"/>
          </w:tcPr>
          <w:p w:rsidR="005440C1" w:rsidRDefault="00E9497A">
            <w:pPr>
              <w:jc w:val="left"/>
            </w:pPr>
            <w:r>
              <w:rPr>
                <w:color w:val="000000"/>
                <w:sz w:val="24"/>
              </w:rPr>
              <w:t>非必需消费品</w:t>
            </w:r>
          </w:p>
        </w:tc>
        <w:tc>
          <w:tcPr>
            <w:tcW w:w="2657" w:type="dxa"/>
            <w:vAlign w:val="center"/>
          </w:tcPr>
          <w:p w:rsidR="005440C1" w:rsidRDefault="00E9497A">
            <w:pPr>
              <w:jc w:val="right"/>
            </w:pPr>
            <w:r>
              <w:rPr>
                <w:color w:val="000000"/>
                <w:sz w:val="24"/>
              </w:rPr>
              <w:t>18,047,277.62</w:t>
            </w:r>
          </w:p>
        </w:tc>
        <w:tc>
          <w:tcPr>
            <w:tcW w:w="3307" w:type="dxa"/>
            <w:vAlign w:val="center"/>
          </w:tcPr>
          <w:p w:rsidR="005440C1" w:rsidRDefault="00E9497A">
            <w:pPr>
              <w:jc w:val="right"/>
            </w:pPr>
            <w:r>
              <w:rPr>
                <w:color w:val="000000"/>
                <w:sz w:val="24"/>
              </w:rPr>
              <w:t>14.15</w:t>
            </w:r>
          </w:p>
        </w:tc>
      </w:tr>
      <w:tr w:rsidR="005440C1">
        <w:trPr>
          <w:jc w:val="center"/>
        </w:trPr>
        <w:tc>
          <w:tcPr>
            <w:tcW w:w="2904" w:type="dxa"/>
            <w:vAlign w:val="center"/>
          </w:tcPr>
          <w:p w:rsidR="005440C1" w:rsidRDefault="00E9497A">
            <w:pPr>
              <w:jc w:val="left"/>
            </w:pPr>
            <w:r>
              <w:rPr>
                <w:color w:val="000000"/>
                <w:sz w:val="24"/>
              </w:rPr>
              <w:t>必需消费品</w:t>
            </w:r>
          </w:p>
        </w:tc>
        <w:tc>
          <w:tcPr>
            <w:tcW w:w="2657" w:type="dxa"/>
            <w:vAlign w:val="center"/>
          </w:tcPr>
          <w:p w:rsidR="005440C1" w:rsidRDefault="00E9497A">
            <w:pPr>
              <w:jc w:val="right"/>
            </w:pPr>
            <w:r>
              <w:rPr>
                <w:color w:val="000000"/>
                <w:sz w:val="24"/>
              </w:rPr>
              <w:t>11,331,084.83</w:t>
            </w:r>
          </w:p>
        </w:tc>
        <w:tc>
          <w:tcPr>
            <w:tcW w:w="3307" w:type="dxa"/>
            <w:vAlign w:val="center"/>
          </w:tcPr>
          <w:p w:rsidR="005440C1" w:rsidRDefault="00E9497A">
            <w:pPr>
              <w:jc w:val="right"/>
            </w:pPr>
            <w:r>
              <w:rPr>
                <w:color w:val="000000"/>
                <w:sz w:val="24"/>
              </w:rPr>
              <w:t>8.88</w:t>
            </w:r>
          </w:p>
        </w:tc>
      </w:tr>
      <w:tr w:rsidR="005440C1">
        <w:trPr>
          <w:jc w:val="center"/>
        </w:trPr>
        <w:tc>
          <w:tcPr>
            <w:tcW w:w="2904" w:type="dxa"/>
            <w:vAlign w:val="center"/>
          </w:tcPr>
          <w:p w:rsidR="005440C1" w:rsidRDefault="00E9497A">
            <w:pPr>
              <w:jc w:val="left"/>
            </w:pPr>
            <w:r>
              <w:rPr>
                <w:color w:val="000000"/>
                <w:sz w:val="24"/>
              </w:rPr>
              <w:t>能源</w:t>
            </w:r>
          </w:p>
        </w:tc>
        <w:tc>
          <w:tcPr>
            <w:tcW w:w="2657" w:type="dxa"/>
            <w:vAlign w:val="center"/>
          </w:tcPr>
          <w:p w:rsidR="005440C1" w:rsidRDefault="00E9497A">
            <w:pPr>
              <w:jc w:val="right"/>
            </w:pPr>
            <w:r>
              <w:rPr>
                <w:color w:val="000000"/>
                <w:sz w:val="24"/>
              </w:rPr>
              <w:t>1,017,911.33</w:t>
            </w:r>
          </w:p>
        </w:tc>
        <w:tc>
          <w:tcPr>
            <w:tcW w:w="3307" w:type="dxa"/>
            <w:vAlign w:val="center"/>
          </w:tcPr>
          <w:p w:rsidR="005440C1" w:rsidRDefault="00E9497A">
            <w:pPr>
              <w:jc w:val="right"/>
            </w:pPr>
            <w:r>
              <w:rPr>
                <w:color w:val="000000"/>
                <w:sz w:val="24"/>
              </w:rPr>
              <w:t>0.80</w:t>
            </w:r>
          </w:p>
        </w:tc>
      </w:tr>
      <w:tr w:rsidR="005440C1">
        <w:trPr>
          <w:jc w:val="center"/>
        </w:trPr>
        <w:tc>
          <w:tcPr>
            <w:tcW w:w="2904" w:type="dxa"/>
            <w:vAlign w:val="center"/>
          </w:tcPr>
          <w:p w:rsidR="005440C1" w:rsidRDefault="00E9497A">
            <w:pPr>
              <w:jc w:val="left"/>
            </w:pPr>
            <w:r>
              <w:rPr>
                <w:color w:val="000000"/>
                <w:sz w:val="24"/>
              </w:rPr>
              <w:t>金融业</w:t>
            </w:r>
          </w:p>
        </w:tc>
        <w:tc>
          <w:tcPr>
            <w:tcW w:w="2657" w:type="dxa"/>
            <w:vAlign w:val="center"/>
          </w:tcPr>
          <w:p w:rsidR="005440C1" w:rsidRDefault="00E9497A">
            <w:pPr>
              <w:jc w:val="right"/>
            </w:pPr>
            <w:r>
              <w:rPr>
                <w:color w:val="000000"/>
                <w:sz w:val="24"/>
              </w:rPr>
              <w:t>9,475,506.70</w:t>
            </w:r>
          </w:p>
        </w:tc>
        <w:tc>
          <w:tcPr>
            <w:tcW w:w="3307" w:type="dxa"/>
            <w:vAlign w:val="center"/>
          </w:tcPr>
          <w:p w:rsidR="005440C1" w:rsidRDefault="00E9497A">
            <w:pPr>
              <w:jc w:val="right"/>
            </w:pPr>
            <w:r>
              <w:rPr>
                <w:color w:val="000000"/>
                <w:sz w:val="24"/>
              </w:rPr>
              <w:t>7.43</w:t>
            </w:r>
          </w:p>
        </w:tc>
      </w:tr>
      <w:tr w:rsidR="005440C1">
        <w:trPr>
          <w:jc w:val="center"/>
        </w:trPr>
        <w:tc>
          <w:tcPr>
            <w:tcW w:w="2904" w:type="dxa"/>
            <w:vAlign w:val="center"/>
          </w:tcPr>
          <w:p w:rsidR="005440C1" w:rsidRDefault="00E9497A">
            <w:pPr>
              <w:jc w:val="left"/>
            </w:pPr>
            <w:r>
              <w:rPr>
                <w:color w:val="000000"/>
                <w:sz w:val="24"/>
              </w:rPr>
              <w:t>保健</w:t>
            </w:r>
          </w:p>
        </w:tc>
        <w:tc>
          <w:tcPr>
            <w:tcW w:w="2657" w:type="dxa"/>
            <w:vAlign w:val="center"/>
          </w:tcPr>
          <w:p w:rsidR="005440C1" w:rsidRDefault="00E9497A">
            <w:pPr>
              <w:jc w:val="right"/>
            </w:pPr>
            <w:r>
              <w:rPr>
                <w:color w:val="000000"/>
                <w:sz w:val="24"/>
              </w:rPr>
              <w:t>18,496,477.27</w:t>
            </w:r>
          </w:p>
        </w:tc>
        <w:tc>
          <w:tcPr>
            <w:tcW w:w="3307" w:type="dxa"/>
            <w:vAlign w:val="center"/>
          </w:tcPr>
          <w:p w:rsidR="005440C1" w:rsidRDefault="00E9497A">
            <w:pPr>
              <w:jc w:val="right"/>
            </w:pPr>
            <w:r>
              <w:rPr>
                <w:color w:val="000000"/>
                <w:sz w:val="24"/>
              </w:rPr>
              <w:t>14.50</w:t>
            </w:r>
          </w:p>
        </w:tc>
      </w:tr>
      <w:tr w:rsidR="005440C1">
        <w:trPr>
          <w:jc w:val="center"/>
        </w:trPr>
        <w:tc>
          <w:tcPr>
            <w:tcW w:w="2904" w:type="dxa"/>
            <w:vAlign w:val="center"/>
          </w:tcPr>
          <w:p w:rsidR="005440C1" w:rsidRDefault="00E9497A">
            <w:pPr>
              <w:jc w:val="left"/>
            </w:pPr>
            <w:r>
              <w:rPr>
                <w:color w:val="000000"/>
                <w:sz w:val="24"/>
              </w:rPr>
              <w:t>工业</w:t>
            </w:r>
          </w:p>
        </w:tc>
        <w:tc>
          <w:tcPr>
            <w:tcW w:w="2657" w:type="dxa"/>
            <w:vAlign w:val="center"/>
          </w:tcPr>
          <w:p w:rsidR="005440C1" w:rsidRDefault="00E9497A">
            <w:pPr>
              <w:jc w:val="right"/>
            </w:pPr>
            <w:r>
              <w:rPr>
                <w:color w:val="000000"/>
                <w:sz w:val="24"/>
              </w:rPr>
              <w:t>12,076,184.30</w:t>
            </w:r>
          </w:p>
        </w:tc>
        <w:tc>
          <w:tcPr>
            <w:tcW w:w="3307" w:type="dxa"/>
            <w:vAlign w:val="center"/>
          </w:tcPr>
          <w:p w:rsidR="005440C1" w:rsidRDefault="00E9497A">
            <w:pPr>
              <w:jc w:val="right"/>
            </w:pPr>
            <w:r>
              <w:rPr>
                <w:color w:val="000000"/>
                <w:sz w:val="24"/>
              </w:rPr>
              <w:t>9.47</w:t>
            </w:r>
          </w:p>
        </w:tc>
      </w:tr>
      <w:tr w:rsidR="005440C1">
        <w:trPr>
          <w:jc w:val="center"/>
        </w:trPr>
        <w:tc>
          <w:tcPr>
            <w:tcW w:w="2904" w:type="dxa"/>
            <w:vAlign w:val="center"/>
          </w:tcPr>
          <w:p w:rsidR="005440C1" w:rsidRDefault="00E9497A">
            <w:pPr>
              <w:jc w:val="left"/>
            </w:pPr>
            <w:r>
              <w:rPr>
                <w:color w:val="000000"/>
                <w:sz w:val="24"/>
              </w:rPr>
              <w:t>信息技术</w:t>
            </w:r>
          </w:p>
        </w:tc>
        <w:tc>
          <w:tcPr>
            <w:tcW w:w="2657" w:type="dxa"/>
            <w:vAlign w:val="center"/>
          </w:tcPr>
          <w:p w:rsidR="005440C1" w:rsidRDefault="00E9497A">
            <w:pPr>
              <w:jc w:val="right"/>
            </w:pPr>
            <w:r>
              <w:rPr>
                <w:color w:val="000000"/>
                <w:sz w:val="24"/>
              </w:rPr>
              <w:t>26,597,976.77</w:t>
            </w:r>
          </w:p>
        </w:tc>
        <w:tc>
          <w:tcPr>
            <w:tcW w:w="3307" w:type="dxa"/>
            <w:vAlign w:val="center"/>
          </w:tcPr>
          <w:p w:rsidR="005440C1" w:rsidRDefault="00E9497A">
            <w:pPr>
              <w:jc w:val="right"/>
            </w:pPr>
            <w:r>
              <w:rPr>
                <w:color w:val="000000"/>
                <w:sz w:val="24"/>
              </w:rPr>
              <w:t>20.86</w:t>
            </w:r>
          </w:p>
        </w:tc>
      </w:tr>
      <w:tr w:rsidR="005440C1">
        <w:trPr>
          <w:jc w:val="center"/>
        </w:trPr>
        <w:tc>
          <w:tcPr>
            <w:tcW w:w="2904" w:type="dxa"/>
            <w:vAlign w:val="center"/>
          </w:tcPr>
          <w:p w:rsidR="005440C1" w:rsidRDefault="00E9497A">
            <w:pPr>
              <w:jc w:val="left"/>
            </w:pPr>
            <w:r>
              <w:rPr>
                <w:color w:val="000000"/>
                <w:sz w:val="24"/>
              </w:rPr>
              <w:t>材料</w:t>
            </w:r>
          </w:p>
        </w:tc>
        <w:tc>
          <w:tcPr>
            <w:tcW w:w="2657" w:type="dxa"/>
            <w:vAlign w:val="center"/>
          </w:tcPr>
          <w:p w:rsidR="005440C1" w:rsidRDefault="00E9497A">
            <w:pPr>
              <w:jc w:val="right"/>
            </w:pPr>
            <w:r>
              <w:rPr>
                <w:color w:val="000000"/>
                <w:sz w:val="24"/>
              </w:rPr>
              <w:t>1,774,706.77</w:t>
            </w:r>
          </w:p>
        </w:tc>
        <w:tc>
          <w:tcPr>
            <w:tcW w:w="3307" w:type="dxa"/>
            <w:vAlign w:val="center"/>
          </w:tcPr>
          <w:p w:rsidR="005440C1" w:rsidRDefault="00E9497A">
            <w:pPr>
              <w:jc w:val="right"/>
            </w:pPr>
            <w:r>
              <w:rPr>
                <w:color w:val="000000"/>
                <w:sz w:val="24"/>
              </w:rPr>
              <w:t>1.39</w:t>
            </w:r>
          </w:p>
        </w:tc>
      </w:tr>
      <w:tr w:rsidR="005440C1">
        <w:trPr>
          <w:jc w:val="center"/>
        </w:trPr>
        <w:tc>
          <w:tcPr>
            <w:tcW w:w="2904" w:type="dxa"/>
            <w:vAlign w:val="center"/>
          </w:tcPr>
          <w:p w:rsidR="005440C1" w:rsidRDefault="00E9497A">
            <w:pPr>
              <w:jc w:val="left"/>
            </w:pPr>
            <w:r>
              <w:rPr>
                <w:color w:val="000000"/>
                <w:sz w:val="24"/>
              </w:rPr>
              <w:t>房地产</w:t>
            </w:r>
          </w:p>
        </w:tc>
        <w:tc>
          <w:tcPr>
            <w:tcW w:w="2657" w:type="dxa"/>
            <w:vAlign w:val="center"/>
          </w:tcPr>
          <w:p w:rsidR="005440C1" w:rsidRDefault="00E9497A">
            <w:pPr>
              <w:jc w:val="right"/>
            </w:pPr>
            <w:r>
              <w:rPr>
                <w:color w:val="000000"/>
                <w:sz w:val="24"/>
              </w:rPr>
              <w:t>1,532,775.31</w:t>
            </w:r>
          </w:p>
        </w:tc>
        <w:tc>
          <w:tcPr>
            <w:tcW w:w="3307" w:type="dxa"/>
            <w:vAlign w:val="center"/>
          </w:tcPr>
          <w:p w:rsidR="005440C1" w:rsidRDefault="00E9497A">
            <w:pPr>
              <w:jc w:val="right"/>
            </w:pPr>
            <w:r>
              <w:rPr>
                <w:color w:val="000000"/>
                <w:sz w:val="24"/>
              </w:rPr>
              <w:t>1.20</w:t>
            </w:r>
          </w:p>
        </w:tc>
      </w:tr>
      <w:tr w:rsidR="005440C1">
        <w:trPr>
          <w:jc w:val="center"/>
        </w:trPr>
        <w:tc>
          <w:tcPr>
            <w:tcW w:w="2904" w:type="dxa"/>
            <w:vAlign w:val="center"/>
          </w:tcPr>
          <w:p w:rsidR="005440C1" w:rsidRDefault="00E9497A">
            <w:pPr>
              <w:jc w:val="left"/>
            </w:pPr>
            <w:r>
              <w:rPr>
                <w:color w:val="000000"/>
                <w:sz w:val="24"/>
              </w:rPr>
              <w:lastRenderedPageBreak/>
              <w:t>公共事业</w:t>
            </w:r>
          </w:p>
        </w:tc>
        <w:tc>
          <w:tcPr>
            <w:tcW w:w="2657" w:type="dxa"/>
            <w:vAlign w:val="center"/>
          </w:tcPr>
          <w:p w:rsidR="005440C1" w:rsidRDefault="00E9497A">
            <w:pPr>
              <w:jc w:val="right"/>
            </w:pPr>
            <w:r>
              <w:rPr>
                <w:color w:val="000000"/>
                <w:sz w:val="24"/>
              </w:rPr>
              <w:t>477,889.36</w:t>
            </w:r>
          </w:p>
        </w:tc>
        <w:tc>
          <w:tcPr>
            <w:tcW w:w="3307" w:type="dxa"/>
            <w:vAlign w:val="center"/>
          </w:tcPr>
          <w:p w:rsidR="005440C1" w:rsidRDefault="00E9497A">
            <w:pPr>
              <w:jc w:val="right"/>
            </w:pPr>
            <w:r>
              <w:rPr>
                <w:color w:val="000000"/>
                <w:sz w:val="24"/>
              </w:rPr>
              <w:t>0.37</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114,361,707.60</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89.67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5440C1">
        <w:trPr>
          <w:jc w:val="center"/>
        </w:trPr>
        <w:tc>
          <w:tcPr>
            <w:tcW w:w="1243" w:type="dxa"/>
            <w:vAlign w:val="center"/>
          </w:tcPr>
          <w:p w:rsidR="005440C1" w:rsidRDefault="00E9497A">
            <w:pPr>
              <w:jc w:val="center"/>
            </w:pPr>
            <w:r>
              <w:rPr>
                <w:color w:val="000000"/>
                <w:sz w:val="24"/>
              </w:rPr>
              <w:t>1</w:t>
            </w:r>
          </w:p>
        </w:tc>
        <w:tc>
          <w:tcPr>
            <w:tcW w:w="971" w:type="dxa"/>
            <w:vAlign w:val="center"/>
          </w:tcPr>
          <w:p w:rsidR="005440C1" w:rsidRDefault="00E9497A">
            <w:pPr>
              <w:jc w:val="center"/>
            </w:pPr>
            <w:r>
              <w:rPr>
                <w:color w:val="000000"/>
                <w:sz w:val="24"/>
              </w:rPr>
              <w:t>AMAZON.COM INC</w:t>
            </w:r>
          </w:p>
        </w:tc>
        <w:tc>
          <w:tcPr>
            <w:tcW w:w="993" w:type="dxa"/>
            <w:vAlign w:val="center"/>
          </w:tcPr>
          <w:p w:rsidR="005440C1" w:rsidRDefault="00E9497A">
            <w:pPr>
              <w:jc w:val="center"/>
            </w:pPr>
            <w:r>
              <w:rPr>
                <w:color w:val="000000"/>
                <w:sz w:val="24"/>
              </w:rPr>
              <w:t>亚马逊公司</w:t>
            </w:r>
          </w:p>
        </w:tc>
        <w:tc>
          <w:tcPr>
            <w:tcW w:w="725" w:type="dxa"/>
            <w:vAlign w:val="center"/>
          </w:tcPr>
          <w:p w:rsidR="005440C1" w:rsidRDefault="00E9497A">
            <w:pPr>
              <w:jc w:val="center"/>
            </w:pPr>
            <w:r>
              <w:rPr>
                <w:color w:val="000000"/>
                <w:sz w:val="24"/>
              </w:rPr>
              <w:t>AMZN US</w:t>
            </w:r>
          </w:p>
        </w:tc>
        <w:tc>
          <w:tcPr>
            <w:tcW w:w="747" w:type="dxa"/>
            <w:vAlign w:val="center"/>
          </w:tcPr>
          <w:p w:rsidR="005440C1" w:rsidRDefault="00E9497A">
            <w:pPr>
              <w:jc w:val="center"/>
            </w:pPr>
            <w:r>
              <w:rPr>
                <w:color w:val="000000"/>
                <w:sz w:val="24"/>
              </w:rPr>
              <w:t>美国证券交易所</w:t>
            </w:r>
          </w:p>
        </w:tc>
        <w:tc>
          <w:tcPr>
            <w:tcW w:w="975" w:type="dxa"/>
            <w:vAlign w:val="center"/>
          </w:tcPr>
          <w:p w:rsidR="005440C1" w:rsidRDefault="00E9497A">
            <w:pPr>
              <w:jc w:val="center"/>
            </w:pPr>
            <w:r>
              <w:rPr>
                <w:color w:val="000000"/>
                <w:sz w:val="24"/>
              </w:rPr>
              <w:t>美国</w:t>
            </w:r>
          </w:p>
        </w:tc>
        <w:tc>
          <w:tcPr>
            <w:tcW w:w="1175" w:type="dxa"/>
            <w:vAlign w:val="center"/>
          </w:tcPr>
          <w:p w:rsidR="005440C1" w:rsidRDefault="00E9497A">
            <w:pPr>
              <w:jc w:val="right"/>
            </w:pPr>
            <w:r>
              <w:rPr>
                <w:color w:val="000000"/>
                <w:sz w:val="24"/>
              </w:rPr>
              <w:t>215</w:t>
            </w:r>
          </w:p>
        </w:tc>
        <w:tc>
          <w:tcPr>
            <w:tcW w:w="975" w:type="dxa"/>
            <w:vAlign w:val="center"/>
          </w:tcPr>
          <w:p w:rsidR="005440C1" w:rsidRDefault="00E9497A">
            <w:pPr>
              <w:jc w:val="right"/>
            </w:pPr>
            <w:r>
              <w:rPr>
                <w:color w:val="000000"/>
                <w:sz w:val="24"/>
              </w:rPr>
              <w:t>4,199,179.23</w:t>
            </w:r>
          </w:p>
        </w:tc>
        <w:tc>
          <w:tcPr>
            <w:tcW w:w="1175" w:type="dxa"/>
            <w:vAlign w:val="center"/>
          </w:tcPr>
          <w:p w:rsidR="005440C1" w:rsidRDefault="00E9497A">
            <w:pPr>
              <w:jc w:val="right"/>
            </w:pPr>
            <w:r>
              <w:rPr>
                <w:color w:val="000000"/>
                <w:sz w:val="24"/>
              </w:rPr>
              <w:t>3.29</w:t>
            </w:r>
          </w:p>
        </w:tc>
      </w:tr>
      <w:tr w:rsidR="005440C1">
        <w:trPr>
          <w:jc w:val="center"/>
        </w:trPr>
        <w:tc>
          <w:tcPr>
            <w:tcW w:w="1243" w:type="dxa"/>
            <w:vAlign w:val="center"/>
          </w:tcPr>
          <w:p w:rsidR="005440C1" w:rsidRDefault="00E9497A">
            <w:pPr>
              <w:jc w:val="center"/>
            </w:pPr>
            <w:r>
              <w:rPr>
                <w:color w:val="000000"/>
                <w:sz w:val="24"/>
              </w:rPr>
              <w:t>2</w:t>
            </w:r>
          </w:p>
        </w:tc>
        <w:tc>
          <w:tcPr>
            <w:tcW w:w="971" w:type="dxa"/>
            <w:vAlign w:val="center"/>
          </w:tcPr>
          <w:p w:rsidR="005440C1" w:rsidRDefault="00E9497A">
            <w:pPr>
              <w:jc w:val="center"/>
            </w:pPr>
            <w:r>
              <w:rPr>
                <w:color w:val="000000"/>
                <w:sz w:val="24"/>
              </w:rPr>
              <w:t>MICROSOFT CORP</w:t>
            </w:r>
          </w:p>
        </w:tc>
        <w:tc>
          <w:tcPr>
            <w:tcW w:w="993" w:type="dxa"/>
            <w:vAlign w:val="center"/>
          </w:tcPr>
          <w:p w:rsidR="005440C1" w:rsidRDefault="00E9497A">
            <w:pPr>
              <w:jc w:val="center"/>
            </w:pPr>
            <w:r>
              <w:rPr>
                <w:color w:val="000000"/>
                <w:sz w:val="24"/>
              </w:rPr>
              <w:t>微软</w:t>
            </w:r>
          </w:p>
        </w:tc>
        <w:tc>
          <w:tcPr>
            <w:tcW w:w="725" w:type="dxa"/>
            <w:vAlign w:val="center"/>
          </w:tcPr>
          <w:p w:rsidR="005440C1" w:rsidRDefault="00E9497A">
            <w:pPr>
              <w:jc w:val="center"/>
            </w:pPr>
            <w:r>
              <w:rPr>
                <w:color w:val="000000"/>
                <w:sz w:val="24"/>
              </w:rPr>
              <w:t>MSFT US</w:t>
            </w:r>
          </w:p>
        </w:tc>
        <w:tc>
          <w:tcPr>
            <w:tcW w:w="747" w:type="dxa"/>
            <w:vAlign w:val="center"/>
          </w:tcPr>
          <w:p w:rsidR="005440C1" w:rsidRDefault="00E9497A">
            <w:pPr>
              <w:jc w:val="center"/>
            </w:pPr>
            <w:r>
              <w:rPr>
                <w:color w:val="000000"/>
                <w:sz w:val="24"/>
              </w:rPr>
              <w:t>美国证券交易所</w:t>
            </w:r>
          </w:p>
        </w:tc>
        <w:tc>
          <w:tcPr>
            <w:tcW w:w="975" w:type="dxa"/>
            <w:vAlign w:val="center"/>
          </w:tcPr>
          <w:p w:rsidR="005440C1" w:rsidRDefault="00E9497A">
            <w:pPr>
              <w:jc w:val="center"/>
            </w:pPr>
            <w:r>
              <w:rPr>
                <w:color w:val="000000"/>
                <w:sz w:val="24"/>
              </w:rPr>
              <w:t>美国</w:t>
            </w:r>
          </w:p>
        </w:tc>
        <w:tc>
          <w:tcPr>
            <w:tcW w:w="1175" w:type="dxa"/>
            <w:vAlign w:val="center"/>
          </w:tcPr>
          <w:p w:rsidR="005440C1" w:rsidRDefault="00E9497A">
            <w:pPr>
              <w:jc w:val="right"/>
            </w:pPr>
            <w:r>
              <w:rPr>
                <w:color w:val="000000"/>
                <w:sz w:val="24"/>
              </w:rPr>
              <w:t>2,881</w:t>
            </w:r>
          </w:p>
        </w:tc>
        <w:tc>
          <w:tcPr>
            <w:tcW w:w="975" w:type="dxa"/>
            <w:vAlign w:val="center"/>
          </w:tcPr>
          <w:p w:rsidR="005440C1" w:rsidRDefault="00E9497A">
            <w:pPr>
              <w:jc w:val="right"/>
            </w:pPr>
            <w:r>
              <w:rPr>
                <w:color w:val="000000"/>
                <w:sz w:val="24"/>
              </w:rPr>
              <w:t>4,150,798.00</w:t>
            </w:r>
          </w:p>
        </w:tc>
        <w:tc>
          <w:tcPr>
            <w:tcW w:w="1175" w:type="dxa"/>
            <w:vAlign w:val="center"/>
          </w:tcPr>
          <w:p w:rsidR="005440C1" w:rsidRDefault="00E9497A">
            <w:pPr>
              <w:jc w:val="right"/>
            </w:pPr>
            <w:r>
              <w:rPr>
                <w:color w:val="000000"/>
                <w:sz w:val="24"/>
              </w:rPr>
              <w:t>3.25</w:t>
            </w:r>
          </w:p>
        </w:tc>
      </w:tr>
      <w:tr w:rsidR="005440C1">
        <w:trPr>
          <w:jc w:val="center"/>
        </w:trPr>
        <w:tc>
          <w:tcPr>
            <w:tcW w:w="1243" w:type="dxa"/>
            <w:vAlign w:val="center"/>
          </w:tcPr>
          <w:p w:rsidR="005440C1" w:rsidRDefault="00E9497A">
            <w:pPr>
              <w:jc w:val="center"/>
            </w:pPr>
            <w:r>
              <w:rPr>
                <w:color w:val="000000"/>
                <w:sz w:val="24"/>
              </w:rPr>
              <w:t>3</w:t>
            </w:r>
          </w:p>
        </w:tc>
        <w:tc>
          <w:tcPr>
            <w:tcW w:w="971" w:type="dxa"/>
            <w:vAlign w:val="center"/>
          </w:tcPr>
          <w:p w:rsidR="005440C1" w:rsidRDefault="00E9497A">
            <w:pPr>
              <w:jc w:val="center"/>
            </w:pPr>
            <w:r>
              <w:rPr>
                <w:color w:val="000000"/>
                <w:sz w:val="24"/>
              </w:rPr>
              <w:t>ALPHABET INC</w:t>
            </w:r>
          </w:p>
        </w:tc>
        <w:tc>
          <w:tcPr>
            <w:tcW w:w="993" w:type="dxa"/>
            <w:vAlign w:val="center"/>
          </w:tcPr>
          <w:p w:rsidR="005440C1" w:rsidRDefault="00E9497A">
            <w:pPr>
              <w:jc w:val="center"/>
            </w:pPr>
            <w:r>
              <w:rPr>
                <w:color w:val="000000"/>
                <w:sz w:val="24"/>
              </w:rPr>
              <w:t>Alphabet</w:t>
            </w:r>
            <w:r>
              <w:rPr>
                <w:color w:val="000000"/>
                <w:sz w:val="24"/>
              </w:rPr>
              <w:t>公司</w:t>
            </w:r>
          </w:p>
        </w:tc>
        <w:tc>
          <w:tcPr>
            <w:tcW w:w="725" w:type="dxa"/>
            <w:vAlign w:val="center"/>
          </w:tcPr>
          <w:p w:rsidR="005440C1" w:rsidRDefault="00E9497A">
            <w:pPr>
              <w:jc w:val="center"/>
            </w:pPr>
            <w:r>
              <w:rPr>
                <w:color w:val="000000"/>
                <w:sz w:val="24"/>
              </w:rPr>
              <w:t>GOOGL US</w:t>
            </w:r>
          </w:p>
        </w:tc>
        <w:tc>
          <w:tcPr>
            <w:tcW w:w="747" w:type="dxa"/>
            <w:vAlign w:val="center"/>
          </w:tcPr>
          <w:p w:rsidR="005440C1" w:rsidRDefault="00E9497A">
            <w:pPr>
              <w:jc w:val="center"/>
            </w:pPr>
            <w:r>
              <w:rPr>
                <w:color w:val="000000"/>
                <w:sz w:val="24"/>
              </w:rPr>
              <w:t>美国证券交易所</w:t>
            </w:r>
          </w:p>
        </w:tc>
        <w:tc>
          <w:tcPr>
            <w:tcW w:w="975" w:type="dxa"/>
            <w:vAlign w:val="center"/>
          </w:tcPr>
          <w:p w:rsidR="005440C1" w:rsidRDefault="00E9497A">
            <w:pPr>
              <w:jc w:val="center"/>
            </w:pPr>
            <w:r>
              <w:rPr>
                <w:color w:val="000000"/>
                <w:sz w:val="24"/>
              </w:rPr>
              <w:t>美国</w:t>
            </w:r>
          </w:p>
        </w:tc>
        <w:tc>
          <w:tcPr>
            <w:tcW w:w="1175" w:type="dxa"/>
            <w:vAlign w:val="center"/>
          </w:tcPr>
          <w:p w:rsidR="005440C1" w:rsidRDefault="00E9497A">
            <w:pPr>
              <w:jc w:val="right"/>
            </w:pPr>
            <w:r>
              <w:rPr>
                <w:color w:val="000000"/>
                <w:sz w:val="24"/>
              </w:rPr>
              <w:t>410</w:t>
            </w:r>
          </w:p>
        </w:tc>
        <w:tc>
          <w:tcPr>
            <w:tcW w:w="975" w:type="dxa"/>
            <w:vAlign w:val="center"/>
          </w:tcPr>
          <w:p w:rsidR="005440C1" w:rsidRDefault="00E9497A">
            <w:pPr>
              <w:jc w:val="right"/>
            </w:pPr>
            <w:r>
              <w:rPr>
                <w:color w:val="000000"/>
                <w:sz w:val="24"/>
              </w:rPr>
              <w:t>4,116,024.84</w:t>
            </w:r>
          </w:p>
        </w:tc>
        <w:tc>
          <w:tcPr>
            <w:tcW w:w="1175" w:type="dxa"/>
            <w:vAlign w:val="center"/>
          </w:tcPr>
          <w:p w:rsidR="005440C1" w:rsidRDefault="00E9497A">
            <w:pPr>
              <w:jc w:val="right"/>
            </w:pPr>
            <w:r>
              <w:rPr>
                <w:color w:val="000000"/>
                <w:sz w:val="24"/>
              </w:rPr>
              <w:t>3.23</w:t>
            </w:r>
          </w:p>
        </w:tc>
      </w:tr>
      <w:tr w:rsidR="005440C1">
        <w:trPr>
          <w:jc w:val="center"/>
        </w:trPr>
        <w:tc>
          <w:tcPr>
            <w:tcW w:w="1243" w:type="dxa"/>
            <w:vAlign w:val="center"/>
          </w:tcPr>
          <w:p w:rsidR="005440C1" w:rsidRDefault="00E9497A">
            <w:pPr>
              <w:jc w:val="center"/>
            </w:pPr>
            <w:r>
              <w:rPr>
                <w:color w:val="000000"/>
                <w:sz w:val="24"/>
              </w:rPr>
              <w:t>4</w:t>
            </w:r>
          </w:p>
        </w:tc>
        <w:tc>
          <w:tcPr>
            <w:tcW w:w="971" w:type="dxa"/>
            <w:vAlign w:val="center"/>
          </w:tcPr>
          <w:p w:rsidR="005440C1" w:rsidRDefault="00E9497A">
            <w:pPr>
              <w:jc w:val="center"/>
            </w:pPr>
            <w:r>
              <w:rPr>
                <w:color w:val="000000"/>
                <w:sz w:val="24"/>
              </w:rPr>
              <w:t>ROCHE HOLDING AG-GEN</w:t>
            </w:r>
          </w:p>
        </w:tc>
        <w:tc>
          <w:tcPr>
            <w:tcW w:w="993" w:type="dxa"/>
            <w:vAlign w:val="center"/>
          </w:tcPr>
          <w:p w:rsidR="005440C1" w:rsidRDefault="00E9497A">
            <w:pPr>
              <w:jc w:val="center"/>
            </w:pPr>
            <w:r>
              <w:rPr>
                <w:color w:val="000000"/>
                <w:sz w:val="24"/>
              </w:rPr>
              <w:t>罗氏</w:t>
            </w:r>
          </w:p>
        </w:tc>
        <w:tc>
          <w:tcPr>
            <w:tcW w:w="725" w:type="dxa"/>
            <w:vAlign w:val="center"/>
          </w:tcPr>
          <w:p w:rsidR="005440C1" w:rsidRDefault="00E9497A">
            <w:pPr>
              <w:jc w:val="center"/>
            </w:pPr>
            <w:r>
              <w:rPr>
                <w:color w:val="000000"/>
                <w:sz w:val="24"/>
              </w:rPr>
              <w:t>ROG SW</w:t>
            </w:r>
          </w:p>
        </w:tc>
        <w:tc>
          <w:tcPr>
            <w:tcW w:w="747" w:type="dxa"/>
            <w:vAlign w:val="center"/>
          </w:tcPr>
          <w:p w:rsidR="005440C1" w:rsidRDefault="00E9497A">
            <w:pPr>
              <w:jc w:val="center"/>
            </w:pPr>
            <w:r>
              <w:rPr>
                <w:color w:val="000000"/>
                <w:sz w:val="24"/>
              </w:rPr>
              <w:t>瑞士证券交易所</w:t>
            </w:r>
          </w:p>
        </w:tc>
        <w:tc>
          <w:tcPr>
            <w:tcW w:w="975" w:type="dxa"/>
            <w:vAlign w:val="center"/>
          </w:tcPr>
          <w:p w:rsidR="005440C1" w:rsidRDefault="00E9497A">
            <w:pPr>
              <w:jc w:val="center"/>
            </w:pPr>
            <w:r>
              <w:rPr>
                <w:color w:val="000000"/>
                <w:sz w:val="24"/>
              </w:rPr>
              <w:t>瑞士</w:t>
            </w:r>
          </w:p>
        </w:tc>
        <w:tc>
          <w:tcPr>
            <w:tcW w:w="1175" w:type="dxa"/>
            <w:vAlign w:val="center"/>
          </w:tcPr>
          <w:p w:rsidR="005440C1" w:rsidRDefault="00E9497A">
            <w:pPr>
              <w:jc w:val="right"/>
            </w:pPr>
            <w:r>
              <w:rPr>
                <w:color w:val="000000"/>
                <w:sz w:val="24"/>
              </w:rPr>
              <w:t>1,472</w:t>
            </w:r>
          </w:p>
        </w:tc>
        <w:tc>
          <w:tcPr>
            <w:tcW w:w="975" w:type="dxa"/>
            <w:vAlign w:val="center"/>
          </w:tcPr>
          <w:p w:rsidR="005440C1" w:rsidRDefault="00E9497A">
            <w:pPr>
              <w:jc w:val="right"/>
            </w:pPr>
            <w:r>
              <w:rPr>
                <w:color w:val="000000"/>
                <w:sz w:val="24"/>
              </w:rPr>
              <w:t>3,611,307.81</w:t>
            </w:r>
          </w:p>
        </w:tc>
        <w:tc>
          <w:tcPr>
            <w:tcW w:w="1175" w:type="dxa"/>
            <w:vAlign w:val="center"/>
          </w:tcPr>
          <w:p w:rsidR="005440C1" w:rsidRDefault="00E9497A">
            <w:pPr>
              <w:jc w:val="right"/>
            </w:pPr>
            <w:r>
              <w:rPr>
                <w:color w:val="000000"/>
                <w:sz w:val="24"/>
              </w:rPr>
              <w:t>2.83</w:t>
            </w:r>
          </w:p>
        </w:tc>
      </w:tr>
      <w:tr w:rsidR="005440C1">
        <w:trPr>
          <w:jc w:val="center"/>
        </w:trPr>
        <w:tc>
          <w:tcPr>
            <w:tcW w:w="1243" w:type="dxa"/>
            <w:vAlign w:val="center"/>
          </w:tcPr>
          <w:p w:rsidR="005440C1" w:rsidRDefault="00E9497A">
            <w:pPr>
              <w:jc w:val="center"/>
            </w:pPr>
            <w:r>
              <w:rPr>
                <w:color w:val="000000"/>
                <w:sz w:val="24"/>
              </w:rPr>
              <w:t>5</w:t>
            </w:r>
          </w:p>
        </w:tc>
        <w:tc>
          <w:tcPr>
            <w:tcW w:w="971" w:type="dxa"/>
            <w:vAlign w:val="center"/>
          </w:tcPr>
          <w:p w:rsidR="005440C1" w:rsidRDefault="00E9497A">
            <w:pPr>
              <w:jc w:val="center"/>
            </w:pPr>
            <w:r>
              <w:rPr>
                <w:color w:val="000000"/>
                <w:sz w:val="24"/>
              </w:rPr>
              <w:t>NESTLE SA-REG</w:t>
            </w:r>
          </w:p>
        </w:tc>
        <w:tc>
          <w:tcPr>
            <w:tcW w:w="993" w:type="dxa"/>
            <w:vAlign w:val="center"/>
          </w:tcPr>
          <w:p w:rsidR="005440C1" w:rsidRDefault="00E9497A">
            <w:pPr>
              <w:jc w:val="center"/>
            </w:pPr>
            <w:r>
              <w:rPr>
                <w:color w:val="000000"/>
                <w:sz w:val="24"/>
              </w:rPr>
              <w:t>雀巢</w:t>
            </w:r>
          </w:p>
        </w:tc>
        <w:tc>
          <w:tcPr>
            <w:tcW w:w="725" w:type="dxa"/>
            <w:vAlign w:val="center"/>
          </w:tcPr>
          <w:p w:rsidR="005440C1" w:rsidRDefault="00E9497A">
            <w:pPr>
              <w:jc w:val="center"/>
            </w:pPr>
            <w:r>
              <w:rPr>
                <w:color w:val="000000"/>
                <w:sz w:val="24"/>
              </w:rPr>
              <w:t>NESN SW</w:t>
            </w:r>
          </w:p>
        </w:tc>
        <w:tc>
          <w:tcPr>
            <w:tcW w:w="747" w:type="dxa"/>
            <w:vAlign w:val="center"/>
          </w:tcPr>
          <w:p w:rsidR="005440C1" w:rsidRDefault="00E9497A">
            <w:pPr>
              <w:jc w:val="center"/>
            </w:pPr>
            <w:r>
              <w:rPr>
                <w:color w:val="000000"/>
                <w:sz w:val="24"/>
              </w:rPr>
              <w:t>瑞士证券交易所</w:t>
            </w:r>
          </w:p>
        </w:tc>
        <w:tc>
          <w:tcPr>
            <w:tcW w:w="975" w:type="dxa"/>
            <w:vAlign w:val="center"/>
          </w:tcPr>
          <w:p w:rsidR="005440C1" w:rsidRDefault="00E9497A">
            <w:pPr>
              <w:jc w:val="center"/>
            </w:pPr>
            <w:r>
              <w:rPr>
                <w:color w:val="000000"/>
                <w:sz w:val="24"/>
              </w:rPr>
              <w:t>瑞士</w:t>
            </w:r>
          </w:p>
        </w:tc>
        <w:tc>
          <w:tcPr>
            <w:tcW w:w="1175" w:type="dxa"/>
            <w:vAlign w:val="center"/>
          </w:tcPr>
          <w:p w:rsidR="005440C1" w:rsidRDefault="00E9497A">
            <w:pPr>
              <w:jc w:val="right"/>
            </w:pPr>
            <w:r>
              <w:rPr>
                <w:color w:val="000000"/>
                <w:sz w:val="24"/>
              </w:rPr>
              <w:t>4,524</w:t>
            </w:r>
          </w:p>
        </w:tc>
        <w:tc>
          <w:tcPr>
            <w:tcW w:w="975" w:type="dxa"/>
            <w:vAlign w:val="center"/>
          </w:tcPr>
          <w:p w:rsidR="005440C1" w:rsidRDefault="00E9497A">
            <w:pPr>
              <w:jc w:val="right"/>
            </w:pPr>
            <w:r>
              <w:rPr>
                <w:color w:val="000000"/>
                <w:sz w:val="24"/>
              </w:rPr>
              <w:t>3,540,420.46</w:t>
            </w:r>
          </w:p>
        </w:tc>
        <w:tc>
          <w:tcPr>
            <w:tcW w:w="1175" w:type="dxa"/>
            <w:vAlign w:val="center"/>
          </w:tcPr>
          <w:p w:rsidR="005440C1" w:rsidRDefault="00E9497A">
            <w:pPr>
              <w:jc w:val="right"/>
            </w:pPr>
            <w:r>
              <w:rPr>
                <w:color w:val="000000"/>
                <w:sz w:val="24"/>
              </w:rPr>
              <w:t>2.78</w:t>
            </w:r>
          </w:p>
        </w:tc>
      </w:tr>
      <w:tr w:rsidR="005440C1">
        <w:trPr>
          <w:jc w:val="center"/>
        </w:trPr>
        <w:tc>
          <w:tcPr>
            <w:tcW w:w="1243" w:type="dxa"/>
            <w:vAlign w:val="center"/>
          </w:tcPr>
          <w:p w:rsidR="005440C1" w:rsidRDefault="00E9497A">
            <w:pPr>
              <w:jc w:val="center"/>
            </w:pPr>
            <w:r>
              <w:rPr>
                <w:color w:val="000000"/>
                <w:sz w:val="24"/>
              </w:rPr>
              <w:t>6</w:t>
            </w:r>
          </w:p>
        </w:tc>
        <w:tc>
          <w:tcPr>
            <w:tcW w:w="971" w:type="dxa"/>
            <w:vAlign w:val="center"/>
          </w:tcPr>
          <w:p w:rsidR="005440C1" w:rsidRDefault="00E9497A">
            <w:pPr>
              <w:jc w:val="center"/>
            </w:pPr>
            <w:r>
              <w:rPr>
                <w:color w:val="000000"/>
                <w:sz w:val="24"/>
              </w:rPr>
              <w:t>ASML HOLDING NV</w:t>
            </w:r>
          </w:p>
        </w:tc>
        <w:tc>
          <w:tcPr>
            <w:tcW w:w="993" w:type="dxa"/>
            <w:vAlign w:val="center"/>
          </w:tcPr>
          <w:p w:rsidR="005440C1" w:rsidRDefault="00E9497A">
            <w:pPr>
              <w:jc w:val="center"/>
            </w:pPr>
            <w:r>
              <w:rPr>
                <w:color w:val="000000"/>
                <w:sz w:val="24"/>
              </w:rPr>
              <w:t>阿斯麦控股公司</w:t>
            </w:r>
          </w:p>
        </w:tc>
        <w:tc>
          <w:tcPr>
            <w:tcW w:w="725" w:type="dxa"/>
            <w:vAlign w:val="center"/>
          </w:tcPr>
          <w:p w:rsidR="005440C1" w:rsidRDefault="00E9497A">
            <w:pPr>
              <w:jc w:val="center"/>
            </w:pPr>
            <w:r>
              <w:rPr>
                <w:color w:val="000000"/>
                <w:sz w:val="24"/>
              </w:rPr>
              <w:t>ASML NA</w:t>
            </w:r>
          </w:p>
        </w:tc>
        <w:tc>
          <w:tcPr>
            <w:tcW w:w="747" w:type="dxa"/>
            <w:vAlign w:val="center"/>
          </w:tcPr>
          <w:p w:rsidR="005440C1" w:rsidRDefault="00E9497A">
            <w:pPr>
              <w:jc w:val="center"/>
            </w:pPr>
            <w:r>
              <w:rPr>
                <w:color w:val="000000"/>
                <w:sz w:val="24"/>
              </w:rPr>
              <w:t>荷兰证券交易所</w:t>
            </w:r>
          </w:p>
        </w:tc>
        <w:tc>
          <w:tcPr>
            <w:tcW w:w="975" w:type="dxa"/>
            <w:vAlign w:val="center"/>
          </w:tcPr>
          <w:p w:rsidR="005440C1" w:rsidRDefault="00E9497A">
            <w:pPr>
              <w:jc w:val="center"/>
            </w:pPr>
            <w:r>
              <w:rPr>
                <w:color w:val="000000"/>
                <w:sz w:val="24"/>
              </w:rPr>
              <w:t>荷兰</w:t>
            </w:r>
          </w:p>
        </w:tc>
        <w:tc>
          <w:tcPr>
            <w:tcW w:w="1175" w:type="dxa"/>
            <w:vAlign w:val="center"/>
          </w:tcPr>
          <w:p w:rsidR="005440C1" w:rsidRDefault="00E9497A">
            <w:pPr>
              <w:jc w:val="right"/>
            </w:pPr>
            <w:r>
              <w:rPr>
                <w:color w:val="000000"/>
                <w:sz w:val="24"/>
              </w:rPr>
              <w:t>1,352</w:t>
            </w:r>
          </w:p>
        </w:tc>
        <w:tc>
          <w:tcPr>
            <w:tcW w:w="975" w:type="dxa"/>
            <w:vAlign w:val="center"/>
          </w:tcPr>
          <w:p w:rsidR="005440C1" w:rsidRDefault="00E9497A">
            <w:pPr>
              <w:jc w:val="right"/>
            </w:pPr>
            <w:r>
              <w:rPr>
                <w:color w:val="000000"/>
                <w:sz w:val="24"/>
              </w:rPr>
              <w:t>3,513,305.71</w:t>
            </w:r>
          </w:p>
        </w:tc>
        <w:tc>
          <w:tcPr>
            <w:tcW w:w="1175" w:type="dxa"/>
            <w:vAlign w:val="center"/>
          </w:tcPr>
          <w:p w:rsidR="005440C1" w:rsidRDefault="00E9497A">
            <w:pPr>
              <w:jc w:val="right"/>
            </w:pPr>
            <w:r>
              <w:rPr>
                <w:color w:val="000000"/>
                <w:sz w:val="24"/>
              </w:rPr>
              <w:t>2.75</w:t>
            </w:r>
          </w:p>
        </w:tc>
      </w:tr>
      <w:tr w:rsidR="005440C1">
        <w:trPr>
          <w:jc w:val="center"/>
        </w:trPr>
        <w:tc>
          <w:tcPr>
            <w:tcW w:w="1243" w:type="dxa"/>
            <w:vAlign w:val="center"/>
          </w:tcPr>
          <w:p w:rsidR="005440C1" w:rsidRDefault="00E9497A">
            <w:pPr>
              <w:jc w:val="center"/>
            </w:pPr>
            <w:r>
              <w:rPr>
                <w:color w:val="000000"/>
                <w:sz w:val="24"/>
              </w:rPr>
              <w:t>7</w:t>
            </w:r>
          </w:p>
        </w:tc>
        <w:tc>
          <w:tcPr>
            <w:tcW w:w="971" w:type="dxa"/>
            <w:vAlign w:val="center"/>
          </w:tcPr>
          <w:p w:rsidR="005440C1" w:rsidRDefault="00E9497A">
            <w:pPr>
              <w:jc w:val="center"/>
            </w:pPr>
            <w:r>
              <w:rPr>
                <w:color w:val="000000"/>
                <w:sz w:val="24"/>
              </w:rPr>
              <w:t>UNITEDHEA</w:t>
            </w:r>
            <w:r>
              <w:rPr>
                <w:color w:val="000000"/>
                <w:sz w:val="24"/>
              </w:rPr>
              <w:lastRenderedPageBreak/>
              <w:t>LTH GROUP I</w:t>
            </w:r>
          </w:p>
        </w:tc>
        <w:tc>
          <w:tcPr>
            <w:tcW w:w="993" w:type="dxa"/>
            <w:vAlign w:val="center"/>
          </w:tcPr>
          <w:p w:rsidR="005440C1" w:rsidRDefault="00E9497A">
            <w:pPr>
              <w:jc w:val="center"/>
            </w:pPr>
            <w:r>
              <w:rPr>
                <w:color w:val="000000"/>
                <w:sz w:val="24"/>
              </w:rPr>
              <w:lastRenderedPageBreak/>
              <w:t>联合健康</w:t>
            </w:r>
          </w:p>
        </w:tc>
        <w:tc>
          <w:tcPr>
            <w:tcW w:w="725" w:type="dxa"/>
            <w:vAlign w:val="center"/>
          </w:tcPr>
          <w:p w:rsidR="005440C1" w:rsidRDefault="00E9497A">
            <w:pPr>
              <w:jc w:val="center"/>
            </w:pPr>
            <w:r>
              <w:rPr>
                <w:color w:val="000000"/>
                <w:sz w:val="24"/>
              </w:rPr>
              <w:t xml:space="preserve">UNH </w:t>
            </w:r>
            <w:r>
              <w:rPr>
                <w:color w:val="000000"/>
                <w:sz w:val="24"/>
              </w:rPr>
              <w:lastRenderedPageBreak/>
              <w:t>US</w:t>
            </w:r>
          </w:p>
        </w:tc>
        <w:tc>
          <w:tcPr>
            <w:tcW w:w="747" w:type="dxa"/>
            <w:vAlign w:val="center"/>
          </w:tcPr>
          <w:p w:rsidR="005440C1" w:rsidRDefault="00E9497A">
            <w:pPr>
              <w:jc w:val="center"/>
            </w:pPr>
            <w:r>
              <w:rPr>
                <w:color w:val="000000"/>
                <w:sz w:val="24"/>
              </w:rPr>
              <w:lastRenderedPageBreak/>
              <w:t>美国证券</w:t>
            </w:r>
            <w:r>
              <w:rPr>
                <w:color w:val="000000"/>
                <w:sz w:val="24"/>
              </w:rPr>
              <w:lastRenderedPageBreak/>
              <w:t>交易所</w:t>
            </w:r>
          </w:p>
        </w:tc>
        <w:tc>
          <w:tcPr>
            <w:tcW w:w="975" w:type="dxa"/>
            <w:vAlign w:val="center"/>
          </w:tcPr>
          <w:p w:rsidR="005440C1" w:rsidRDefault="00E9497A">
            <w:pPr>
              <w:jc w:val="center"/>
            </w:pPr>
            <w:r>
              <w:rPr>
                <w:color w:val="000000"/>
                <w:sz w:val="24"/>
              </w:rPr>
              <w:lastRenderedPageBreak/>
              <w:t>美国</w:t>
            </w:r>
          </w:p>
        </w:tc>
        <w:tc>
          <w:tcPr>
            <w:tcW w:w="1175" w:type="dxa"/>
            <w:vAlign w:val="center"/>
          </w:tcPr>
          <w:p w:rsidR="005440C1" w:rsidRDefault="00E9497A">
            <w:pPr>
              <w:jc w:val="right"/>
            </w:pPr>
            <w:r>
              <w:rPr>
                <w:color w:val="000000"/>
                <w:sz w:val="24"/>
              </w:rPr>
              <w:t>1,344</w:t>
            </w:r>
          </w:p>
        </w:tc>
        <w:tc>
          <w:tcPr>
            <w:tcW w:w="975" w:type="dxa"/>
            <w:vAlign w:val="center"/>
          </w:tcPr>
          <w:p w:rsidR="005440C1" w:rsidRDefault="00E9497A">
            <w:pPr>
              <w:jc w:val="right"/>
            </w:pPr>
            <w:r>
              <w:rPr>
                <w:color w:val="000000"/>
                <w:sz w:val="24"/>
              </w:rPr>
              <w:t>2,806,404.42</w:t>
            </w:r>
          </w:p>
        </w:tc>
        <w:tc>
          <w:tcPr>
            <w:tcW w:w="1175" w:type="dxa"/>
            <w:vAlign w:val="center"/>
          </w:tcPr>
          <w:p w:rsidR="005440C1" w:rsidRDefault="00E9497A">
            <w:pPr>
              <w:jc w:val="right"/>
            </w:pPr>
            <w:r>
              <w:rPr>
                <w:color w:val="000000"/>
                <w:sz w:val="24"/>
              </w:rPr>
              <w:t>2.20</w:t>
            </w:r>
          </w:p>
        </w:tc>
      </w:tr>
      <w:tr w:rsidR="005440C1">
        <w:trPr>
          <w:jc w:val="center"/>
        </w:trPr>
        <w:tc>
          <w:tcPr>
            <w:tcW w:w="1243" w:type="dxa"/>
            <w:vAlign w:val="center"/>
          </w:tcPr>
          <w:p w:rsidR="005440C1" w:rsidRDefault="00E9497A">
            <w:pPr>
              <w:jc w:val="center"/>
            </w:pPr>
            <w:r>
              <w:rPr>
                <w:color w:val="000000"/>
                <w:sz w:val="24"/>
              </w:rPr>
              <w:t>8</w:t>
            </w:r>
          </w:p>
        </w:tc>
        <w:tc>
          <w:tcPr>
            <w:tcW w:w="971" w:type="dxa"/>
            <w:vAlign w:val="center"/>
          </w:tcPr>
          <w:p w:rsidR="005440C1" w:rsidRDefault="00E9497A">
            <w:pPr>
              <w:jc w:val="center"/>
            </w:pPr>
            <w:r>
              <w:rPr>
                <w:color w:val="000000"/>
                <w:sz w:val="24"/>
              </w:rPr>
              <w:t>VISA INC-CLASS A SHARES</w:t>
            </w:r>
          </w:p>
        </w:tc>
        <w:tc>
          <w:tcPr>
            <w:tcW w:w="993" w:type="dxa"/>
            <w:vAlign w:val="center"/>
          </w:tcPr>
          <w:p w:rsidR="005440C1" w:rsidRDefault="00E9497A">
            <w:pPr>
              <w:jc w:val="center"/>
            </w:pPr>
            <w:r>
              <w:rPr>
                <w:color w:val="000000"/>
                <w:sz w:val="24"/>
              </w:rPr>
              <w:t>维萨公司</w:t>
            </w:r>
          </w:p>
        </w:tc>
        <w:tc>
          <w:tcPr>
            <w:tcW w:w="725" w:type="dxa"/>
            <w:vAlign w:val="center"/>
          </w:tcPr>
          <w:p w:rsidR="005440C1" w:rsidRDefault="00E9497A">
            <w:pPr>
              <w:jc w:val="center"/>
            </w:pPr>
            <w:r>
              <w:rPr>
                <w:color w:val="000000"/>
                <w:sz w:val="24"/>
              </w:rPr>
              <w:t>V US</w:t>
            </w:r>
          </w:p>
        </w:tc>
        <w:tc>
          <w:tcPr>
            <w:tcW w:w="747" w:type="dxa"/>
            <w:vAlign w:val="center"/>
          </w:tcPr>
          <w:p w:rsidR="005440C1" w:rsidRDefault="00E9497A">
            <w:pPr>
              <w:jc w:val="center"/>
            </w:pPr>
            <w:r>
              <w:rPr>
                <w:color w:val="000000"/>
                <w:sz w:val="24"/>
              </w:rPr>
              <w:t>美国证券交易所</w:t>
            </w:r>
          </w:p>
        </w:tc>
        <w:tc>
          <w:tcPr>
            <w:tcW w:w="975" w:type="dxa"/>
            <w:vAlign w:val="center"/>
          </w:tcPr>
          <w:p w:rsidR="005440C1" w:rsidRDefault="00E9497A">
            <w:pPr>
              <w:jc w:val="center"/>
            </w:pPr>
            <w:r>
              <w:rPr>
                <w:color w:val="000000"/>
                <w:sz w:val="24"/>
              </w:rPr>
              <w:t>美国</w:t>
            </w:r>
          </w:p>
        </w:tc>
        <w:tc>
          <w:tcPr>
            <w:tcW w:w="1175" w:type="dxa"/>
            <w:vAlign w:val="center"/>
          </w:tcPr>
          <w:p w:rsidR="005440C1" w:rsidRDefault="00E9497A">
            <w:pPr>
              <w:jc w:val="right"/>
            </w:pPr>
            <w:r>
              <w:rPr>
                <w:color w:val="000000"/>
                <w:sz w:val="24"/>
              </w:rPr>
              <w:t>2,049</w:t>
            </w:r>
          </w:p>
        </w:tc>
        <w:tc>
          <w:tcPr>
            <w:tcW w:w="975" w:type="dxa"/>
            <w:vAlign w:val="center"/>
          </w:tcPr>
          <w:p w:rsidR="005440C1" w:rsidRDefault="00E9497A">
            <w:pPr>
              <w:jc w:val="right"/>
            </w:pPr>
            <w:r>
              <w:rPr>
                <w:color w:val="000000"/>
                <w:sz w:val="24"/>
              </w:rPr>
              <w:t>2,802,103.83</w:t>
            </w:r>
          </w:p>
        </w:tc>
        <w:tc>
          <w:tcPr>
            <w:tcW w:w="1175" w:type="dxa"/>
            <w:vAlign w:val="center"/>
          </w:tcPr>
          <w:p w:rsidR="005440C1" w:rsidRDefault="00E9497A">
            <w:pPr>
              <w:jc w:val="right"/>
            </w:pPr>
            <w:r>
              <w:rPr>
                <w:color w:val="000000"/>
                <w:sz w:val="24"/>
              </w:rPr>
              <w:t>2.20</w:t>
            </w:r>
          </w:p>
        </w:tc>
      </w:tr>
      <w:tr w:rsidR="005440C1">
        <w:trPr>
          <w:jc w:val="center"/>
        </w:trPr>
        <w:tc>
          <w:tcPr>
            <w:tcW w:w="1243" w:type="dxa"/>
            <w:vAlign w:val="center"/>
          </w:tcPr>
          <w:p w:rsidR="005440C1" w:rsidRDefault="00E9497A">
            <w:pPr>
              <w:jc w:val="center"/>
            </w:pPr>
            <w:r>
              <w:rPr>
                <w:color w:val="000000"/>
                <w:sz w:val="24"/>
              </w:rPr>
              <w:t>9</w:t>
            </w:r>
          </w:p>
        </w:tc>
        <w:tc>
          <w:tcPr>
            <w:tcW w:w="971" w:type="dxa"/>
            <w:vAlign w:val="center"/>
          </w:tcPr>
          <w:p w:rsidR="005440C1" w:rsidRDefault="00E9497A">
            <w:pPr>
              <w:jc w:val="center"/>
            </w:pPr>
            <w:r>
              <w:rPr>
                <w:color w:val="000000"/>
                <w:sz w:val="24"/>
              </w:rPr>
              <w:t>SCHNEIDER ELECTRIC S</w:t>
            </w:r>
          </w:p>
        </w:tc>
        <w:tc>
          <w:tcPr>
            <w:tcW w:w="993" w:type="dxa"/>
            <w:vAlign w:val="center"/>
          </w:tcPr>
          <w:p w:rsidR="005440C1" w:rsidRDefault="00E9497A">
            <w:pPr>
              <w:jc w:val="center"/>
            </w:pPr>
            <w:r>
              <w:rPr>
                <w:color w:val="000000"/>
                <w:sz w:val="24"/>
              </w:rPr>
              <w:t>施耐德电气股份公司</w:t>
            </w:r>
          </w:p>
        </w:tc>
        <w:tc>
          <w:tcPr>
            <w:tcW w:w="725" w:type="dxa"/>
            <w:vAlign w:val="center"/>
          </w:tcPr>
          <w:p w:rsidR="005440C1" w:rsidRDefault="00E9497A">
            <w:pPr>
              <w:jc w:val="center"/>
            </w:pPr>
            <w:r>
              <w:rPr>
                <w:color w:val="000000"/>
                <w:sz w:val="24"/>
              </w:rPr>
              <w:t>SU FP</w:t>
            </w:r>
          </w:p>
        </w:tc>
        <w:tc>
          <w:tcPr>
            <w:tcW w:w="747" w:type="dxa"/>
            <w:vAlign w:val="center"/>
          </w:tcPr>
          <w:p w:rsidR="005440C1" w:rsidRDefault="00E9497A">
            <w:pPr>
              <w:jc w:val="center"/>
            </w:pPr>
            <w:r>
              <w:rPr>
                <w:color w:val="000000"/>
                <w:sz w:val="24"/>
              </w:rPr>
              <w:t>法国证券交易所</w:t>
            </w:r>
          </w:p>
        </w:tc>
        <w:tc>
          <w:tcPr>
            <w:tcW w:w="975" w:type="dxa"/>
            <w:vAlign w:val="center"/>
          </w:tcPr>
          <w:p w:rsidR="005440C1" w:rsidRDefault="00E9497A">
            <w:pPr>
              <w:jc w:val="center"/>
            </w:pPr>
            <w:r>
              <w:rPr>
                <w:color w:val="000000"/>
                <w:sz w:val="24"/>
              </w:rPr>
              <w:t>法国</w:t>
            </w:r>
          </w:p>
        </w:tc>
        <w:tc>
          <w:tcPr>
            <w:tcW w:w="1175" w:type="dxa"/>
            <w:vAlign w:val="center"/>
          </w:tcPr>
          <w:p w:rsidR="005440C1" w:rsidRDefault="00E9497A">
            <w:pPr>
              <w:jc w:val="right"/>
            </w:pPr>
            <w:r>
              <w:rPr>
                <w:color w:val="000000"/>
                <w:sz w:val="24"/>
              </w:rPr>
              <w:t>3,551</w:t>
            </w:r>
          </w:p>
        </w:tc>
        <w:tc>
          <w:tcPr>
            <w:tcW w:w="975" w:type="dxa"/>
            <w:vAlign w:val="center"/>
          </w:tcPr>
          <w:p w:rsidR="005440C1" w:rsidRDefault="00E9497A">
            <w:pPr>
              <w:jc w:val="right"/>
            </w:pPr>
            <w:r>
              <w:rPr>
                <w:color w:val="000000"/>
                <w:sz w:val="24"/>
              </w:rPr>
              <w:t>2,791,151.82</w:t>
            </w:r>
          </w:p>
        </w:tc>
        <w:tc>
          <w:tcPr>
            <w:tcW w:w="1175" w:type="dxa"/>
            <w:vAlign w:val="center"/>
          </w:tcPr>
          <w:p w:rsidR="005440C1" w:rsidRDefault="00E9497A">
            <w:pPr>
              <w:jc w:val="right"/>
            </w:pPr>
            <w:r>
              <w:rPr>
                <w:color w:val="000000"/>
                <w:sz w:val="24"/>
              </w:rPr>
              <w:t>2.19</w:t>
            </w:r>
          </w:p>
        </w:tc>
      </w:tr>
      <w:tr w:rsidR="005440C1">
        <w:trPr>
          <w:jc w:val="center"/>
        </w:trPr>
        <w:tc>
          <w:tcPr>
            <w:tcW w:w="1243" w:type="dxa"/>
            <w:vAlign w:val="center"/>
          </w:tcPr>
          <w:p w:rsidR="005440C1" w:rsidRDefault="00E9497A">
            <w:pPr>
              <w:jc w:val="center"/>
            </w:pPr>
            <w:r>
              <w:rPr>
                <w:color w:val="000000"/>
                <w:sz w:val="24"/>
              </w:rPr>
              <w:t>10</w:t>
            </w:r>
          </w:p>
        </w:tc>
        <w:tc>
          <w:tcPr>
            <w:tcW w:w="971" w:type="dxa"/>
            <w:vAlign w:val="center"/>
          </w:tcPr>
          <w:p w:rsidR="005440C1" w:rsidRDefault="00E9497A">
            <w:pPr>
              <w:jc w:val="center"/>
            </w:pPr>
            <w:r>
              <w:rPr>
                <w:color w:val="000000"/>
                <w:sz w:val="24"/>
              </w:rPr>
              <w:t>DANAHER CORP</w:t>
            </w:r>
          </w:p>
        </w:tc>
        <w:tc>
          <w:tcPr>
            <w:tcW w:w="993" w:type="dxa"/>
            <w:vAlign w:val="center"/>
          </w:tcPr>
          <w:p w:rsidR="005440C1" w:rsidRDefault="00E9497A">
            <w:pPr>
              <w:jc w:val="center"/>
            </w:pPr>
            <w:r>
              <w:rPr>
                <w:color w:val="000000"/>
                <w:sz w:val="24"/>
              </w:rPr>
              <w:t>丹纳赫</w:t>
            </w:r>
          </w:p>
        </w:tc>
        <w:tc>
          <w:tcPr>
            <w:tcW w:w="725" w:type="dxa"/>
            <w:vAlign w:val="center"/>
          </w:tcPr>
          <w:p w:rsidR="005440C1" w:rsidRDefault="00E9497A">
            <w:pPr>
              <w:jc w:val="center"/>
            </w:pPr>
            <w:r>
              <w:rPr>
                <w:color w:val="000000"/>
                <w:sz w:val="24"/>
              </w:rPr>
              <w:t>DHR US</w:t>
            </w:r>
          </w:p>
        </w:tc>
        <w:tc>
          <w:tcPr>
            <w:tcW w:w="747" w:type="dxa"/>
            <w:vAlign w:val="center"/>
          </w:tcPr>
          <w:p w:rsidR="005440C1" w:rsidRDefault="00E9497A">
            <w:pPr>
              <w:jc w:val="center"/>
            </w:pPr>
            <w:r>
              <w:rPr>
                <w:color w:val="000000"/>
                <w:sz w:val="24"/>
              </w:rPr>
              <w:t>美国证券交易所</w:t>
            </w:r>
          </w:p>
        </w:tc>
        <w:tc>
          <w:tcPr>
            <w:tcW w:w="975" w:type="dxa"/>
            <w:vAlign w:val="center"/>
          </w:tcPr>
          <w:p w:rsidR="005440C1" w:rsidRDefault="00E9497A">
            <w:pPr>
              <w:jc w:val="center"/>
            </w:pPr>
            <w:r>
              <w:rPr>
                <w:color w:val="000000"/>
                <w:sz w:val="24"/>
              </w:rPr>
              <w:t>美国</w:t>
            </w:r>
          </w:p>
        </w:tc>
        <w:tc>
          <w:tcPr>
            <w:tcW w:w="1175" w:type="dxa"/>
            <w:vAlign w:val="center"/>
          </w:tcPr>
          <w:p w:rsidR="005440C1" w:rsidRDefault="00E9497A">
            <w:pPr>
              <w:jc w:val="right"/>
            </w:pPr>
            <w:r>
              <w:rPr>
                <w:color w:val="000000"/>
                <w:sz w:val="24"/>
              </w:rPr>
              <w:t>1,993</w:t>
            </w:r>
          </w:p>
        </w:tc>
        <w:tc>
          <w:tcPr>
            <w:tcW w:w="975" w:type="dxa"/>
            <w:vAlign w:val="center"/>
          </w:tcPr>
          <w:p w:rsidR="005440C1" w:rsidRDefault="00E9497A">
            <w:pPr>
              <w:jc w:val="right"/>
            </w:pPr>
            <w:r>
              <w:rPr>
                <w:color w:val="000000"/>
                <w:sz w:val="24"/>
              </w:rPr>
              <w:t>2,494,972.89</w:t>
            </w:r>
          </w:p>
        </w:tc>
        <w:tc>
          <w:tcPr>
            <w:tcW w:w="1175" w:type="dxa"/>
            <w:vAlign w:val="center"/>
          </w:tcPr>
          <w:p w:rsidR="005440C1" w:rsidRDefault="00E9497A">
            <w:pPr>
              <w:jc w:val="right"/>
            </w:pPr>
            <w:r>
              <w:rPr>
                <w:color w:val="000000"/>
                <w:sz w:val="24"/>
              </w:rPr>
              <w:t>1.96</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AE0579">
        <w:rPr>
          <w:b/>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AE0579">
        <w:rPr>
          <w:b/>
          <w:color w:val="000000"/>
          <w:sz w:val="24"/>
        </w:rPr>
        <w:t>5.10.2</w:t>
      </w:r>
      <w:r w:rsidR="00521EDE" w:rsidRPr="008640AE">
        <w:rPr>
          <w:color w:val="000000"/>
          <w:sz w:val="24"/>
        </w:rPr>
        <w:t>本基金投资的前十名股票中，没有超出基金合同规定的备选股票库之外的股票。</w:t>
      </w: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090DB5">
          <w:rPr>
            <w:b/>
            <w:color w:val="000000"/>
            <w:kern w:val="0"/>
            <w:sz w:val="24"/>
          </w:rPr>
          <w:lastRenderedPageBreak/>
          <w:t>5.10.3</w:t>
        </w:r>
        <w:r w:rsidR="00B51E74" w:rsidRPr="00090DB5">
          <w:rPr>
            <w:rFonts w:hint="eastAsia"/>
            <w:b/>
            <w:color w:val="000000"/>
            <w:kern w:val="0"/>
            <w:sz w:val="24"/>
          </w:rPr>
          <w:t>期末</w:t>
        </w:r>
      </w:smartTag>
      <w:r w:rsidRPr="00090DB5">
        <w:rPr>
          <w:b/>
          <w:color w:val="000000"/>
          <w:kern w:val="0"/>
          <w:sz w:val="24"/>
        </w:rPr>
        <w:t>其他</w:t>
      </w:r>
      <w:r w:rsidR="00B51E74" w:rsidRPr="00090DB5">
        <w:rPr>
          <w:rFonts w:hint="eastAsia"/>
          <w:b/>
          <w:color w:val="000000"/>
          <w:kern w:val="0"/>
          <w:sz w:val="24"/>
        </w:rPr>
        <w:t>各项</w:t>
      </w:r>
      <w:r w:rsidRPr="00090DB5">
        <w:rPr>
          <w:b/>
          <w:color w:val="000000"/>
          <w:kern w:val="0"/>
          <w:sz w:val="24"/>
        </w:rPr>
        <w:t>资产构成</w:t>
      </w:r>
    </w:p>
    <w:p w:rsidR="00B93C3A" w:rsidRPr="008640AE" w:rsidRDefault="00B93C3A" w:rsidP="00B93C3A">
      <w:pPr>
        <w:autoSpaceDE w:val="0"/>
        <w:autoSpaceDN w:val="0"/>
        <w:adjustRightInd w:val="0"/>
        <w:spacing w:before="29" w:line="288" w:lineRule="auto"/>
        <w:jc w:val="right"/>
        <w:rPr>
          <w:color w:val="000000"/>
          <w:kern w:val="0"/>
          <w:sz w:val="24"/>
        </w:rPr>
      </w:pPr>
      <w:r w:rsidRPr="00B93C3A">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346,420.54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218,389.91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693.79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579,526.54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100,500.37</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1,245,531.15</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5.10.4</w:t>
      </w:r>
      <w:r w:rsidRPr="00090DB5">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090DB5">
          <w:rPr>
            <w:b/>
            <w:color w:val="000000"/>
            <w:kern w:val="0"/>
            <w:sz w:val="24"/>
          </w:rPr>
          <w:t>5.10.5</w:t>
        </w:r>
      </w:smartTag>
      <w:r w:rsidRPr="00090DB5">
        <w:rPr>
          <w:b/>
          <w:color w:val="000000"/>
          <w:kern w:val="0"/>
          <w:sz w:val="24"/>
        </w:rPr>
        <w:t>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090DB5" w:rsidRDefault="0076518F" w:rsidP="005546C0">
      <w:pPr>
        <w:autoSpaceDE w:val="0"/>
        <w:autoSpaceDN w:val="0"/>
        <w:adjustRightInd w:val="0"/>
        <w:spacing w:before="29" w:line="288" w:lineRule="auto"/>
        <w:jc w:val="left"/>
        <w:rPr>
          <w:b/>
          <w:color w:val="000000"/>
          <w:kern w:val="0"/>
          <w:sz w:val="24"/>
        </w:rPr>
      </w:pPr>
      <w:r w:rsidRPr="00090DB5">
        <w:rPr>
          <w:b/>
          <w:color w:val="000000"/>
          <w:kern w:val="0"/>
          <w:sz w:val="24"/>
        </w:rPr>
        <w:t>5.10.6</w:t>
      </w:r>
      <w:r w:rsidR="001C46E1" w:rsidRPr="00090DB5">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60,037,914.86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6,677,232.07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6,915,837.28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59,799,309.65</w:t>
            </w:r>
          </w:p>
        </w:tc>
      </w:tr>
    </w:tbl>
    <w:p w:rsidR="005440C1" w:rsidRDefault="00E9497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1A2A93" w:rsidP="005546C0">
      <w:pPr>
        <w:autoSpaceDE w:val="0"/>
        <w:autoSpaceDN w:val="0"/>
        <w:adjustRightInd w:val="0"/>
        <w:spacing w:before="29" w:line="288" w:lineRule="auto"/>
        <w:jc w:val="left"/>
        <w:rPr>
          <w:color w:val="000000"/>
          <w:sz w:val="24"/>
        </w:rPr>
      </w:pPr>
      <w:r w:rsidRPr="001A2A93">
        <w:rPr>
          <w:rFonts w:hint="eastAsia"/>
          <w:color w:val="000000"/>
          <w:sz w:val="24"/>
        </w:rPr>
        <w:t>本基金管理人本报告期内未进行本基金的申购、赎回、红利再投等；本基金管理人本报告期末持有本基金</w:t>
      </w:r>
      <w:r w:rsidRPr="001A2A93">
        <w:rPr>
          <w:rFonts w:hint="eastAsia"/>
          <w:color w:val="000000"/>
          <w:sz w:val="24"/>
        </w:rPr>
        <w:t>28,056,424.95</w:t>
      </w:r>
      <w:r w:rsidRPr="001A2A93">
        <w:rPr>
          <w:rFonts w:hint="eastAsia"/>
          <w:color w:val="000000"/>
          <w:sz w:val="24"/>
        </w:rPr>
        <w:t>份，占本基金期末总份额的</w:t>
      </w:r>
      <w:r w:rsidRPr="001A2A93">
        <w:rPr>
          <w:rFonts w:hint="eastAsia"/>
          <w:color w:val="000000"/>
          <w:sz w:val="24"/>
        </w:rPr>
        <w:t>46.92%</w:t>
      </w:r>
      <w:r w:rsidRPr="001A2A93">
        <w:rPr>
          <w:rFonts w:hint="eastAsia"/>
          <w:color w:val="000000"/>
          <w:sz w:val="24"/>
        </w:rPr>
        <w:t>。</w:t>
      </w:r>
      <w:bookmarkStart w:id="0" w:name="_GoBack"/>
      <w:bookmarkEnd w:id="0"/>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BB3041">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440C1">
        <w:tc>
          <w:tcPr>
            <w:tcW w:w="992" w:type="dxa"/>
            <w:vMerge w:val="restart"/>
          </w:tcPr>
          <w:p w:rsidR="005440C1" w:rsidRDefault="005440C1"/>
          <w:p w:rsidR="005440C1" w:rsidRDefault="00E9497A">
            <w:r>
              <w:rPr>
                <w:rFonts w:ascii="宋体" w:hAnsi="宋体" w:hint="eastAsia"/>
                <w:bCs/>
                <w:color w:val="000000"/>
                <w:kern w:val="0"/>
                <w:szCs w:val="21"/>
              </w:rPr>
              <w:t>机构</w:t>
            </w:r>
          </w:p>
        </w:tc>
        <w:tc>
          <w:tcPr>
            <w:tcW w:w="991" w:type="dxa"/>
            <w:vAlign w:val="center"/>
          </w:tcPr>
          <w:p w:rsidR="005440C1" w:rsidRDefault="00E9497A">
            <w:pPr>
              <w:jc w:val="center"/>
            </w:pPr>
            <w:r>
              <w:rPr>
                <w:rFonts w:ascii="宋体" w:hAnsi="宋体" w:hint="eastAsia"/>
                <w:color w:val="000000"/>
                <w:kern w:val="0"/>
                <w:szCs w:val="21"/>
              </w:rPr>
              <w:t>1</w:t>
            </w:r>
          </w:p>
        </w:tc>
        <w:tc>
          <w:tcPr>
            <w:tcW w:w="1843" w:type="dxa"/>
            <w:vAlign w:val="center"/>
          </w:tcPr>
          <w:p w:rsidR="005440C1" w:rsidRDefault="00E9497A">
            <w:pPr>
              <w:jc w:val="center"/>
            </w:pPr>
            <w:r>
              <w:rPr>
                <w:rFonts w:ascii="宋体" w:hAnsi="宋体" w:hint="eastAsia"/>
                <w:color w:val="000000"/>
                <w:kern w:val="0"/>
                <w:szCs w:val="21"/>
              </w:rPr>
              <w:t>2020/4/1-2020/6/30</w:t>
            </w:r>
          </w:p>
        </w:tc>
        <w:tc>
          <w:tcPr>
            <w:tcW w:w="851" w:type="dxa"/>
            <w:vAlign w:val="center"/>
          </w:tcPr>
          <w:p w:rsidR="005440C1" w:rsidRDefault="00E9497A">
            <w:pPr>
              <w:jc w:val="center"/>
            </w:pPr>
            <w:r>
              <w:rPr>
                <w:rFonts w:ascii="宋体" w:hAnsi="宋体" w:hint="eastAsia"/>
                <w:color w:val="000000"/>
                <w:kern w:val="0"/>
                <w:szCs w:val="21"/>
              </w:rPr>
              <w:t>28,056,424.95</w:t>
            </w:r>
          </w:p>
        </w:tc>
        <w:tc>
          <w:tcPr>
            <w:tcW w:w="850" w:type="dxa"/>
            <w:vAlign w:val="center"/>
          </w:tcPr>
          <w:p w:rsidR="005440C1" w:rsidRDefault="00E9497A">
            <w:pPr>
              <w:jc w:val="center"/>
            </w:pPr>
            <w:r>
              <w:rPr>
                <w:rFonts w:ascii="宋体" w:hAnsi="宋体" w:hint="eastAsia"/>
                <w:color w:val="000000"/>
                <w:kern w:val="0"/>
                <w:szCs w:val="21"/>
              </w:rPr>
              <w:t>-</w:t>
            </w:r>
          </w:p>
        </w:tc>
        <w:tc>
          <w:tcPr>
            <w:tcW w:w="1134" w:type="dxa"/>
            <w:vAlign w:val="center"/>
          </w:tcPr>
          <w:p w:rsidR="005440C1" w:rsidRDefault="00E9497A">
            <w:pPr>
              <w:jc w:val="center"/>
            </w:pPr>
            <w:r>
              <w:rPr>
                <w:rFonts w:ascii="宋体" w:hAnsi="宋体" w:hint="eastAsia"/>
                <w:color w:val="000000"/>
                <w:kern w:val="0"/>
                <w:szCs w:val="21"/>
              </w:rPr>
              <w:t>-</w:t>
            </w:r>
          </w:p>
        </w:tc>
        <w:tc>
          <w:tcPr>
            <w:tcW w:w="1419" w:type="dxa"/>
            <w:vAlign w:val="center"/>
          </w:tcPr>
          <w:p w:rsidR="005440C1" w:rsidRDefault="00E9497A">
            <w:pPr>
              <w:jc w:val="center"/>
            </w:pPr>
            <w:r>
              <w:rPr>
                <w:rFonts w:ascii="宋体" w:hAnsi="宋体" w:hint="eastAsia"/>
                <w:color w:val="000000"/>
                <w:kern w:val="0"/>
                <w:szCs w:val="21"/>
              </w:rPr>
              <w:t>28,056,424.95</w:t>
            </w:r>
          </w:p>
        </w:tc>
        <w:tc>
          <w:tcPr>
            <w:tcW w:w="1130" w:type="dxa"/>
            <w:vAlign w:val="center"/>
          </w:tcPr>
          <w:p w:rsidR="005440C1" w:rsidRDefault="00E9497A">
            <w:pPr>
              <w:jc w:val="center"/>
            </w:pPr>
            <w:r>
              <w:rPr>
                <w:rFonts w:ascii="宋体" w:hAnsi="宋体" w:hint="eastAsia"/>
                <w:color w:val="000000"/>
                <w:kern w:val="0"/>
                <w:szCs w:val="21"/>
              </w:rPr>
              <w:t>46.92%</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5440C1" w:rsidRDefault="00E9497A">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5440C1" w:rsidRDefault="00E9497A">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5440C1" w:rsidRDefault="00E9497A">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5440C1" w:rsidRDefault="00E9497A">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5440C1" w:rsidRDefault="00E9497A">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5440C1" w:rsidRDefault="00E9497A">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440C1" w:rsidRDefault="00E9497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lastRenderedPageBreak/>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5440C1" w:rsidRDefault="00E9497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7A" w:rsidRDefault="00E9497A">
      <w:r>
        <w:separator/>
      </w:r>
    </w:p>
  </w:endnote>
  <w:endnote w:type="continuationSeparator" w:id="0">
    <w:p w:rsidR="00E9497A" w:rsidRDefault="00E9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1A2A93">
      <w:rPr>
        <w:noProof/>
        <w:kern w:val="0"/>
        <w:szCs w:val="21"/>
      </w:rPr>
      <w:t>12</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1A2A93">
      <w:rPr>
        <w:noProof/>
        <w:kern w:val="0"/>
        <w:szCs w:val="21"/>
      </w:rPr>
      <w:t>14</w:t>
    </w:r>
    <w:r w:rsidR="00DB2A0D">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B2A0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7A" w:rsidRDefault="00E9497A">
      <w:r>
        <w:separator/>
      </w:r>
    </w:p>
  </w:footnote>
  <w:footnote w:type="continuationSeparator" w:id="0">
    <w:p w:rsidR="00E9497A" w:rsidRDefault="00E9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226F"/>
    <w:rsid w:val="000876A0"/>
    <w:rsid w:val="00087CF7"/>
    <w:rsid w:val="00090DB5"/>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1AF8"/>
    <w:rsid w:val="001928F7"/>
    <w:rsid w:val="00194537"/>
    <w:rsid w:val="00194F40"/>
    <w:rsid w:val="00195D4D"/>
    <w:rsid w:val="001976B1"/>
    <w:rsid w:val="001A21A9"/>
    <w:rsid w:val="001A2A93"/>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91A"/>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1939"/>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40C1"/>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673A"/>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16DD"/>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977A8"/>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00AB"/>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078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547"/>
    <w:rsid w:val="009E1E55"/>
    <w:rsid w:val="009E4465"/>
    <w:rsid w:val="009E6401"/>
    <w:rsid w:val="009E6C54"/>
    <w:rsid w:val="009E6D44"/>
    <w:rsid w:val="009F2A25"/>
    <w:rsid w:val="009F5235"/>
    <w:rsid w:val="009F531A"/>
    <w:rsid w:val="009F647F"/>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0579"/>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1E74"/>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3C3A"/>
    <w:rsid w:val="00B94BB8"/>
    <w:rsid w:val="00B94C15"/>
    <w:rsid w:val="00B95E5A"/>
    <w:rsid w:val="00B96B27"/>
    <w:rsid w:val="00BA22A8"/>
    <w:rsid w:val="00BA3E48"/>
    <w:rsid w:val="00BA4BF8"/>
    <w:rsid w:val="00BA7C61"/>
    <w:rsid w:val="00BB1EB3"/>
    <w:rsid w:val="00BB2678"/>
    <w:rsid w:val="00BB3041"/>
    <w:rsid w:val="00BB3E1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5DAD"/>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3862"/>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B1A"/>
    <w:rsid w:val="00E73C41"/>
    <w:rsid w:val="00E74EC5"/>
    <w:rsid w:val="00E76B86"/>
    <w:rsid w:val="00E8342F"/>
    <w:rsid w:val="00E8405D"/>
    <w:rsid w:val="00E847A7"/>
    <w:rsid w:val="00E87C2F"/>
    <w:rsid w:val="00E906B4"/>
    <w:rsid w:val="00E9095B"/>
    <w:rsid w:val="00E90CF1"/>
    <w:rsid w:val="00E9399B"/>
    <w:rsid w:val="00E94008"/>
    <w:rsid w:val="00E94762"/>
    <w:rsid w:val="00E9497A"/>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8DF28F86-B5D6-4749-8878-6DB63B2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114</TotalTime>
  <Pages>14</Pages>
  <Words>1265</Words>
  <Characters>7217</Characters>
  <Application>Microsoft Office Word</Application>
  <DocSecurity>0</DocSecurity>
  <Lines>60</Lines>
  <Paragraphs>16</Paragraphs>
  <ScaleCrop>false</ScaleCrop>
  <Company>TRT. Ltd. Co.</Company>
  <LinksUpToDate>false</LinksUpToDate>
  <CharactersWithSpaces>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253</cp:revision>
  <cp:lastPrinted>2007-07-19T00:46:00Z</cp:lastPrinted>
  <dcterms:created xsi:type="dcterms:W3CDTF">2013-08-01T05:26:00Z</dcterms:created>
  <dcterms:modified xsi:type="dcterms:W3CDTF">2020-07-17T05:37:00Z</dcterms:modified>
</cp:coreProperties>
</file>