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交银施罗德理财60天债券型证券投资基金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2020年第2季度报告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2020年6月30日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中国建设银行股份有限公司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proofErr w:type="gramStart"/>
      <w:r w:rsidR="00EF56FA" w:rsidRPr="001E1B20">
        <w:rPr>
          <w:b/>
          <w:color w:val="000000"/>
          <w:sz w:val="24"/>
        </w:rPr>
        <w:t/>
      </w:r>
      <w:r w:rsidR="00D87D00" w:rsidRPr="001E1B20">
        <w:rPr>
          <w:b/>
          <w:color w:val="000000"/>
          <w:sz w:val="24"/>
        </w:rPr>
        <w:t/>
      </w:r>
      <w:proofErr w:type="spellEnd"/>
      <w:proofErr w:type="gramEnd"/>
      <w:r w:rsidR="00EF56FA" w:rsidRPr="001E1B20">
        <w:rPr>
          <w:b/>
          <w:color w:val="000000"/>
          <w:sz w:val="24"/>
        </w:rPr>
        <w:t>二〇二〇年七月二十一日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基金托管人中国建设银行股份有限公司根据本基金合同规定，于2020年7月20日复核了本报告中的财务指标、净值表现和投资组合报告等内容，保证复核内容不存在虚假记载、误导性陈述或者重大遗漏。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本报告期自2020年4月1日起至6月30日止。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交银理财60天债券</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519721</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2013年3月13日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6,046,597,493.00</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人民币七天通知存款税后利率</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本基金属于短期理财债券型证券投资基金，长期风险收益水平低于股票型基金、混合型基金及普通债券型基金，高于货币市场型证券投资基金。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中国建设银行股份有限公司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交银理财60天债券A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交银理财60天债券B</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519721</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519722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proofErr w:type="spellStart"/>
            <w:r w:rsidR="004702DF" w:rsidRPr="000E4C40">
              <w:rPr>
                <w:color w:val="000000"/>
                <w:kern w:val="0"/>
                <w:sz w:val="24"/>
              </w:rPr>
              <w:t/>
            </w:r>
            <w:proofErr w:type="spellEnd"/>
            <w:r w:rsidRPr="000E4C40">
              <w:rPr>
                <w:sz w:val="24"/>
              </w:rPr>
              <w:t/>
            </w:r>
            <w:r w:rsidR="007B082A" w:rsidRPr="000E4C40">
              <w:rPr>
                <w:sz w:val="24"/>
              </w:rPr>
              <w:t/>
            </w:r>
            <w:r w:rsidRPr="000E4C40">
              <w:rPr>
                <w:sz w:val="24"/>
              </w:rPr>
              <w:t>3,387,367.23</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6,043,210,125.77</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2020年4月1日-</w:t>
            </w:r>
            <w:proofErr w:type="spellStart"/>
            <w:r w:rsidRPr="000E4C40">
              <w:rPr>
                <w:color w:val="000000"/>
                <w:sz w:val="24"/>
              </w:rPr>
              <w:t/>
            </w:r>
            <w:proofErr w:type="spellEnd"/>
            <w:r w:rsidRPr="000E4C40">
              <w:rPr>
                <w:color w:val="000000"/>
                <w:sz w:val="24"/>
              </w:rPr>
              <w:t>2020年6月30日)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sz w:val="24"/>
              </w:rPr>
              <w:t/>
            </w:r>
            <w:proofErr w:type="spellEnd"/>
            <w:r w:rsidRPr="000E4C40">
              <w:rPr>
                <w:sz w:val="24"/>
              </w:rPr>
              <w:t>交银理财60天债券A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交银理财60天债券B</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21,470.70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36,625,211.16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21,470.70</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36,625,211.16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3,387,367.23</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6,043,210,125.77</w:t>
            </w:r>
          </w:p>
        </w:tc>
      </w:tr>
    </w:tbl>
    <w:p>
      <w:pPr>
        <w:autoSpaceDE w:val="0"/>
        <w:autoSpaceDN w:val="0"/>
        <w:adjustRightInd w:val="0"/>
        <w:spacing w:before="29" w:line="288" w:lineRule="auto"/>
        <w:jc w:val="left"/>
        <w:rPr>
          <w:color w:val="000000"/>
          <w:sz w:val="24"/>
        </w:rPr>
      </w:pPr>
      <w:r>
        <w:rPr>
          <w:color w:val="000000"/>
          <w:sz w:val="24"/>
        </w:rPr>
        <w:t>注：1、自合同生效日起，本基金实行销售服务费分类收费方式，分设两类基金份额：A类基金份额和B类基金份额。A类基金份额与B类基金份额的管理费、托管费相同，A类基金份额按照0.30%的年费率计提销售服务费，B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24424F" w:rsidRPr="000E4C40">
        <w:rPr>
          <w:rFonts w:ascii="Times New Roman" w:hAnsi="Times New Roman"/>
          <w:b/>
          <w:color w:val="auto"/>
        </w:rPr>
        <w:t/>
      </w:r>
      <w:proofErr w:type="spellEnd"/>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交银理财60天债券A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0.4572%</w:t>
            </w:r>
          </w:p>
        </w:tc>
        <w:tc>
          <w:tcPr>
            <w:vAlign w:val="center"/>
          </w:tcPr>
          <w:p>
            <w:pPr>
              <w:jc w:val="center"/>
            </w:pPr>
            <w:r>
              <w:rPr>
                <w:rFonts w:ascii="Times New Roman" w:hAnsi="Times New Roman"/>
                <w:color w:val="000000"/>
              </w:rPr>
              <w:t>0.0031%</w:t>
            </w:r>
          </w:p>
        </w:tc>
        <w:tc>
          <w:tcPr>
            <w:vAlign w:val="center"/>
          </w:tcPr>
          <w:p>
            <w:pPr>
              <w:jc w:val="center"/>
            </w:pPr>
            <w:r>
              <w:rPr>
                <w:rFonts w:ascii="Times New Roman" w:hAnsi="Times New Roman"/>
                <w:color w:val="000000"/>
              </w:rPr>
              <w:t>0.3366%</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0.1206%</w:t>
            </w:r>
          </w:p>
        </w:tc>
        <w:tc>
          <w:tcPr>
            <w:vAlign w:val="center"/>
          </w:tcPr>
          <w:p>
            <w:pPr>
              <w:jc w:val="center"/>
            </w:pPr>
            <w:r>
              <w:rPr>
                <w:rFonts w:ascii="Times New Roman" w:hAnsi="Times New Roman"/>
                <w:color w:val="000000"/>
              </w:rPr>
              <w:t>0.0031%</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1.0375%</w:t>
            </w:r>
          </w:p>
        </w:tc>
        <w:tc>
          <w:tcPr>
            <w:vAlign w:val="center"/>
          </w:tcPr>
          <w:p>
            <w:pPr>
              <w:jc w:val="center"/>
            </w:pPr>
            <w:r>
              <w:rPr>
                <w:rFonts w:ascii="Times New Roman" w:hAnsi="Times New Roman"/>
                <w:color w:val="000000"/>
              </w:rPr>
              <w:t>0.0025%</w:t>
            </w:r>
          </w:p>
        </w:tc>
        <w:tc>
          <w:tcPr>
            <w:vAlign w:val="center"/>
          </w:tcPr>
          <w:p>
            <w:pPr>
              <w:jc w:val="center"/>
            </w:pPr>
            <w:r>
              <w:rPr>
                <w:rFonts w:ascii="Times New Roman" w:hAnsi="Times New Roman"/>
                <w:color w:val="000000"/>
              </w:rPr>
              <w:t>0.6732%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0.3643%</w:t>
            </w:r>
          </w:p>
        </w:tc>
        <w:tc>
          <w:tcPr>
            <w:vAlign w:val="center"/>
          </w:tcPr>
          <w:p>
            <w:pPr>
              <w:jc w:val="center"/>
            </w:pPr>
            <w:r>
              <w:rPr>
                <w:rFonts w:ascii="Times New Roman" w:hAnsi="Times New Roman"/>
                <w:color w:val="000000"/>
              </w:rPr>
              <w:t>0.0025%</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2.3403%</w:t>
            </w:r>
          </w:p>
        </w:tc>
        <w:tc>
          <w:tcPr>
            <w:vAlign w:val="center"/>
          </w:tcPr>
          <w:p>
            <w:pPr>
              <w:jc w:val="center"/>
            </w:pPr>
            <w:r>
              <w:rPr>
                <w:rFonts w:ascii="Times New Roman" w:hAnsi="Times New Roman"/>
                <w:color w:val="000000"/>
              </w:rPr>
              <w:t>0.0021%</w:t>
            </w:r>
          </w:p>
        </w:tc>
        <w:tc>
          <w:tcPr>
            <w:vAlign w:val="center"/>
          </w:tcPr>
          <w:p>
            <w:pPr>
              <w:jc w:val="center"/>
            </w:pPr>
            <w:r>
              <w:rPr>
                <w:rFonts w:ascii="Times New Roman" w:hAnsi="Times New Roman"/>
                <w:color w:val="000000"/>
              </w:rPr>
              <w:t>1.3537%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0.9866%</w:t>
            </w:r>
          </w:p>
        </w:tc>
        <w:tc>
          <w:tcPr>
            <w:vAlign w:val="center"/>
          </w:tcPr>
          <w:p>
            <w:pPr>
              <w:jc w:val="center"/>
            </w:pPr>
            <w:r>
              <w:rPr>
                <w:rFonts w:ascii="Times New Roman" w:hAnsi="Times New Roman"/>
                <w:color w:val="000000"/>
              </w:rPr>
              <w:t>0.0021%</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10.4089%</w:t>
            </w:r>
          </w:p>
        </w:tc>
        <w:tc>
          <w:tcPr>
            <w:vAlign w:val="center"/>
          </w:tcPr>
          <w:p>
            <w:pPr>
              <w:jc w:val="center"/>
            </w:pPr>
            <w:r>
              <w:rPr>
                <w:rFonts w:ascii="Times New Roman" w:hAnsi="Times New Roman"/>
                <w:color w:val="000000"/>
              </w:rPr>
              <w:t>0.0028%</w:t>
            </w:r>
          </w:p>
        </w:tc>
        <w:tc>
          <w:tcPr>
            <w:vAlign w:val="center"/>
          </w:tcPr>
          <w:p>
            <w:pPr>
              <w:jc w:val="center"/>
            </w:pPr>
            <w:r>
              <w:rPr>
                <w:rFonts w:ascii="Times New Roman" w:hAnsi="Times New Roman"/>
                <w:color w:val="000000"/>
              </w:rPr>
              <w:t>4.0537%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6.3552%</w:t>
            </w:r>
          </w:p>
        </w:tc>
        <w:tc>
          <w:tcPr>
            <w:vAlign w:val="center"/>
          </w:tcPr>
          <w:p>
            <w:pPr>
              <w:jc w:val="center"/>
            </w:pPr>
            <w:r>
              <w:rPr>
                <w:rFonts w:ascii="Times New Roman" w:hAnsi="Times New Roman"/>
                <w:color w:val="000000"/>
              </w:rPr>
              <w:t>0.0028%</w:t>
            </w:r>
          </w:p>
        </w:tc>
      </w:tr>
      <w:tr>
        <w:tc>
          <w:tcPr>
            <w:vAlign w:val="center"/>
          </w:tcPr>
          <w:p>
            <w:pPr>
              <w:jc w:val="left"/>
            </w:pPr>
            <w:r>
              <w:rPr>
                <w:rFonts w:ascii="Times New Roman" w:hAnsi="Times New Roman"/>
                <w:color w:val="000000"/>
              </w:rPr>
              <w:t>过去五年</w:t>
            </w:r>
          </w:p>
        </w:tc>
        <w:tc>
          <w:tcPr>
            <w:vAlign w:val="center"/>
          </w:tcPr>
          <w:p>
            <w:pPr>
              <w:jc w:val="center"/>
            </w:pPr>
            <w:r>
              <w:rPr>
                <w:rFonts w:ascii="Times New Roman" w:hAnsi="Times New Roman"/>
                <w:color w:val="000000"/>
              </w:rPr>
              <w:t>15.6571%</w:t>
            </w:r>
          </w:p>
        </w:tc>
        <w:tc>
          <w:tcPr>
            <w:vAlign w:val="center"/>
          </w:tcPr>
          <w:p>
            <w:pPr>
              <w:jc w:val="center"/>
            </w:pPr>
            <w:r>
              <w:rPr>
                <w:rFonts w:ascii="Times New Roman" w:hAnsi="Times New Roman"/>
                <w:color w:val="000000"/>
              </w:rPr>
              <w:t>0.0032%</w:t>
            </w:r>
          </w:p>
        </w:tc>
        <w:tc>
          <w:tcPr>
            <w:vAlign w:val="center"/>
          </w:tcPr>
          <w:p>
            <w:pPr>
              <w:jc w:val="center"/>
            </w:pPr>
            <w:r>
              <w:rPr>
                <w:rFonts w:ascii="Times New Roman" w:hAnsi="Times New Roman"/>
                <w:color w:val="000000"/>
              </w:rPr>
              <w:t>6.7574%</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8.8997%</w:t>
            </w:r>
          </w:p>
        </w:tc>
        <w:tc>
          <w:tcPr>
            <w:vAlign w:val="center"/>
          </w:tcPr>
          <w:p>
            <w:pPr>
              <w:jc w:val="center"/>
            </w:pPr>
            <w:r>
              <w:rPr>
                <w:rFonts w:ascii="Times New Roman" w:hAnsi="Times New Roman"/>
                <w:color w:val="000000"/>
              </w:rPr>
              <w:t>0.0032%</w:t>
            </w:r>
          </w:p>
        </w:tc>
      </w:tr>
      <w:tr>
        <w:tc>
          <w:tcPr>
            <w:vAlign w:val="center"/>
          </w:tcPr>
          <w:p>
            <w:pPr>
              <w:jc w:val="left"/>
            </w:pPr>
            <w:r>
              <w:rPr>
                <w:rFonts w:ascii="Times New Roman" w:hAnsi="Times New Roman"/>
                <w:color w:val="000000"/>
              </w:rPr>
              <w:t>自基金合同生效起至今</w:t>
            </w:r>
          </w:p>
        </w:tc>
        <w:tc>
          <w:tcPr>
            <w:vAlign w:val="center"/>
          </w:tcPr>
          <w:p>
            <w:pPr>
              <w:jc w:val="center"/>
            </w:pPr>
            <w:r>
              <w:rPr>
                <w:rFonts w:ascii="Times New Roman" w:hAnsi="Times New Roman"/>
                <w:color w:val="000000"/>
              </w:rPr>
              <w:t>26.6417%</w:t>
            </w:r>
          </w:p>
        </w:tc>
        <w:tc>
          <w:tcPr>
            <w:vAlign w:val="center"/>
          </w:tcPr>
          <w:p>
            <w:pPr>
              <w:jc w:val="center"/>
            </w:pPr>
            <w:r>
              <w:rPr>
                <w:rFonts w:ascii="Times New Roman" w:hAnsi="Times New Roman"/>
                <w:color w:val="000000"/>
              </w:rPr>
              <w:t>0.0068%</w:t>
            </w:r>
          </w:p>
        </w:tc>
        <w:tc>
          <w:tcPr>
            <w:vAlign w:val="center"/>
          </w:tcPr>
          <w:p>
            <w:pPr>
              <w:jc w:val="center"/>
            </w:pPr>
            <w:r>
              <w:rPr>
                <w:rFonts w:ascii="Times New Roman" w:hAnsi="Times New Roman"/>
                <w:color w:val="000000"/>
              </w:rPr>
              <w:t>9.8642%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16.7775%</w:t>
            </w:r>
          </w:p>
        </w:tc>
        <w:tc>
          <w:tcPr>
            <w:vAlign w:val="center"/>
          </w:tcPr>
          <w:p>
            <w:pPr>
              <w:jc w:val="center"/>
            </w:pPr>
            <w:r>
              <w:rPr>
                <w:rFonts w:ascii="Times New Roman" w:hAnsi="Times New Roman"/>
                <w:color w:val="000000"/>
              </w:rPr>
              <w:t>0.0068%</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ED5511" w:rsidRPr="000E4C40">
        <w:rPr>
          <w:color w:val="000000"/>
          <w:sz w:val="24"/>
        </w:rPr>
        <w:t/>
      </w:r>
      <w:r w:rsidRPr="000E4C40">
        <w:rPr>
          <w:color w:val="000000"/>
          <w:sz w:val="24"/>
        </w:rPr>
        <w:t/>
      </w:r>
      <w:proofErr w:type="gramEnd"/>
      <w:r w:rsidRPr="000E4C40">
        <w:rPr>
          <w:color w:val="000000"/>
          <w:sz w:val="24"/>
        </w:rPr>
        <w:t xml:space="preserve">    2、本基金每日计算当日收益并分配，并在运作期期末集中支付。</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交银理财60天债券B</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0.5299%</w:t>
            </w:r>
          </w:p>
        </w:tc>
        <w:tc>
          <w:tcPr>
            <w:vAlign w:val="center"/>
          </w:tcPr>
          <w:p>
            <w:pPr>
              <w:jc w:val="center"/>
            </w:pPr>
            <w:r>
              <w:rPr>
                <w:rFonts w:ascii="Times New Roman" w:hAnsi="Times New Roman"/>
                <w:color w:val="000000"/>
              </w:rPr>
              <w:t>0.0031%</w:t>
            </w:r>
          </w:p>
        </w:tc>
        <w:tc>
          <w:tcPr>
            <w:vAlign w:val="center"/>
          </w:tcPr>
          <w:p>
            <w:pPr>
              <w:jc w:val="center"/>
            </w:pPr>
            <w:r>
              <w:rPr>
                <w:rFonts w:ascii="Times New Roman" w:hAnsi="Times New Roman"/>
                <w:color w:val="000000"/>
              </w:rPr>
              <w:t>0.3366%</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0.1933%</w:t>
            </w:r>
          </w:p>
        </w:tc>
        <w:tc>
          <w:tcPr>
            <w:vAlign w:val="center"/>
          </w:tcPr>
          <w:p>
            <w:pPr>
              <w:jc w:val="center"/>
            </w:pPr>
            <w:r>
              <w:rPr>
                <w:rFonts w:ascii="Times New Roman" w:hAnsi="Times New Roman"/>
                <w:color w:val="000000"/>
              </w:rPr>
              <w:t>0.0031%</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1.1833%</w:t>
            </w:r>
          </w:p>
        </w:tc>
        <w:tc>
          <w:tcPr>
            <w:vAlign w:val="center"/>
          </w:tcPr>
          <w:p>
            <w:pPr>
              <w:jc w:val="center"/>
            </w:pPr>
            <w:r>
              <w:rPr>
                <w:rFonts w:ascii="Times New Roman" w:hAnsi="Times New Roman"/>
                <w:color w:val="000000"/>
              </w:rPr>
              <w:t>0.0025%</w:t>
            </w:r>
          </w:p>
        </w:tc>
        <w:tc>
          <w:tcPr>
            <w:vAlign w:val="center"/>
          </w:tcPr>
          <w:p>
            <w:pPr>
              <w:jc w:val="center"/>
            </w:pPr>
            <w:r>
              <w:rPr>
                <w:rFonts w:ascii="Times New Roman" w:hAnsi="Times New Roman"/>
                <w:color w:val="000000"/>
              </w:rPr>
              <w:t>0.6732%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0.5101%</w:t>
            </w:r>
          </w:p>
        </w:tc>
        <w:tc>
          <w:tcPr>
            <w:vAlign w:val="center"/>
          </w:tcPr>
          <w:p>
            <w:pPr>
              <w:jc w:val="center"/>
            </w:pPr>
            <w:r>
              <w:rPr>
                <w:rFonts w:ascii="Times New Roman" w:hAnsi="Times New Roman"/>
                <w:color w:val="000000"/>
              </w:rPr>
              <w:t>0.0025%</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2.6379%</w:t>
            </w:r>
          </w:p>
        </w:tc>
        <w:tc>
          <w:tcPr>
            <w:vAlign w:val="center"/>
          </w:tcPr>
          <w:p>
            <w:pPr>
              <w:jc w:val="center"/>
            </w:pPr>
            <w:r>
              <w:rPr>
                <w:rFonts w:ascii="Times New Roman" w:hAnsi="Times New Roman"/>
                <w:color w:val="000000"/>
              </w:rPr>
              <w:t>0.0021%</w:t>
            </w:r>
          </w:p>
        </w:tc>
        <w:tc>
          <w:tcPr>
            <w:vAlign w:val="center"/>
          </w:tcPr>
          <w:p>
            <w:pPr>
              <w:jc w:val="center"/>
            </w:pPr>
            <w:r>
              <w:rPr>
                <w:rFonts w:ascii="Times New Roman" w:hAnsi="Times New Roman"/>
                <w:color w:val="000000"/>
              </w:rPr>
              <w:t>1.3537%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1.2842%</w:t>
            </w:r>
          </w:p>
        </w:tc>
        <w:tc>
          <w:tcPr>
            <w:vAlign w:val="center"/>
          </w:tcPr>
          <w:p>
            <w:pPr>
              <w:jc w:val="center"/>
            </w:pPr>
            <w:r>
              <w:rPr>
                <w:rFonts w:ascii="Times New Roman" w:hAnsi="Times New Roman"/>
                <w:color w:val="000000"/>
              </w:rPr>
              <w:t>0.0021%</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11.3700%</w:t>
            </w:r>
          </w:p>
        </w:tc>
        <w:tc>
          <w:tcPr>
            <w:vAlign w:val="center"/>
          </w:tcPr>
          <w:p>
            <w:pPr>
              <w:jc w:val="center"/>
            </w:pPr>
            <w:r>
              <w:rPr>
                <w:rFonts w:ascii="Times New Roman" w:hAnsi="Times New Roman"/>
                <w:color w:val="000000"/>
              </w:rPr>
              <w:t>0.0028%</w:t>
            </w:r>
          </w:p>
        </w:tc>
        <w:tc>
          <w:tcPr>
            <w:vAlign w:val="center"/>
          </w:tcPr>
          <w:p>
            <w:pPr>
              <w:jc w:val="center"/>
            </w:pPr>
            <w:r>
              <w:rPr>
                <w:rFonts w:ascii="Times New Roman" w:hAnsi="Times New Roman"/>
                <w:color w:val="000000"/>
              </w:rPr>
              <w:t>4.0537%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7.3163%</w:t>
            </w:r>
          </w:p>
        </w:tc>
        <w:tc>
          <w:tcPr>
            <w:vAlign w:val="center"/>
          </w:tcPr>
          <w:p>
            <w:pPr>
              <w:jc w:val="center"/>
            </w:pPr>
            <w:r>
              <w:rPr>
                <w:rFonts w:ascii="Times New Roman" w:hAnsi="Times New Roman"/>
                <w:color w:val="000000"/>
              </w:rPr>
              <w:t>0.0028%</w:t>
            </w:r>
          </w:p>
        </w:tc>
      </w:tr>
      <w:tr>
        <w:tc>
          <w:tcPr>
            <w:vAlign w:val="center"/>
          </w:tcPr>
          <w:p>
            <w:pPr>
              <w:jc w:val="left"/>
            </w:pPr>
            <w:r>
              <w:rPr>
                <w:rFonts w:ascii="Times New Roman" w:hAnsi="Times New Roman"/>
                <w:color w:val="000000"/>
              </w:rPr>
              <w:t>过去五年</w:t>
            </w:r>
          </w:p>
        </w:tc>
        <w:tc>
          <w:tcPr>
            <w:vAlign w:val="center"/>
          </w:tcPr>
          <w:p>
            <w:pPr>
              <w:jc w:val="center"/>
            </w:pPr>
            <w:r>
              <w:rPr>
                <w:rFonts w:ascii="Times New Roman" w:hAnsi="Times New Roman"/>
                <w:color w:val="000000"/>
              </w:rPr>
              <w:t>16.7245%</w:t>
            </w:r>
          </w:p>
        </w:tc>
        <w:tc>
          <w:tcPr>
            <w:vAlign w:val="center"/>
          </w:tcPr>
          <w:p>
            <w:pPr>
              <w:jc w:val="center"/>
            </w:pPr>
            <w:r>
              <w:rPr>
                <w:rFonts w:ascii="Times New Roman" w:hAnsi="Times New Roman"/>
                <w:color w:val="000000"/>
              </w:rPr>
              <w:t>0.0037%</w:t>
            </w:r>
          </w:p>
        </w:tc>
        <w:tc>
          <w:tcPr>
            <w:vAlign w:val="center"/>
          </w:tcPr>
          <w:p>
            <w:pPr>
              <w:jc w:val="center"/>
            </w:pPr>
            <w:r>
              <w:rPr>
                <w:rFonts w:ascii="Times New Roman" w:hAnsi="Times New Roman"/>
                <w:color w:val="000000"/>
              </w:rPr>
              <w:t>6.7574%</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9.9671%</w:t>
            </w:r>
          </w:p>
        </w:tc>
        <w:tc>
          <w:tcPr>
            <w:vAlign w:val="center"/>
          </w:tcPr>
          <w:p>
            <w:pPr>
              <w:jc w:val="center"/>
            </w:pPr>
            <w:r>
              <w:rPr>
                <w:rFonts w:ascii="Times New Roman" w:hAnsi="Times New Roman"/>
                <w:color w:val="000000"/>
              </w:rPr>
              <w:t>0.0037%</w:t>
            </w:r>
          </w:p>
        </w:tc>
      </w:tr>
      <w:tr>
        <w:tc>
          <w:tcPr>
            <w:vAlign w:val="center"/>
          </w:tcPr>
          <w:p>
            <w:pPr>
              <w:jc w:val="left"/>
            </w:pPr>
            <w:r>
              <w:rPr>
                <w:rFonts w:ascii="Times New Roman" w:hAnsi="Times New Roman"/>
                <w:color w:val="000000"/>
              </w:rPr>
              <w:t>自基金合同生效起至今</w:t>
            </w:r>
          </w:p>
        </w:tc>
        <w:tc>
          <w:tcPr>
            <w:vAlign w:val="center"/>
          </w:tcPr>
          <w:p>
            <w:pPr>
              <w:jc w:val="center"/>
            </w:pPr>
            <w:r>
              <w:rPr>
                <w:rFonts w:ascii="Times New Roman" w:hAnsi="Times New Roman"/>
                <w:color w:val="000000"/>
              </w:rPr>
              <w:t>25.4569%</w:t>
            </w:r>
          </w:p>
        </w:tc>
        <w:tc>
          <w:tcPr>
            <w:vAlign w:val="center"/>
          </w:tcPr>
          <w:p>
            <w:pPr>
              <w:jc w:val="center"/>
            </w:pPr>
            <w:r>
              <w:rPr>
                <w:rFonts w:ascii="Times New Roman" w:hAnsi="Times New Roman"/>
                <w:color w:val="000000"/>
              </w:rPr>
              <w:t>0.0070%</w:t>
            </w:r>
          </w:p>
        </w:tc>
        <w:tc>
          <w:tcPr>
            <w:vAlign w:val="center"/>
          </w:tcPr>
          <w:p>
            <w:pPr>
              <w:jc w:val="center"/>
            </w:pPr>
            <w:r>
              <w:rPr>
                <w:rFonts w:ascii="Times New Roman" w:hAnsi="Times New Roman"/>
                <w:color w:val="000000"/>
              </w:rPr>
              <w:t>9.8642%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15.5927%</w:t>
            </w:r>
          </w:p>
        </w:tc>
        <w:tc>
          <w:tcPr>
            <w:vAlign w:val="center"/>
          </w:tcPr>
          <w:p>
            <w:pPr>
              <w:jc w:val="center"/>
            </w:pPr>
            <w:r>
              <w:rPr>
                <w:rFonts w:ascii="Times New Roman" w:hAnsi="Times New Roman"/>
                <w:color w:val="000000"/>
              </w:rPr>
              <w:t>0.0070%</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327FB0" w:rsidRPr="000E4C40">
        <w:rPr>
          <w:color w:val="000000"/>
          <w:sz w:val="24"/>
        </w:rPr>
        <w:t/>
      </w:r>
      <w:r w:rsidR="000F78F3">
        <w:rPr>
          <w:rFonts w:hint="eastAsia"/>
          <w:color w:val="000000"/>
          <w:sz w:val="24"/>
        </w:rPr>
        <w:t/>
      </w:r>
      <w:proofErr w:type="gramEnd"/>
      <w:r w:rsidRPr="000E4C40">
        <w:rPr>
          <w:color w:val="000000"/>
          <w:sz w:val="24"/>
        </w:rPr>
        <w:t xml:space="preserve">    2、本基金每日计算当日收益并分配，并在运作期期末集中支付。</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proofErr w:type="gramStart"/>
      <w:r w:rsidRPr="000E4C40">
        <w:rPr>
          <w:sz w:val="24"/>
        </w:rPr>
        <w:t/>
      </w:r>
      <w:proofErr w:type="spellEnd"/>
      <w:proofErr w:type="gramEnd"/>
      <w:r w:rsidRPr="000E4C40">
        <w:rPr>
          <w:sz w:val="24"/>
        </w:rPr>
        <w:t>交银施罗德理财60天债券型证券投资基金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2013年3月13日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2020年6月30日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交银理财60天债券A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proofErr w:type="gramEnd"/>
      <w:r w:rsidRPr="000E4C40">
        <w:rPr>
          <w:color w:val="000000"/>
          <w:sz w:val="24"/>
        </w:rPr>
        <w:t>注：本基金建仓期为自基金合同生效日起的2个月。截至建仓期结束，本基金各项资产配置比例符合基金合同及招募说明书有关投资比例的约定。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交银理财60天债券B</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r w:rsidR="000F78F3">
        <w:rPr>
          <w:color w:val="000000"/>
          <w:sz w:val="24"/>
        </w:rPr>
        <w:t/>
      </w:r>
      <w:r w:rsidR="000F78F3">
        <w:rPr>
          <w:rFonts w:hint="eastAsia"/>
          <w:color w:val="000000"/>
          <w:sz w:val="24"/>
        </w:rPr>
        <w:t/>
      </w:r>
      <w:proofErr w:type="gramEnd"/>
      <w:r w:rsidRPr="000E4C40">
        <w:rPr>
          <w:color w:val="000000"/>
          <w:sz w:val="24"/>
        </w:rPr>
        <w:t>注：本基金建仓期为自基金合同生效日起的2个月。截至建仓期结束，本基金各项资产配置比例符合基金合同及招募说明书有关投资比例的约定。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2015-10-16</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二季度，我国在本土疫情防控取得初步胜利的前提下，国内经济迎来修复期，主要经济指标逐步改善。二季度国内新增新冠病例保持较低水平，为深入开展复工复产提供了较好的支撑。二季度，中采PMI逐月保持在50%以上；FAI也逐月修复，其中房地产与基建投资修复相对较快；出口修复好于预期；社会消费逐步改善；金融条件为实体经济提供有力支持，四至五月M2同比增速均高达11.1%。</w:t>
      </w:r>
    </w:p>
    <w:p>
      <w:pPr>
        <w:spacing w:before="29" w:line="288" w:lineRule="auto"/>
        <w:ind w:firstLine="480" w:firstLineChars="200"/>
        <w:rPr>
          <w:color w:val="000000"/>
          <w:sz w:val="24"/>
        </w:rPr>
      </w:pPr>
      <w:r>
        <w:rPr>
          <w:color w:val="000000"/>
          <w:sz w:val="24"/>
        </w:rPr>
        <w:t>二季度货币政策经历了先密集放松后逐渐收敛的过程，但财政政策刺激力度继续增强。货币政策方面，四月初中国人民银行决定对中小银行定向降准1个百分点，并且下调超额存款准备金利率，四月中旬下调MLF利率20个BP。但自五月以来，随着经济数据边际改善，以及资金套利空转引起监管层重视，央行货币政策操作上呈现边际收敛态势；针对货币市场资金面收紧的状况，央行通过七天与十四天逆回购向公开市场谨慎投放流动性，而且减量续作MLF；二季度央行在公开市场净回笼资金3763亿元。财政政策方面，二季度国债地方债发行量显著提升，财政逆周期刺激力度加强。</w:t>
      </w:r>
    </w:p>
    <w:p>
      <w:pPr>
        <w:spacing w:before="29" w:line="288" w:lineRule="auto"/>
        <w:ind w:firstLine="480" w:firstLineChars="200"/>
        <w:rPr>
          <w:color w:val="000000"/>
          <w:sz w:val="24"/>
        </w:rPr>
      </w:pPr>
      <w:r>
        <w:rPr>
          <w:color w:val="000000"/>
          <w:sz w:val="24"/>
        </w:rPr>
        <w:t>资金面上，二季度受央行货币政策操作边际变化、政府债券发行量上升等影响，市场资金面波动较大。四月货币市场资金面较为宽松，五月中下旬开始资金面持续趋紧，货币品种收益率在四月达到历史低位之后中枢不断抬升；三个月股份制银行存单收益率六月末较三月末上升50个BP以上。主要受国内经济数据改善及货币政策边际收敛等影响，二季度债市大幅波动；在四月份大涨之后，五月开始债市大幅调整；六月末十年期国开债YTM较四月末低位回调约30个BP。</w:t>
      </w:r>
    </w:p>
    <w:p>
      <w:pPr>
        <w:spacing w:before="29" w:line="288" w:lineRule="auto"/>
        <w:ind w:firstLine="480" w:firstLineChars="200"/>
        <w:rPr>
          <w:color w:val="000000"/>
          <w:sz w:val="24"/>
        </w:rPr>
      </w:pPr>
      <w:r>
        <w:rPr>
          <w:color w:val="000000"/>
          <w:sz w:val="24"/>
        </w:rPr>
        <w:t>基金操作方面，考虑本基金转型期将至，报告期内本基金提升了流动性，降低组合久期，为应对转型期基金份额持有人潜在赎回需求，同时为持有人创造了稳健的回报。</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展望2020年三季度，国内经济修复势头可能将维持一段时间，但力度上有趋弱的风险，来自于海外疫情冲击风险及外需压力可能较大。尽管二季度欧美等重启了经济活动，但由于美国等的疫情形势更加严重，海外经济深度衰退风险在上升。考虑国内外形势的复杂性，预计短期内人行货币政策整体上维持宽松格局的概率较大。我们将密切关注央行货币政策操作边际上的变化，同时积极跟踪全球主要国家疫情防控的进展及其对经济金融的影响。组合管理方面，我们将根据基金转型情况，做好流动性管理应对基金份额持有人潜在赎回需求。另外，我们将结合转型方向，跟踪研判债市走势，把握市场波动机会，控制风险，努力为投资者创造稳健的回报。</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proofErr w:type="spellStart"/>
      <w:r w:rsidRPr="000F4B69">
        <w:rPr>
          <w:rFonts w:hint="eastAsia"/>
          <w:color w:val="000000"/>
          <w:kern w:val="0"/>
          <w:sz w:val="24"/>
        </w:rPr>
        <w:t/>
      </w:r>
      <w:proofErr w:type="spellEnd"/>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5,569,786,818.99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92.08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5,569,786,818.99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92.08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345,000,757.50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5.70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104,132,186.79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1.72</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30,094,015.27</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0.50</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6,049,013,778.55</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9.14</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本基金合同约定：“本基金进入全国银行间同业市场进行债券回购的资金余额不得超过基金资产净值的40%”。本报告期内，本基金未发生超标情况。</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85</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156</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74</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
      </w:r>
      <w:proofErr w:type="gramStart"/>
      <w:r w:rsidRPr="000E5695">
        <w:rPr>
          <w:kern w:val="0"/>
          <w:sz w:val="24"/>
        </w:rPr>
        <w:t/>
      </w:r>
      <w:proofErr w:type="gramEnd"/>
      <w:r w:rsidRPr="000E5695">
        <w:rPr>
          <w:kern w:val="0"/>
          <w:sz w:val="24"/>
        </w:rPr>
        <w:t>本基金合同约定：“本基金投资组合的平均剩余期限控制在180 天（含）以内。”本基金本报告期内投资组合平均剩余期限未超过180天。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20.49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12.05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29.34</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6.15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31.51</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99.54</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
      </w:r>
      <w:proofErr w:type="gramStart"/>
      <w:r w:rsidRPr="00F046FB">
        <w:rPr>
          <w:rFonts w:ascii="宋体" w:hAnsi="宋体" w:hint="eastAsia"/>
          <w:color w:val="000000"/>
          <w:sz w:val="24"/>
        </w:rPr>
        <w:t/>
      </w:r>
      <w:proofErr w:type="gramEnd"/>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proofErr w:type="spellStart"/>
      <w:r w:rsidRPr="00FE3EEE">
        <w:rPr>
          <w:rFonts w:hint="eastAsia"/>
          <w:color w:val="000000"/>
          <w:kern w:val="0"/>
          <w:sz w:val="24"/>
        </w:rPr>
        <w:t/>
      </w:r>
      <w:proofErr w:type="spellEnd"/>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139,904,173.40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2.31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229,521,071.79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3.80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229,521,071.79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3.80</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3,130,185,311.78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51.77</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262,265,082.58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4.34</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1,807,911,179.44</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29.90</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5,569,786,818.99</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proofErr w:type="spellStart"/>
            <w:r w:rsidRPr="000E4C40">
              <w:rPr>
                <w:color w:val="000000"/>
                <w:sz w:val="24"/>
              </w:rPr>
              <w:t/>
            </w:r>
            <w:r w:rsidRPr="000E4C40">
              <w:rPr>
                <w:color w:val="000000"/>
                <w:sz w:val="24"/>
              </w:rPr>
              <w:lastRenderedPageBreak/>
              <w:t/>
            </w:r>
            <w:proofErr w:type="spellEnd"/>
            <w:r w:rsidRPr="000E4C40">
              <w:rPr>
                <w:color w:val="000000"/>
                <w:sz w:val="24"/>
              </w:rPr>
              <w:t>92.11</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proofErr w:type="spellStart"/>
      <w:r w:rsidRPr="00E5775C">
        <w:rPr>
          <w:rFonts w:hint="eastAsia"/>
          <w:color w:val="000000"/>
          <w:kern w:val="0"/>
          <w:sz w:val="24"/>
        </w:rPr>
        <w:t/>
      </w:r>
      <w:proofErr w:type="spellEnd"/>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111909327</w:t>
            </w:r>
          </w:p>
        </w:tc>
        <w:tc>
          <w:tcPr>
            <w:vAlign w:val="center"/>
          </w:tcPr>
          <w:p>
            <w:pPr>
              <w:jc w:val="center"/>
            </w:pPr>
            <w:r>
              <w:rPr>
                <w:color w:val="000000"/>
                <w:sz w:val="24"/>
              </w:rPr>
              <w:t>19浦发银行CD327</w:t>
            </w:r>
          </w:p>
        </w:tc>
        <w:tc>
          <w:tcPr>
            <w:vAlign w:val="center"/>
          </w:tcPr>
          <w:p>
            <w:pPr>
              <w:jc w:val="right"/>
            </w:pPr>
            <w:r>
              <w:rPr>
                <w:color w:val="000000"/>
                <w:sz w:val="24"/>
              </w:rPr>
              <w:t>7,500,000</w:t>
            </w:r>
          </w:p>
        </w:tc>
        <w:tc>
          <w:tcPr>
            <w:vAlign w:val="center"/>
          </w:tcPr>
          <w:p>
            <w:pPr>
              <w:jc w:val="right"/>
            </w:pPr>
            <w:r>
              <w:rPr>
                <w:color w:val="000000"/>
                <w:sz w:val="24"/>
              </w:rPr>
              <w:t>745,670,831.71</w:t>
            </w:r>
          </w:p>
        </w:tc>
        <w:tc>
          <w:tcPr>
            <w:vAlign w:val="center"/>
          </w:tcPr>
          <w:p>
            <w:pPr>
              <w:jc w:val="right"/>
            </w:pPr>
            <w:r>
              <w:rPr>
                <w:color w:val="000000"/>
                <w:sz w:val="24"/>
              </w:rPr>
              <w:t>12.33</w:t>
            </w:r>
          </w:p>
        </w:tc>
      </w:tr>
      <w:tr>
        <w:tc>
          <w:tcPr>
            <w:vAlign w:val="center"/>
          </w:tcPr>
          <w:p>
            <w:pPr>
              <w:jc w:val="center"/>
            </w:pPr>
            <w:r>
              <w:rPr>
                <w:color w:val="000000"/>
                <w:sz w:val="24"/>
              </w:rPr>
              <w:t>2</w:t>
            </w:r>
          </w:p>
        </w:tc>
        <w:tc>
          <w:tcPr>
            <w:vAlign w:val="center"/>
          </w:tcPr>
          <w:p>
            <w:pPr>
              <w:jc w:val="center"/>
            </w:pPr>
            <w:r>
              <w:rPr>
                <w:color w:val="000000"/>
                <w:sz w:val="24"/>
              </w:rPr>
              <w:t>012000611</w:t>
            </w:r>
          </w:p>
        </w:tc>
        <w:tc>
          <w:tcPr>
            <w:vAlign w:val="center"/>
          </w:tcPr>
          <w:p>
            <w:pPr>
              <w:jc w:val="center"/>
            </w:pPr>
            <w:r>
              <w:rPr>
                <w:color w:val="000000"/>
                <w:sz w:val="24"/>
              </w:rPr>
              <w:t>20船重(疫情防控债)SCP001</w:t>
            </w:r>
          </w:p>
        </w:tc>
        <w:tc>
          <w:tcPr>
            <w:vAlign w:val="center"/>
          </w:tcPr>
          <w:p>
            <w:pPr>
              <w:jc w:val="right"/>
            </w:pPr>
            <w:r>
              <w:rPr>
                <w:color w:val="000000"/>
                <w:sz w:val="24"/>
              </w:rPr>
              <w:t>5,000,000</w:t>
            </w:r>
          </w:p>
        </w:tc>
        <w:tc>
          <w:tcPr>
            <w:vAlign w:val="center"/>
          </w:tcPr>
          <w:p>
            <w:pPr>
              <w:jc w:val="right"/>
            </w:pPr>
            <w:r>
              <w:rPr>
                <w:color w:val="000000"/>
                <w:sz w:val="24"/>
              </w:rPr>
              <w:t>499,700,396.40</w:t>
            </w:r>
          </w:p>
        </w:tc>
        <w:tc>
          <w:tcPr>
            <w:vAlign w:val="center"/>
          </w:tcPr>
          <w:p>
            <w:pPr>
              <w:jc w:val="right"/>
            </w:pPr>
            <w:r>
              <w:rPr>
                <w:color w:val="000000"/>
                <w:sz w:val="24"/>
              </w:rPr>
              <w:t>8.26</w:t>
            </w:r>
          </w:p>
        </w:tc>
      </w:tr>
      <w:tr>
        <w:tc>
          <w:tcPr>
            <w:vAlign w:val="center"/>
          </w:tcPr>
          <w:p>
            <w:pPr>
              <w:jc w:val="center"/>
            </w:pPr>
            <w:r>
              <w:rPr>
                <w:color w:val="000000"/>
                <w:sz w:val="24"/>
              </w:rPr>
              <w:t>3</w:t>
            </w:r>
          </w:p>
        </w:tc>
        <w:tc>
          <w:tcPr>
            <w:vAlign w:val="center"/>
          </w:tcPr>
          <w:p>
            <w:pPr>
              <w:jc w:val="center"/>
            </w:pPr>
            <w:r>
              <w:rPr>
                <w:color w:val="000000"/>
                <w:sz w:val="24"/>
              </w:rPr>
              <w:t>012000549</w:t>
            </w:r>
          </w:p>
        </w:tc>
        <w:tc>
          <w:tcPr>
            <w:vAlign w:val="center"/>
          </w:tcPr>
          <w:p>
            <w:pPr>
              <w:jc w:val="center"/>
            </w:pPr>
            <w:r>
              <w:rPr>
                <w:color w:val="000000"/>
                <w:sz w:val="24"/>
              </w:rPr>
              <w:t>20中石集SCP001</w:t>
            </w:r>
          </w:p>
        </w:tc>
        <w:tc>
          <w:tcPr>
            <w:vAlign w:val="center"/>
          </w:tcPr>
          <w:p>
            <w:pPr>
              <w:jc w:val="right"/>
            </w:pPr>
            <w:r>
              <w:rPr>
                <w:color w:val="000000"/>
                <w:sz w:val="24"/>
              </w:rPr>
              <w:t>4,000,000</w:t>
            </w:r>
          </w:p>
        </w:tc>
        <w:tc>
          <w:tcPr>
            <w:vAlign w:val="center"/>
          </w:tcPr>
          <w:p>
            <w:pPr>
              <w:jc w:val="right"/>
            </w:pPr>
            <w:r>
              <w:rPr>
                <w:color w:val="000000"/>
                <w:sz w:val="24"/>
              </w:rPr>
              <w:t>400,101,058.46</w:t>
            </w:r>
          </w:p>
        </w:tc>
        <w:tc>
          <w:tcPr>
            <w:vAlign w:val="center"/>
          </w:tcPr>
          <w:p>
            <w:pPr>
              <w:jc w:val="right"/>
            </w:pPr>
            <w:r>
              <w:rPr>
                <w:color w:val="000000"/>
                <w:sz w:val="24"/>
              </w:rPr>
              <w:t>6.62</w:t>
            </w:r>
          </w:p>
        </w:tc>
      </w:tr>
      <w:tr>
        <w:tc>
          <w:tcPr>
            <w:vAlign w:val="center"/>
          </w:tcPr>
          <w:p>
            <w:pPr>
              <w:jc w:val="center"/>
            </w:pPr>
            <w:r>
              <w:rPr>
                <w:color w:val="000000"/>
                <w:sz w:val="24"/>
              </w:rPr>
              <w:t>4</w:t>
            </w:r>
          </w:p>
        </w:tc>
        <w:tc>
          <w:tcPr>
            <w:vAlign w:val="center"/>
          </w:tcPr>
          <w:p>
            <w:pPr>
              <w:jc w:val="center"/>
            </w:pPr>
            <w:r>
              <w:rPr>
                <w:color w:val="000000"/>
                <w:sz w:val="24"/>
              </w:rPr>
              <w:t>012000426</w:t>
            </w:r>
          </w:p>
        </w:tc>
        <w:tc>
          <w:tcPr>
            <w:vAlign w:val="center"/>
          </w:tcPr>
          <w:p>
            <w:pPr>
              <w:jc w:val="center"/>
            </w:pPr>
            <w:r>
              <w:rPr>
                <w:color w:val="000000"/>
                <w:sz w:val="24"/>
              </w:rPr>
              <w:t>20中油股SCP005</w:t>
            </w:r>
          </w:p>
        </w:tc>
        <w:tc>
          <w:tcPr>
            <w:vAlign w:val="center"/>
          </w:tcPr>
          <w:p>
            <w:pPr>
              <w:jc w:val="right"/>
            </w:pPr>
            <w:r>
              <w:rPr>
                <w:color w:val="000000"/>
                <w:sz w:val="24"/>
              </w:rPr>
              <w:t>3,000,000</w:t>
            </w:r>
          </w:p>
        </w:tc>
        <w:tc>
          <w:tcPr>
            <w:vAlign w:val="center"/>
          </w:tcPr>
          <w:p>
            <w:pPr>
              <w:jc w:val="right"/>
            </w:pPr>
            <w:r>
              <w:rPr>
                <w:color w:val="000000"/>
                <w:sz w:val="24"/>
              </w:rPr>
              <w:t>300,011,475.33</w:t>
            </w:r>
          </w:p>
        </w:tc>
        <w:tc>
          <w:tcPr>
            <w:vAlign w:val="center"/>
          </w:tcPr>
          <w:p>
            <w:pPr>
              <w:jc w:val="right"/>
            </w:pPr>
            <w:r>
              <w:rPr>
                <w:color w:val="000000"/>
                <w:sz w:val="24"/>
              </w:rPr>
              <w:t>4.96</w:t>
            </w:r>
          </w:p>
        </w:tc>
      </w:tr>
      <w:tr>
        <w:tc>
          <w:tcPr>
            <w:vAlign w:val="center"/>
          </w:tcPr>
          <w:p>
            <w:pPr>
              <w:jc w:val="center"/>
            </w:pPr>
            <w:r>
              <w:rPr>
                <w:color w:val="000000"/>
                <w:sz w:val="24"/>
              </w:rPr>
              <w:t>5</w:t>
            </w:r>
          </w:p>
        </w:tc>
        <w:tc>
          <w:tcPr>
            <w:vAlign w:val="center"/>
          </w:tcPr>
          <w:p>
            <w:pPr>
              <w:jc w:val="center"/>
            </w:pPr>
            <w:r>
              <w:rPr>
                <w:color w:val="000000"/>
                <w:sz w:val="24"/>
              </w:rPr>
              <w:t>012001865</w:t>
            </w:r>
          </w:p>
        </w:tc>
        <w:tc>
          <w:tcPr>
            <w:vAlign w:val="center"/>
          </w:tcPr>
          <w:p>
            <w:pPr>
              <w:jc w:val="center"/>
            </w:pPr>
            <w:r>
              <w:rPr>
                <w:color w:val="000000"/>
                <w:sz w:val="24"/>
              </w:rPr>
              <w:t>20邮政SCP004</w:t>
            </w:r>
          </w:p>
        </w:tc>
        <w:tc>
          <w:tcPr>
            <w:vAlign w:val="center"/>
          </w:tcPr>
          <w:p>
            <w:pPr>
              <w:jc w:val="right"/>
            </w:pPr>
            <w:r>
              <w:rPr>
                <w:color w:val="000000"/>
                <w:sz w:val="24"/>
              </w:rPr>
              <w:t>3,000,000</w:t>
            </w:r>
          </w:p>
        </w:tc>
        <w:tc>
          <w:tcPr>
            <w:vAlign w:val="center"/>
          </w:tcPr>
          <w:p>
            <w:pPr>
              <w:jc w:val="right"/>
            </w:pPr>
            <w:r>
              <w:rPr>
                <w:color w:val="000000"/>
                <w:sz w:val="24"/>
              </w:rPr>
              <w:t>299,966,622.46</w:t>
            </w:r>
          </w:p>
        </w:tc>
        <w:tc>
          <w:tcPr>
            <w:vAlign w:val="center"/>
          </w:tcPr>
          <w:p>
            <w:pPr>
              <w:jc w:val="right"/>
            </w:pPr>
            <w:r>
              <w:rPr>
                <w:color w:val="000000"/>
                <w:sz w:val="24"/>
              </w:rPr>
              <w:t>4.96</w:t>
            </w:r>
          </w:p>
        </w:tc>
      </w:tr>
      <w:tr>
        <w:tc>
          <w:tcPr>
            <w:vAlign w:val="center"/>
          </w:tcPr>
          <w:p>
            <w:pPr>
              <w:jc w:val="center"/>
            </w:pPr>
            <w:r>
              <w:rPr>
                <w:color w:val="000000"/>
                <w:sz w:val="24"/>
              </w:rPr>
              <w:t>6</w:t>
            </w:r>
          </w:p>
        </w:tc>
        <w:tc>
          <w:tcPr>
            <w:vAlign w:val="center"/>
          </w:tcPr>
          <w:p>
            <w:pPr>
              <w:jc w:val="center"/>
            </w:pPr>
            <w:r>
              <w:rPr>
                <w:color w:val="000000"/>
                <w:sz w:val="24"/>
              </w:rPr>
              <w:t>012000968</w:t>
            </w:r>
          </w:p>
        </w:tc>
        <w:tc>
          <w:tcPr>
            <w:vAlign w:val="center"/>
          </w:tcPr>
          <w:p>
            <w:pPr>
              <w:jc w:val="center"/>
            </w:pPr>
            <w:r>
              <w:rPr>
                <w:color w:val="000000"/>
                <w:sz w:val="24"/>
              </w:rPr>
              <w:t>20京基投SCP001</w:t>
            </w:r>
          </w:p>
        </w:tc>
        <w:tc>
          <w:tcPr>
            <w:vAlign w:val="center"/>
          </w:tcPr>
          <w:p>
            <w:pPr>
              <w:jc w:val="right"/>
            </w:pPr>
            <w:r>
              <w:rPr>
                <w:color w:val="000000"/>
                <w:sz w:val="24"/>
              </w:rPr>
              <w:t>2,500,000</w:t>
            </w:r>
          </w:p>
        </w:tc>
        <w:tc>
          <w:tcPr>
            <w:vAlign w:val="center"/>
          </w:tcPr>
          <w:p>
            <w:pPr>
              <w:jc w:val="right"/>
            </w:pPr>
            <w:r>
              <w:rPr>
                <w:color w:val="000000"/>
                <w:sz w:val="24"/>
              </w:rPr>
              <w:t>249,971,834.65</w:t>
            </w:r>
          </w:p>
        </w:tc>
        <w:tc>
          <w:tcPr>
            <w:vAlign w:val="center"/>
          </w:tcPr>
          <w:p>
            <w:pPr>
              <w:jc w:val="right"/>
            </w:pPr>
            <w:r>
              <w:rPr>
                <w:color w:val="000000"/>
                <w:sz w:val="24"/>
              </w:rPr>
              <w:t>4.13</w:t>
            </w:r>
          </w:p>
        </w:tc>
      </w:tr>
      <w:tr>
        <w:tc>
          <w:tcPr>
            <w:vAlign w:val="center"/>
          </w:tcPr>
          <w:p>
            <w:pPr>
              <w:jc w:val="center"/>
            </w:pPr>
            <w:r>
              <w:rPr>
                <w:color w:val="000000"/>
                <w:sz w:val="24"/>
              </w:rPr>
              <w:t>7</w:t>
            </w:r>
          </w:p>
        </w:tc>
        <w:tc>
          <w:tcPr>
            <w:vAlign w:val="center"/>
          </w:tcPr>
          <w:p>
            <w:pPr>
              <w:jc w:val="center"/>
            </w:pPr>
            <w:r>
              <w:rPr>
                <w:color w:val="000000"/>
                <w:sz w:val="24"/>
              </w:rPr>
              <w:t>012000547</w:t>
            </w:r>
          </w:p>
        </w:tc>
        <w:tc>
          <w:tcPr>
            <w:vAlign w:val="center"/>
          </w:tcPr>
          <w:p>
            <w:pPr>
              <w:jc w:val="center"/>
            </w:pPr>
            <w:r>
              <w:rPr>
                <w:color w:val="000000"/>
                <w:sz w:val="24"/>
              </w:rPr>
              <w:t>20中石集SCP003</w:t>
            </w:r>
          </w:p>
        </w:tc>
        <w:tc>
          <w:tcPr>
            <w:vAlign w:val="center"/>
          </w:tcPr>
          <w:p>
            <w:pPr>
              <w:jc w:val="right"/>
            </w:pPr>
            <w:r>
              <w:rPr>
                <w:color w:val="000000"/>
                <w:sz w:val="24"/>
              </w:rPr>
              <w:t>2,000,000</w:t>
            </w:r>
          </w:p>
        </w:tc>
        <w:tc>
          <w:tcPr>
            <w:vAlign w:val="center"/>
          </w:tcPr>
          <w:p>
            <w:pPr>
              <w:jc w:val="right"/>
            </w:pPr>
            <w:r>
              <w:rPr>
                <w:color w:val="000000"/>
                <w:sz w:val="24"/>
              </w:rPr>
              <w:t>199,937,581.81</w:t>
            </w:r>
          </w:p>
        </w:tc>
        <w:tc>
          <w:tcPr>
            <w:vAlign w:val="center"/>
          </w:tcPr>
          <w:p>
            <w:pPr>
              <w:jc w:val="right"/>
            </w:pPr>
            <w:r>
              <w:rPr>
                <w:color w:val="000000"/>
                <w:sz w:val="24"/>
              </w:rPr>
              <w:t>3.31</w:t>
            </w:r>
          </w:p>
        </w:tc>
      </w:tr>
      <w:tr>
        <w:tc>
          <w:tcPr>
            <w:vAlign w:val="center"/>
          </w:tcPr>
          <w:p>
            <w:pPr>
              <w:jc w:val="center"/>
            </w:pPr>
            <w:r>
              <w:rPr>
                <w:color w:val="000000"/>
                <w:sz w:val="24"/>
              </w:rPr>
              <w:t>8</w:t>
            </w:r>
          </w:p>
        </w:tc>
        <w:tc>
          <w:tcPr>
            <w:vAlign w:val="center"/>
          </w:tcPr>
          <w:p>
            <w:pPr>
              <w:jc w:val="center"/>
            </w:pPr>
            <w:r>
              <w:rPr>
                <w:color w:val="000000"/>
                <w:sz w:val="24"/>
              </w:rPr>
              <w:t>012000866</w:t>
            </w:r>
          </w:p>
        </w:tc>
        <w:tc>
          <w:tcPr>
            <w:vAlign w:val="center"/>
          </w:tcPr>
          <w:p>
            <w:pPr>
              <w:jc w:val="center"/>
            </w:pPr>
            <w:r>
              <w:rPr>
                <w:color w:val="000000"/>
                <w:sz w:val="24"/>
              </w:rPr>
              <w:t>20中石化SCP002</w:t>
            </w:r>
          </w:p>
        </w:tc>
        <w:tc>
          <w:tcPr>
            <w:vAlign w:val="center"/>
          </w:tcPr>
          <w:p>
            <w:pPr>
              <w:jc w:val="right"/>
            </w:pPr>
            <w:r>
              <w:rPr>
                <w:color w:val="000000"/>
                <w:sz w:val="24"/>
              </w:rPr>
              <w:t>2,000,000</w:t>
            </w:r>
          </w:p>
        </w:tc>
        <w:tc>
          <w:tcPr>
            <w:vAlign w:val="center"/>
          </w:tcPr>
          <w:p>
            <w:pPr>
              <w:jc w:val="right"/>
            </w:pPr>
            <w:r>
              <w:rPr>
                <w:color w:val="000000"/>
                <w:sz w:val="24"/>
              </w:rPr>
              <w:t>199,932,928.30</w:t>
            </w:r>
          </w:p>
        </w:tc>
        <w:tc>
          <w:tcPr>
            <w:vAlign w:val="center"/>
          </w:tcPr>
          <w:p>
            <w:pPr>
              <w:jc w:val="right"/>
            </w:pPr>
            <w:r>
              <w:rPr>
                <w:color w:val="000000"/>
                <w:sz w:val="24"/>
              </w:rPr>
              <w:t>3.31</w:t>
            </w:r>
          </w:p>
        </w:tc>
      </w:tr>
      <w:tr>
        <w:tc>
          <w:tcPr>
            <w:vAlign w:val="center"/>
          </w:tcPr>
          <w:p>
            <w:pPr>
              <w:jc w:val="center"/>
            </w:pPr>
            <w:r>
              <w:rPr>
                <w:color w:val="000000"/>
                <w:sz w:val="24"/>
              </w:rPr>
              <w:t>9</w:t>
            </w:r>
          </w:p>
        </w:tc>
        <w:tc>
          <w:tcPr>
            <w:vAlign w:val="center"/>
          </w:tcPr>
          <w:p>
            <w:pPr>
              <w:jc w:val="center"/>
            </w:pPr>
            <w:r>
              <w:rPr>
                <w:color w:val="000000"/>
                <w:sz w:val="24"/>
              </w:rPr>
              <w:t>112008025</w:t>
            </w:r>
          </w:p>
        </w:tc>
        <w:tc>
          <w:tcPr>
            <w:vAlign w:val="center"/>
          </w:tcPr>
          <w:p>
            <w:pPr>
              <w:jc w:val="center"/>
            </w:pPr>
            <w:r>
              <w:rPr>
                <w:color w:val="000000"/>
                <w:sz w:val="24"/>
              </w:rPr>
              <w:t>20中信银行CD025</w:t>
            </w:r>
          </w:p>
        </w:tc>
        <w:tc>
          <w:tcPr>
            <w:vAlign w:val="center"/>
          </w:tcPr>
          <w:p>
            <w:pPr>
              <w:jc w:val="right"/>
            </w:pPr>
            <w:r>
              <w:rPr>
                <w:color w:val="000000"/>
                <w:sz w:val="24"/>
              </w:rPr>
              <w:t>2,000,000</w:t>
            </w:r>
          </w:p>
        </w:tc>
        <w:tc>
          <w:tcPr>
            <w:vAlign w:val="center"/>
          </w:tcPr>
          <w:p>
            <w:pPr>
              <w:jc w:val="right"/>
            </w:pPr>
            <w:r>
              <w:rPr>
                <w:color w:val="000000"/>
                <w:sz w:val="24"/>
              </w:rPr>
              <w:t>197,887,075.24</w:t>
            </w:r>
          </w:p>
        </w:tc>
        <w:tc>
          <w:tcPr>
            <w:vAlign w:val="center"/>
          </w:tcPr>
          <w:p>
            <w:pPr>
              <w:jc w:val="right"/>
            </w:pPr>
            <w:r>
              <w:rPr>
                <w:color w:val="000000"/>
                <w:sz w:val="24"/>
              </w:rPr>
              <w:t>3.27</w:t>
            </w:r>
          </w:p>
        </w:tc>
      </w:tr>
      <w:tr>
        <w:tc>
          <w:tcPr>
            <w:vAlign w:val="center"/>
          </w:tcPr>
          <w:p>
            <w:pPr>
              <w:jc w:val="center"/>
            </w:pPr>
            <w:r>
              <w:rPr>
                <w:color w:val="000000"/>
                <w:sz w:val="24"/>
              </w:rPr>
              <w:t>10</w:t>
            </w:r>
          </w:p>
        </w:tc>
        <w:tc>
          <w:tcPr>
            <w:vAlign w:val="center"/>
          </w:tcPr>
          <w:p>
            <w:pPr>
              <w:jc w:val="center"/>
            </w:pPr>
            <w:r>
              <w:rPr>
                <w:color w:val="000000"/>
                <w:sz w:val="24"/>
              </w:rPr>
              <w:t>112095452</w:t>
            </w:r>
          </w:p>
        </w:tc>
        <w:tc>
          <w:tcPr>
            <w:vAlign w:val="center"/>
          </w:tcPr>
          <w:p>
            <w:pPr>
              <w:jc w:val="center"/>
            </w:pPr>
            <w:r>
              <w:rPr>
                <w:color w:val="000000"/>
                <w:sz w:val="24"/>
              </w:rPr>
              <w:t>20贵阳银行CD035</w:t>
            </w:r>
          </w:p>
        </w:tc>
        <w:tc>
          <w:tcPr>
            <w:vAlign w:val="center"/>
          </w:tcPr>
          <w:p>
            <w:pPr>
              <w:jc w:val="right"/>
            </w:pPr>
            <w:r>
              <w:rPr>
                <w:color w:val="000000"/>
                <w:sz w:val="24"/>
              </w:rPr>
              <w:t>1,700,000</w:t>
            </w:r>
          </w:p>
        </w:tc>
        <w:tc>
          <w:tcPr>
            <w:vAlign w:val="center"/>
          </w:tcPr>
          <w:p>
            <w:pPr>
              <w:jc w:val="right"/>
            </w:pPr>
            <w:r>
              <w:rPr>
                <w:color w:val="000000"/>
                <w:sz w:val="24"/>
              </w:rPr>
              <w:t>168,112,281.24</w:t>
            </w:r>
          </w:p>
        </w:tc>
        <w:tc>
          <w:tcPr>
            <w:vAlign w:val="center"/>
          </w:tcPr>
          <w:p>
            <w:pPr>
              <w:jc w:val="right"/>
            </w:pPr>
            <w:r>
              <w:rPr>
                <w:color w:val="000000"/>
                <w:sz w:val="24"/>
              </w:rPr>
              <w:t>2.78</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41</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0.4311%</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0.0773%</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0.2766%</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281564" w:rsidR="00902E3F" w:rsidRDefault="00835BDD"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本基金本报告期末未持有资产支持证券。</w:t>
      </w: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
      </w:r>
      <w:proofErr w:type="gramStart"/>
      <w:r w:rsidR="00EB25E4" w:rsidRPr="000E4C40">
        <w:rPr>
          <w:color w:val="000000"/>
          <w:sz w:val="24"/>
        </w:rPr>
        <w:t/>
      </w:r>
      <w:proofErr w:type="gramEnd"/>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proofErr w:type="spellStart"/>
      <w:r w:rsidRPr="00A53C6C">
        <w:rPr>
          <w:rFonts w:hint="eastAsia"/>
          <w:color w:val="000000"/>
          <w:kern w:val="0"/>
          <w:sz w:val="24"/>
        </w:rPr>
        <w:t/>
      </w:r>
      <w:proofErr w:type="spellEnd"/>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30,055,443.84</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38,571.43</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30,094,015.27</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proofErr w:type="spellStart"/>
      <w:r w:rsidRPr="00346DC3">
        <w:rPr>
          <w:b/>
          <w:color w:val="000000"/>
          <w:kern w:val="0"/>
          <w:sz w:val="24"/>
        </w:rPr>
        <w:t/>
      </w:r>
      <w:proofErr w:type="spellEnd"/>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proofErr w:type="gramStart"/>
      <w:r w:rsidR="000C469F" w:rsidRPr="000E4C40">
        <w:rPr>
          <w:color w:val="000000"/>
          <w:sz w:val="24"/>
        </w:rPr>
        <w:t/>
      </w:r>
      <w:proofErr w:type="spellEnd"/>
      <w:proofErr w:type="gram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sz w:val="24"/>
              </w:rPr>
              <w:t/>
            </w:r>
            <w:r w:rsidRPr="000E4C40">
              <w:rPr>
                <w:sz w:val="24"/>
              </w:rPr>
              <w:lastRenderedPageBreak/>
              <w:t/>
            </w:r>
            <w:proofErr w:type="spellEnd"/>
            <w:r w:rsidRPr="000E4C40">
              <w:rPr>
                <w:sz w:val="24"/>
              </w:rPr>
              <w:t/>
            </w:r>
            <w:r w:rsidR="00327FB0" w:rsidRPr="000E4C40">
              <w:rPr>
                <w:sz w:val="24"/>
              </w:rPr>
              <w:t/>
            </w:r>
            <w:r w:rsidRPr="000E4C40">
              <w:rPr>
                <w:sz w:val="24"/>
              </w:rPr>
              <w:t>交银理财60天债券A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交银理财60天债券B</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5,109,626.99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6,936,329,841.34</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70,397.50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47,584,059.52</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1,792,657.26</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940,703,775.09</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3,387,367.23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6,043,210,125.77</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proofErr w:type="gramStart"/>
      <w:r w:rsidR="00AA5B03" w:rsidRPr="000E4C40">
        <w:rPr>
          <w:color w:val="000000"/>
          <w:sz w:val="24"/>
        </w:rPr>
        <w:t/>
      </w:r>
      <w:proofErr w:type="spellEnd"/>
      <w:proofErr w:type="gramEnd"/>
      <w:r w:rsidR="00AA5B03" w:rsidRPr="000E4C40">
        <w:rPr>
          <w:color w:val="000000"/>
          <w:sz w:val="24"/>
        </w:rPr>
        <w:t>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
      </w:r>
      <w:proofErr w:type="gramStart"/>
      <w:r>
        <w:rPr>
          <w:rFonts w:ascii="宋体" w:hAnsi="宋体" w:hint="eastAsia"/>
          <w:b/>
          <w:bCs/>
          <w:color w:val="000000"/>
          <w:kern w:val="0"/>
          <w:sz w:val="24"/>
        </w:rPr>
        <w:t/>
      </w:r>
      <w:proofErr w:type="gramEnd"/>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2,145,440,006.52</w:t>
            </w:r>
          </w:p>
        </w:tc>
        <w:tc>
          <w:tcPr>
            <w:vAlign w:val="center"/>
          </w:tcPr>
          <w:p>
            <w:pPr>
              <w:jc w:val="center"/>
            </w:pPr>
            <w:r>
              <w:rPr>
                <w:rFonts w:ascii="宋体" w:hAnsi="宋体" w:hint="eastAsia"/>
                <w:color w:val="000000"/>
                <w:kern w:val="0"/>
                <w:szCs w:val="21"/>
              </w:rPr>
              <w:t>14,165,852.61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2,159,605,859.13</w:t>
            </w:r>
          </w:p>
        </w:tc>
        <w:tc>
          <w:tcPr>
            <w:vAlign w:val="center"/>
          </w:tcPr>
          <w:p>
            <w:pPr>
              <w:jc w:val="center"/>
            </w:pPr>
            <w:r>
              <w:rPr>
                <w:rFonts w:ascii="宋体" w:hAnsi="宋体" w:hint="eastAsia"/>
                <w:color w:val="000000"/>
                <w:kern w:val="0"/>
                <w:szCs w:val="21"/>
              </w:rPr>
              <w:t>35.72%</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2020/4/1-2020/6/30</w:t>
            </w:r>
          </w:p>
        </w:tc>
        <w:tc>
          <w:tcPr>
            <w:vAlign w:val="center"/>
          </w:tcPr>
          <w:p>
            <w:pPr>
              <w:jc w:val="center"/>
            </w:pPr>
            <w:r>
              <w:rPr>
                <w:rFonts w:ascii="宋体" w:hAnsi="宋体" w:hint="eastAsia"/>
                <w:color w:val="000000"/>
                <w:kern w:val="0"/>
                <w:szCs w:val="21"/>
              </w:rPr>
              <w:t>1,626,312,216.89</w:t>
            </w:r>
          </w:p>
        </w:tc>
        <w:tc>
          <w:tcPr>
            <w:vAlign w:val="center"/>
          </w:tcPr>
          <w:p>
            <w:pPr>
              <w:jc w:val="center"/>
            </w:pPr>
            <w:r>
              <w:rPr>
                <w:rFonts w:ascii="宋体" w:hAnsi="宋体" w:hint="eastAsia"/>
                <w:color w:val="000000"/>
                <w:kern w:val="0"/>
                <w:szCs w:val="21"/>
              </w:rPr>
              <w:t>12,121,753.53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1,638,433,970.42</w:t>
            </w:r>
          </w:p>
        </w:tc>
        <w:tc>
          <w:tcPr>
            <w:vAlign w:val="center"/>
          </w:tcPr>
          <w:p>
            <w:pPr>
              <w:jc w:val="center"/>
            </w:pPr>
            <w:r>
              <w:rPr>
                <w:rFonts w:ascii="宋体" w:hAnsi="宋体" w:hint="eastAsia"/>
                <w:color w:val="000000"/>
                <w:kern w:val="0"/>
                <w:szCs w:val="21"/>
              </w:rPr>
              <w:t>27.10%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
      </w:r>
      <w:proofErr w:type="gramStart"/>
      <w:r>
        <w:rPr>
          <w:rFonts w:ascii="宋体" w:hAnsi="宋体" w:hint="eastAsia"/>
          <w:b/>
          <w:bCs/>
          <w:color w:val="000000"/>
          <w:kern w:val="0"/>
          <w:sz w:val="24"/>
        </w:rPr>
        <w:t/>
      </w:r>
      <w:proofErr w:type="gramEnd"/>
      <w:r>
        <w:rPr>
          <w:rFonts w:ascii="宋体" w:hAnsi="宋体" w:hint="eastAsia"/>
          <w:b/>
          <w:bCs/>
          <w:color w:val="000000"/>
          <w:kern w:val="0"/>
          <w:sz w:val="24"/>
        </w:rPr>
        <w:t>8.2 影响投资者决策的其他重要信息</w:t>
      </w:r>
    </w:p>
    <w:p w:rsidP="003D1E1A" w:rsidR="003D1E1A" w:rsidRDefault="003D1E1A">
      <w:pPr>
        <w:spacing w:line="360" w:lineRule="auto"/>
        <w:ind w:firstLine="420" w:firstLineChars="200"/>
        <w:rPr>
          <w:rFonts w:ascii="宋体" w:hAnsi="宋体"/>
          <w:color w:val="000000"/>
          <w:szCs w:val="21"/>
        </w:rPr>
      </w:pPr>
      <w:r>
        <w:rPr>
          <w:rFonts w:ascii="宋体" w:hAnsi="宋体" w:hint="eastAsia"/>
          <w:color w:val="000000"/>
          <w:szCs w:val="21"/>
        </w:rPr>
        <w:t/>
      </w:r>
      <w:proofErr w:type="spellStart"/>
      <w:proofErr w:type="gramStart"/>
      <w:r>
        <w:rPr>
          <w:rFonts w:ascii="宋体" w:hAnsi="宋体" w:hint="eastAsia"/>
          <w:color w:val="000000"/>
          <w:szCs w:val="21"/>
        </w:rPr>
        <w:t/>
      </w:r>
      <w:proofErr w:type="spellEnd"/>
      <w:proofErr w:type="gramEnd"/>
      <w:r>
        <w:rPr>
          <w:rFonts w:ascii="宋体" w:hAnsi="宋体" w:hint="eastAsia"/>
          <w:color w:val="000000"/>
          <w:szCs w:val="21"/>
        </w:rPr>
        <w:t xml:space="preserve">本基金管理人于2020年5月22日起至2020年6月22日17：00止以通讯方式召开本基金的基金份额持有人大会，就本基金转型及基金合同修改有关事项的议案进行表决。本次基金份额持有人大会于2020年6月23日表决通过了《关于交银施罗德理财60天债券型证券投资基金转型及修改基金合同有关事项的议案》，本次基金份额持有人大会决议自该日起生效，正式实施转型日为2020年7月28日。详情请查阅本基金管理人于2020年6月24日发布的《交银施罗德基金管理有限公司关于交银施罗德理财60天债券型证券投资基金基金份额持有人大会表决结果暨决议生效的公告》。 </w:t>
      </w:r>
    </w:p>
    <w:p w:rsidP="00281564" w:rsidR="001B3FBF" w:rsidRDefault="001B3FBF" w:rsidRPr="000E4C40">
      <w:pPr>
        <w:spacing w:before="29" w:line="288" w:lineRule="auto"/>
        <w:ind w:firstLine="480" w:firstLineChars="200"/>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1、中国证监会批准交银施罗德理财60天债券型证券投资基金募集的文件； </w:t>
      </w:r>
    </w:p>
    <w:p>
      <w:pPr>
        <w:spacing w:before="29" w:line="288" w:lineRule="auto"/>
        <w:ind w:firstLine="480" w:firstLineChars="200"/>
        <w:rPr>
          <w:color w:val="000000"/>
          <w:sz w:val="24"/>
        </w:rPr>
      </w:pPr>
      <w:r>
        <w:rPr>
          <w:color w:val="000000"/>
          <w:sz w:val="24"/>
        </w:rPr>
        <w:t xml:space="preserve">2、《交银施罗德理财60天债券型证券投资基金基金合同》； </w:t>
      </w:r>
    </w:p>
    <w:p>
      <w:pPr>
        <w:spacing w:before="29" w:line="288" w:lineRule="auto"/>
        <w:ind w:firstLine="480" w:firstLineChars="200"/>
        <w:rPr>
          <w:color w:val="000000"/>
          <w:sz w:val="24"/>
        </w:rPr>
      </w:pPr>
      <w:r>
        <w:rPr>
          <w:color w:val="000000"/>
          <w:sz w:val="24"/>
        </w:rPr>
        <w:t xml:space="preserve">3、《交银施罗德理财60天债券型证券投资基金招募说明书》； </w:t>
      </w:r>
    </w:p>
    <w:p>
      <w:pPr>
        <w:spacing w:before="29" w:line="288" w:lineRule="auto"/>
        <w:ind w:firstLine="480" w:firstLineChars="200"/>
        <w:rPr>
          <w:color w:val="000000"/>
          <w:sz w:val="24"/>
        </w:rPr>
      </w:pPr>
      <w:r>
        <w:rPr>
          <w:color w:val="000000"/>
          <w:sz w:val="24"/>
        </w:rPr>
        <w:t xml:space="preserve">4、《交银施罗德理财60天债券型证券投资基金托管协议》； </w:t>
      </w:r>
    </w:p>
    <w:p>
      <w:pPr>
        <w:spacing w:before="29" w:line="288" w:lineRule="auto"/>
        <w:ind w:firstLine="480" w:firstLineChars="200"/>
        <w:rPr>
          <w:color w:val="000000"/>
          <w:sz w:val="24"/>
        </w:rPr>
      </w:pPr>
      <w:r>
        <w:rPr>
          <w:color w:val="000000"/>
          <w:sz w:val="24"/>
        </w:rPr>
        <w:t xml:space="preserve">5、关于募集交银施罗德理财60天债券型证券投资基金之法律意见书；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8、报告期内交银施罗德理财60天债券型证券投资基金在指定报刊上各项公告的原稿。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9A" w:rsidRDefault="00D3539A">
      <w:r>
        <w:separator/>
      </w:r>
    </w:p>
  </w:endnote>
  <w:endnote w:type="continuationSeparator" w:id="0">
    <w:p w:rsidR="00D3539A" w:rsidRDefault="00D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34CE">
      <w:rPr>
        <w:noProof/>
        <w:kern w:val="0"/>
        <w:szCs w:val="21"/>
      </w:rPr>
      <w:t>23</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8F34CE">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D3539A" w:rsidRDefault="00D3539A">
      <w:r>
        <w:separator/>
      </w:r>
    </w:p>
  </w:footnote>
  <w:footnote w:id="0" w:type="continuationSeparator">
    <w:p w:rsidR="00D3539A" w:rsidRDefault="00D3539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交银施罗德理财60天债券型证券投资基金</w:t>
    </w:r>
    <w:proofErr w:type="spellStart"/>
    <w:r w:rsidRPr="003E676C">
      <w:rPr>
        <w:sz w:val="24"/>
        <w:szCs w:val="24"/>
      </w:rPr>
      <w:t/>
    </w:r>
    <w:proofErr w:type="spellEnd"/>
    <w:r w:rsidRPr="003E676C">
      <w:rPr>
        <w:sz w:val="24"/>
        <w:szCs w:val="24"/>
      </w:rPr>
      <w:t>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3816A4-F601-4D3D-A69D-0F61F34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2020-04-08T01:27:00Z</dcterms:modified>
  <cp:revision>336</cp:revision>
</cp:coreProperties>
</file>