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交银施罗德瑞丰三年封闭运作混合型证券投资基金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基金托管人招商银行股份有限公司根据本基金合同规定，于2020年7月20日复核了本报告中的财务指标、净值表现和投资组合报告等内容，保证复核内容不存在虚假记载、误导性陈述或者重大遗漏。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交银瑞丰混合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501087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501087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LOF），可办理场外、场内申购赎回，并继续在上海证券交易所上市交易。</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2019年9月4日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2,964,855,247.71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沪深300指数收益率×70%+恒生指数收益率×5%+中证综合债券指数收益率×25%</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138,230,481.01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643,519,966.97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0.2170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3,802,905,321.95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1.2827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20.37%</w:t>
            </w:r>
          </w:p>
        </w:tc>
        <w:tc>
          <w:tcPr>
            <w:vAlign w:val="center"/>
          </w:tcPr>
          <w:p>
            <w:pPr>
              <w:jc w:val="center"/>
            </w:pPr>
            <w:r>
              <w:rPr>
                <w:color w:val="000000"/>
                <w:sz w:val="24"/>
                <w:szCs w:val="24"/>
              </w:rPr>
              <w:t>1.05%</w:t>
            </w:r>
          </w:p>
        </w:tc>
        <w:tc>
          <w:tcPr>
            <w:vAlign w:val="center"/>
          </w:tcPr>
          <w:p>
            <w:pPr>
              <w:jc w:val="center"/>
            </w:pPr>
            <w:r>
              <w:rPr>
                <w:color w:val="000000"/>
                <w:sz w:val="24"/>
                <w:szCs w:val="24"/>
              </w:rPr>
              <w:t>9.09%</w:t>
            </w:r>
          </w:p>
        </w:tc>
        <w:tc>
          <w:tcPr>
            <w:vAlign w:val="center"/>
          </w:tcPr>
          <w:p>
            <w:pPr>
              <w:jc w:val="center"/>
            </w:pPr>
            <w:r>
              <w:rPr>
                <w:color w:val="000000"/>
                <w:sz w:val="24"/>
                <w:szCs w:val="24"/>
              </w:rPr>
              <w:t>0.69%</w:t>
            </w:r>
          </w:p>
        </w:tc>
        <w:tc>
          <w:tcPr>
            <w:vAlign w:val="center"/>
          </w:tcPr>
          <w:p>
            <w:pPr>
              <w:jc w:val="center"/>
            </w:pPr>
            <w:r>
              <w:rPr>
                <w:color w:val="000000"/>
                <w:sz w:val="24"/>
                <w:szCs w:val="24"/>
              </w:rPr>
              <w:t>11.28%</w:t>
            </w:r>
          </w:p>
        </w:tc>
        <w:tc>
          <w:tcPr>
            <w:vAlign w:val="center"/>
          </w:tcPr>
          <w:p>
            <w:pPr>
              <w:jc w:val="center"/>
            </w:pPr>
            <w:r>
              <w:rPr>
                <w:color w:val="000000"/>
                <w:sz w:val="24"/>
                <w:szCs w:val="24"/>
              </w:rPr>
              <w:t>0.36%</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21.78%</w:t>
            </w:r>
          </w:p>
        </w:tc>
        <w:tc>
          <w:tcPr>
            <w:vAlign w:val="center"/>
          </w:tcPr>
          <w:p>
            <w:pPr>
              <w:jc w:val="center"/>
            </w:pPr>
            <w:r>
              <w:rPr>
                <w:color w:val="000000"/>
                <w:sz w:val="24"/>
                <w:szCs w:val="24"/>
              </w:rPr>
              <w:t>1.34%</w:t>
            </w:r>
          </w:p>
        </w:tc>
        <w:tc>
          <w:tcPr>
            <w:vAlign w:val="center"/>
          </w:tcPr>
          <w:p>
            <w:pPr>
              <w:jc w:val="center"/>
            </w:pPr>
            <w:r>
              <w:rPr>
                <w:color w:val="000000"/>
                <w:sz w:val="24"/>
                <w:szCs w:val="24"/>
              </w:rPr>
              <w:t>1.31%</w:t>
            </w:r>
          </w:p>
        </w:tc>
        <w:tc>
          <w:tcPr>
            <w:vAlign w:val="center"/>
          </w:tcPr>
          <w:p>
            <w:pPr>
              <w:jc w:val="center"/>
            </w:pPr>
            <w:r>
              <w:rPr>
                <w:color w:val="000000"/>
                <w:sz w:val="24"/>
                <w:szCs w:val="24"/>
              </w:rPr>
              <w:t>1.13%</w:t>
            </w:r>
          </w:p>
        </w:tc>
        <w:tc>
          <w:tcPr>
            <w:vAlign w:val="center"/>
          </w:tcPr>
          <w:p>
            <w:pPr>
              <w:jc w:val="center"/>
            </w:pPr>
            <w:r>
              <w:rPr>
                <w:color w:val="000000"/>
                <w:sz w:val="24"/>
                <w:szCs w:val="24"/>
              </w:rPr>
              <w:t>20.47%</w:t>
            </w:r>
          </w:p>
        </w:tc>
        <w:tc>
          <w:tcPr>
            <w:vAlign w:val="center"/>
          </w:tcPr>
          <w:p>
            <w:pPr>
              <w:jc w:val="center"/>
            </w:pPr>
            <w:r>
              <w:rPr>
                <w:color w:val="000000"/>
                <w:sz w:val="24"/>
                <w:szCs w:val="24"/>
              </w:rPr>
              <w:t>0.21%</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28.27%</w:t>
            </w:r>
          </w:p>
        </w:tc>
        <w:tc>
          <w:tcPr>
            <w:vAlign w:val="center"/>
          </w:tcPr>
          <w:p>
            <w:pPr>
              <w:jc w:val="center"/>
            </w:pPr>
            <w:r>
              <w:rPr>
                <w:color w:val="000000"/>
                <w:sz w:val="24"/>
                <w:szCs w:val="24"/>
              </w:rPr>
              <w:t>1.05%</w:t>
            </w:r>
          </w:p>
        </w:tc>
        <w:tc>
          <w:tcPr>
            <w:vAlign w:val="center"/>
          </w:tcPr>
          <w:p>
            <w:pPr>
              <w:jc w:val="center"/>
            </w:pPr>
            <w:r>
              <w:rPr>
                <w:color w:val="000000"/>
                <w:sz w:val="24"/>
                <w:szCs w:val="24"/>
              </w:rPr>
              <w:t>6.69%</w:t>
            </w:r>
          </w:p>
        </w:tc>
        <w:tc>
          <w:tcPr>
            <w:vAlign w:val="center"/>
          </w:tcPr>
          <w:p>
            <w:pPr>
              <w:jc w:val="center"/>
            </w:pPr>
            <w:r>
              <w:rPr>
                <w:color w:val="000000"/>
                <w:sz w:val="24"/>
                <w:szCs w:val="24"/>
              </w:rPr>
              <w:t>0.94%</w:t>
            </w:r>
          </w:p>
        </w:tc>
        <w:tc>
          <w:tcPr>
            <w:vAlign w:val="center"/>
          </w:tcPr>
          <w:p>
            <w:pPr>
              <w:jc w:val="center"/>
            </w:pPr>
            <w:r>
              <w:rPr>
                <w:color w:val="000000"/>
                <w:sz w:val="24"/>
                <w:szCs w:val="24"/>
              </w:rPr>
              <w:t>21.58%</w:t>
            </w:r>
          </w:p>
        </w:tc>
        <w:tc>
          <w:tcPr>
            <w:vAlign w:val="center"/>
          </w:tcPr>
          <w:p>
            <w:pPr>
              <w:jc w:val="center"/>
            </w:pPr>
            <w:r>
              <w:rPr>
                <w:color w:val="000000"/>
                <w:sz w:val="24"/>
                <w:szCs w:val="24"/>
              </w:rPr>
              <w:t>0.11%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交银施罗德瑞丰三年封闭运作混合型证券投资基金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2019年9月4日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2019年9月4日，基金合同生效日至报告期期末，本基金运作时间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王崇</w:t>
            </w:r>
          </w:p>
        </w:tc>
        <w:tc>
          <w:tcPr>
            <w:vAlign w:val="center"/>
          </w:tcPr>
          <w:p>
            <w:pPr>
              <w:jc w:val="center"/>
            </w:pPr>
            <w:r>
              <w:rPr>
                <w:color w:val="000000"/>
                <w:sz w:val="24"/>
                <w:szCs w:val="24"/>
              </w:rPr>
              <w:t>交银精选混合、交银新成长混合、交银瑞丰混合的基金经理，公司权益投资副总监</w:t>
            </w:r>
          </w:p>
        </w:tc>
        <w:tc>
          <w:tcPr>
            <w:vAlign w:val="center"/>
          </w:tcPr>
          <w:p>
            <w:pPr>
              <w:jc w:val="center"/>
            </w:pPr>
            <w:r>
              <w:rPr>
                <w:color w:val="000000"/>
                <w:sz w:val="24"/>
                <w:szCs w:val="24"/>
              </w:rPr>
              <w:t>2019-09-04</w:t>
            </w:r>
          </w:p>
        </w:tc>
        <w:tc>
          <w:tcPr>
            <w:vAlign w:val="center"/>
          </w:tcPr>
          <w:p>
            <w:pPr>
              <w:jc w:val="center"/>
            </w:pPr>
            <w:r>
              <w:rPr>
                <w:color w:val="000000"/>
                <w:sz w:val="24"/>
                <w:szCs w:val="24"/>
              </w:rPr>
              <w:t>-</w:t>
            </w:r>
          </w:p>
        </w:tc>
        <w:tc>
          <w:tcPr>
            <w:vAlign w:val="center"/>
          </w:tcPr>
          <w:p>
            <w:pPr>
              <w:jc w:val="center"/>
            </w:pPr>
            <w:r>
              <w:rPr>
                <w:color w:val="000000"/>
                <w:sz w:val="24"/>
                <w:szCs w:val="24"/>
              </w:rPr>
              <w:t>12年</w:t>
            </w:r>
          </w:p>
        </w:tc>
        <w:tc>
          <w:tcPr>
            <w:vAlign w:val="center"/>
          </w:tcPr>
          <w:p>
            <w:pPr>
              <w:jc w:val="both"/>
            </w:pPr>
            <w:r>
              <w:rPr>
                <w:color w:val="000000"/>
                <w:sz w:val="24"/>
                <w:szCs w:val="24"/>
              </w:rPr>
              <w:t>王崇先生，北京大学金融学博士。2008年加入交银施罗德基金管理有限公司，历任行业分析师、高级研究员。</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二季度国内经济逐渐从疫情中走出，呈现弱复苏趋势，流动性维持总体合理宽裕。二季度A股市场持续反弹，其中创业板涨幅遥遥领先，主板表现相对较弱；行业层面，医药、食品饮料、社会服务、消费以及电子等泛大消费板块涨幅居前，金融地产等传统顺周期低估值行业维持低位震荡，涨幅落后。</w:t>
      </w:r>
    </w:p>
    <w:p>
      <w:pPr>
        <w:spacing w:before="29" w:line="288" w:lineRule="auto"/>
        <w:ind w:firstLine="480" w:firstLineChars="200"/>
        <w:rPr>
          <w:color w:val="000000"/>
          <w:sz w:val="24"/>
          <w:szCs w:val="24"/>
        </w:rPr>
      </w:pPr>
      <w:r>
        <w:rPr>
          <w:color w:val="000000"/>
          <w:sz w:val="24"/>
          <w:szCs w:val="24"/>
        </w:rPr>
        <w:t>本基金二季度保持中性略高仓位，考虑到部分持仓公司投资逻辑发生比较大的变化，我们大幅减持部分医疗服务公司，加仓交通运输、电子，从整个季度来表现看，本基金跑赢业绩比较基准。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我们对A股市场维持谨慎乐观的态度。考虑到目前的经济状况、利率水平以及逆周期政策，我们仍旧认为大类资产配置中权益最优；而且从估值盈利匹配度来看，有不少传统行业龙头公司股票仍旧值得投资和持有。另一方面，外需出口仍旧存在较大不确定性，后续国内经济复苏的力度不宜乐观；此外在部分热门板块以及抱团龙头个股经历大幅上涨后，估值处于历史范围上沿，甚至透支未来一两年业绩，中短期风险收益比变差，后续选股尤其是投资成长股的难度在增加。本基金后续保持中性略高仓位，按照内需为先，结构优于总量的思路，拟继续超配一二线房地产龙头、软件及互联网、餐饮供应链、内需服务，以及新能源汽车产业链上优质标的，坚守能力圈和安全边际，逆向投资，做中长期布局，努力为基金持有人带来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3,459,837,528.77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3,459,837,528.77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90.10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367,209,674.57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9.56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13,158,275.89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0.34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3,840,205,479.23</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1,762,104,742.93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46.34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205,665,031.72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128,870,396.82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251,471,507.78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98,811,225.00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2,446,935,670.57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64.34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tbl>
      <w:tblPr>
        <w:tblW w:type="dxa" w:w="8634"/>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1" w:firstRow="1" w:lastColumn="0" w:lastRow="0" w:noHBand="0" w:noVBand="1" w:val="04A0"/>
      </w:tblPr>
      <w:tblGrid>
        <w:gridCol w:w="2397"/>
        <w:gridCol w:w="3119"/>
        <w:gridCol w:w="3118"/>
      </w:tblGrid>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行业类别</w:t>
            </w:r>
            <w:r w:rsidRPr="00FF0BBF">
              <w:rPr>
                <w:color w:val="000000"/>
                <w:sz w:val="24"/>
              </w:rPr>
              <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公允价值（人民币）</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tc>
          <w:tcPr>
            <w:vAlign w:val="center"/>
          </w:tcPr>
          <w:p>
            <w:pPr>
              <w:jc w:val="center"/>
            </w:pPr>
            <w:r>
              <w:rPr>
                <w:color w:val="000000"/>
                <w:sz w:val="24"/>
              </w:rPr>
              <w:t>通讯服务</w:t>
            </w:r>
          </w:p>
        </w:tc>
        <w:tc>
          <w:tcPr>
            <w:vAlign w:val="center"/>
          </w:tcPr>
          <w:p>
            <w:pPr>
              <w:jc w:val="center"/>
            </w:pPr>
            <w:r>
              <w:rPr>
                <w:color w:val="000000"/>
                <w:sz w:val="24"/>
              </w:rPr>
              <w:t>268,345,945.61</w:t>
            </w:r>
          </w:p>
        </w:tc>
        <w:tc>
          <w:tcPr>
            <w:vAlign w:val="center"/>
          </w:tcPr>
          <w:p>
            <w:pPr>
              <w:jc w:val="center"/>
            </w:pPr>
            <w:r>
              <w:rPr>
                <w:color w:val="000000"/>
                <w:sz w:val="24"/>
              </w:rPr>
              <w:t>7.06</w:t>
            </w:r>
          </w:p>
        </w:tc>
      </w:tr>
      <w:tr>
        <w:tc>
          <w:tcPr>
            <w:vAlign w:val="center"/>
          </w:tcPr>
          <w:p>
            <w:pPr>
              <w:jc w:val="center"/>
            </w:pPr>
            <w:r>
              <w:rPr>
                <w:color w:val="000000"/>
                <w:sz w:val="24"/>
              </w:rPr>
              <w:t>房地产</w:t>
            </w:r>
          </w:p>
        </w:tc>
        <w:tc>
          <w:tcPr>
            <w:vAlign w:val="center"/>
          </w:tcPr>
          <w:p>
            <w:pPr>
              <w:jc w:val="center"/>
            </w:pPr>
            <w:r>
              <w:rPr>
                <w:color w:val="000000"/>
                <w:sz w:val="24"/>
              </w:rPr>
              <w:t>229,750,164.34</w:t>
            </w:r>
          </w:p>
        </w:tc>
        <w:tc>
          <w:tcPr>
            <w:vAlign w:val="center"/>
          </w:tcPr>
          <w:p>
            <w:pPr>
              <w:jc w:val="center"/>
            </w:pPr>
            <w:r>
              <w:rPr>
                <w:color w:val="000000"/>
                <w:sz w:val="24"/>
              </w:rPr>
              <w:t>6.04</w:t>
            </w:r>
          </w:p>
        </w:tc>
      </w:tr>
      <w:tr>
        <w:tc>
          <w:tcPr>
            <w:vAlign w:val="center"/>
          </w:tcPr>
          <w:p>
            <w:pPr>
              <w:jc w:val="center"/>
            </w:pPr>
            <w:r>
              <w:rPr>
                <w:color w:val="000000"/>
                <w:sz w:val="24"/>
              </w:rPr>
              <w:t>工业</w:t>
            </w:r>
          </w:p>
        </w:tc>
        <w:tc>
          <w:tcPr>
            <w:vAlign w:val="center"/>
          </w:tcPr>
          <w:p>
            <w:pPr>
              <w:jc w:val="center"/>
            </w:pPr>
            <w:r>
              <w:rPr>
                <w:color w:val="000000"/>
                <w:sz w:val="24"/>
              </w:rPr>
              <w:t>148,727,004.15</w:t>
            </w:r>
          </w:p>
        </w:tc>
        <w:tc>
          <w:tcPr>
            <w:vAlign w:val="center"/>
          </w:tcPr>
          <w:p>
            <w:pPr>
              <w:jc w:val="center"/>
            </w:pPr>
            <w:r>
              <w:rPr>
                <w:color w:val="000000"/>
                <w:sz w:val="24"/>
              </w:rPr>
              <w:t>3.91</w:t>
            </w:r>
          </w:p>
        </w:tc>
      </w:tr>
      <w:tr>
        <w:tc>
          <w:tcPr>
            <w:vAlign w:val="center"/>
          </w:tcPr>
          <w:p>
            <w:pPr>
              <w:jc w:val="center"/>
            </w:pPr>
            <w:r>
              <w:rPr>
                <w:color w:val="000000"/>
                <w:sz w:val="24"/>
              </w:rPr>
              <w:t>信息技术</w:t>
            </w:r>
          </w:p>
        </w:tc>
        <w:tc>
          <w:tcPr>
            <w:vAlign w:val="center"/>
          </w:tcPr>
          <w:p>
            <w:pPr>
              <w:jc w:val="center"/>
            </w:pPr>
            <w:r>
              <w:rPr>
                <w:color w:val="000000"/>
                <w:sz w:val="24"/>
              </w:rPr>
              <w:t>146,239,962.79</w:t>
            </w:r>
          </w:p>
        </w:tc>
        <w:tc>
          <w:tcPr>
            <w:vAlign w:val="center"/>
          </w:tcPr>
          <w:p>
            <w:pPr>
              <w:jc w:val="center"/>
            </w:pPr>
            <w:r>
              <w:rPr>
                <w:color w:val="000000"/>
                <w:sz w:val="24"/>
              </w:rPr>
              <w:t>3.85</w:t>
            </w:r>
          </w:p>
        </w:tc>
      </w:tr>
      <w:tr>
        <w:tc>
          <w:tcPr>
            <w:vAlign w:val="center"/>
          </w:tcPr>
          <w:p>
            <w:pPr>
              <w:jc w:val="center"/>
            </w:pPr>
            <w:r>
              <w:rPr>
                <w:color w:val="000000"/>
                <w:sz w:val="24"/>
              </w:rPr>
              <w:t>金融</w:t>
            </w:r>
          </w:p>
        </w:tc>
        <w:tc>
          <w:tcPr>
            <w:vAlign w:val="center"/>
          </w:tcPr>
          <w:p>
            <w:pPr>
              <w:jc w:val="center"/>
            </w:pPr>
            <w:r>
              <w:rPr>
                <w:color w:val="000000"/>
                <w:sz w:val="24"/>
              </w:rPr>
              <w:t>67,804,075.73</w:t>
            </w:r>
          </w:p>
        </w:tc>
        <w:tc>
          <w:tcPr>
            <w:vAlign w:val="center"/>
          </w:tcPr>
          <w:p>
            <w:pPr>
              <w:jc w:val="center"/>
            </w:pPr>
            <w:r>
              <w:rPr>
                <w:color w:val="000000"/>
                <w:sz w:val="24"/>
              </w:rPr>
              <w:t>1.78</w:t>
            </w:r>
          </w:p>
        </w:tc>
      </w:tr>
      <w:tr>
        <w:tc>
          <w:tcPr>
            <w:vAlign w:val="center"/>
          </w:tcPr>
          <w:p>
            <w:pPr>
              <w:jc w:val="center"/>
            </w:pPr>
            <w:r>
              <w:rPr>
                <w:color w:val="000000"/>
                <w:sz w:val="24"/>
              </w:rPr>
              <w:t>非日常生活消费品</w:t>
            </w:r>
          </w:p>
        </w:tc>
        <w:tc>
          <w:tcPr>
            <w:vAlign w:val="center"/>
          </w:tcPr>
          <w:p>
            <w:pPr>
              <w:jc w:val="center"/>
            </w:pPr>
            <w:r>
              <w:rPr>
                <w:color w:val="000000"/>
                <w:sz w:val="24"/>
              </w:rPr>
              <w:t>48,356,709.77</w:t>
            </w:r>
          </w:p>
        </w:tc>
        <w:tc>
          <w:tcPr>
            <w:vAlign w:val="center"/>
          </w:tcPr>
          <w:p>
            <w:pPr>
              <w:jc w:val="center"/>
            </w:pPr>
            <w:r>
              <w:rPr>
                <w:color w:val="000000"/>
                <w:sz w:val="24"/>
              </w:rPr>
              <w:t>1.27</w:t>
            </w:r>
          </w:p>
        </w:tc>
      </w:tr>
      <w:tr>
        <w:tc>
          <w:tcPr>
            <w:vAlign w:val="center"/>
          </w:tcPr>
          <w:p>
            <w:pPr>
              <w:jc w:val="center"/>
            </w:pPr>
            <w:r>
              <w:rPr>
                <w:color w:val="000000"/>
                <w:sz w:val="24"/>
              </w:rPr>
              <w:t>日常消费品</w:t>
            </w:r>
          </w:p>
        </w:tc>
        <w:tc>
          <w:tcPr>
            <w:vAlign w:val="center"/>
          </w:tcPr>
          <w:p>
            <w:pPr>
              <w:jc w:val="center"/>
            </w:pPr>
            <w:r>
              <w:rPr>
                <w:color w:val="000000"/>
                <w:sz w:val="24"/>
              </w:rPr>
              <w:t>39,697,325.98</w:t>
            </w:r>
          </w:p>
        </w:tc>
        <w:tc>
          <w:tcPr>
            <w:vAlign w:val="center"/>
          </w:tcPr>
          <w:p>
            <w:pPr>
              <w:jc w:val="center"/>
            </w:pPr>
            <w:r>
              <w:rPr>
                <w:color w:val="000000"/>
                <w:sz w:val="24"/>
              </w:rPr>
              <w:t>1.04</w:t>
            </w:r>
          </w:p>
        </w:tc>
      </w:tr>
      <w:tr>
        <w:tc>
          <w:tcPr>
            <w:vAlign w:val="center"/>
          </w:tcPr>
          <w:p>
            <w:pPr>
              <w:jc w:val="center"/>
            </w:pPr>
            <w:r>
              <w:rPr>
                <w:color w:val="000000"/>
                <w:sz w:val="24"/>
              </w:rPr>
              <w:t>原材料</w:t>
            </w:r>
          </w:p>
        </w:tc>
        <w:tc>
          <w:tcPr>
            <w:vAlign w:val="center"/>
          </w:tcPr>
          <w:p>
            <w:pPr>
              <w:jc w:val="center"/>
            </w:pPr>
            <w:r>
              <w:rPr>
                <w:color w:val="000000"/>
                <w:sz w:val="24"/>
              </w:rPr>
              <w:t>37,968,229.73</w:t>
            </w:r>
          </w:p>
        </w:tc>
        <w:tc>
          <w:tcPr>
            <w:vAlign w:val="center"/>
          </w:tcPr>
          <w:p>
            <w:pPr>
              <w:jc w:val="center"/>
            </w:pPr>
            <w:r>
              <w:rPr>
                <w:color w:val="000000"/>
                <w:sz w:val="24"/>
              </w:rPr>
              <w:t>1.00</w:t>
            </w:r>
          </w:p>
        </w:tc>
      </w:tr>
      <w:tr>
        <w:tc>
          <w:tcPr>
            <w:vAlign w:val="center"/>
          </w:tcPr>
          <w:p>
            <w:pPr>
              <w:jc w:val="center"/>
            </w:pPr>
            <w:r>
              <w:rPr>
                <w:color w:val="000000"/>
                <w:sz w:val="24"/>
              </w:rPr>
              <w:t>医疗保健</w:t>
            </w:r>
          </w:p>
        </w:tc>
        <w:tc>
          <w:tcPr>
            <w:vAlign w:val="center"/>
          </w:tcPr>
          <w:p>
            <w:pPr>
              <w:jc w:val="center"/>
            </w:pPr>
            <w:r>
              <w:rPr>
                <w:color w:val="000000"/>
                <w:sz w:val="24"/>
              </w:rPr>
              <w:t>26,012,440.10</w:t>
            </w:r>
          </w:p>
        </w:tc>
        <w:tc>
          <w:tcPr>
            <w:vAlign w:val="center"/>
          </w:tcPr>
          <w:p>
            <w:pPr>
              <w:jc w:val="center"/>
            </w:pPr>
            <w:r>
              <w:rPr>
                <w:color w:val="000000"/>
                <w:sz w:val="24"/>
              </w:rPr>
              <w:t>0.68</w:t>
            </w:r>
          </w:p>
        </w:tc>
      </w:tr>
      <w:tr w:rsidR="00F51C4E" w:rsidRPr="00FF0BBF" w:rsidTr="00AD114B">
        <w:trPr>
          <w:jc w:val="center"/>
        </w:trPr>
        <w:tc>
          <w:tcPr>
            <w:tcW w:type="dxa" w:w="2397"/>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合计</w:t>
            </w:r>
          </w:p>
        </w:tc>
        <w:tc>
          <w:tcPr>
            <w:tcW w:type="dxa" w:w="3119"/>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1,012,901,858.20</w:t>
            </w:r>
          </w:p>
        </w:tc>
        <w:tc>
          <w:tcPr>
            <w:tcW w:type="dxa" w:w="3118"/>
            <w:vAlign w:val="center"/>
          </w:tcPr>
          <w:p w:rsidP="00AD114B" w:rsidR="00F51C4E" w:rsidRDefault="00F51C4E" w:rsidRPr="00FF0BBF">
            <w:pPr>
              <w:spacing w:before="29" w:line="360" w:lineRule="auto"/>
              <w:ind w:left="17"/>
              <w:jc w:val="center"/>
              <w:rPr>
                <w:color w:val="000000"/>
                <w:sz w:val="24"/>
              </w:rPr>
            </w:pPr>
            <w:r w:rsidRPr="00FF0BBF">
              <w:rPr>
                <w:rFonts w:hint="eastAsia"/>
                <w:color w:val="000000"/>
                <w:sz w:val="24"/>
              </w:rPr>
              <w:t/>
            </w:r>
            <w:r w:rsidRPr="00FF0BBF">
              <w:rPr>
                <w:color w:val="000000"/>
                <w:sz w:val="24"/>
              </w:rPr>
              <w:t/>
            </w:r>
            <w:r w:rsidRPr="00FF0BBF">
              <w:rPr>
                <w:rFonts w:hint="eastAsia"/>
                <w:color w:val="000000"/>
                <w:sz w:val="24"/>
              </w:rPr>
              <w:t>26.63</w:t>
            </w:r>
          </w:p>
        </w:tc>
      </w:tr>
    </w:tbl>
    <w:p w:rsidP="00F51C4E" w:rsidR="00F51C4E" w:rsidRDefault="00F51C4E">
      <w:pPr>
        <w:spacing w:before="29" w:line="360" w:lineRule="auto"/>
        <w:ind w:left="17"/>
        <w:rPr>
          <w:color w:val="000000"/>
          <w:sz w:val="24"/>
        </w:rPr>
      </w:pPr>
      <w:r w:rsidRPr="00FF0BBF">
        <w:rPr>
          <w:color w:val="000000"/>
          <w:sz w:val="24"/>
        </w:rPr>
        <w:t>注：以上分类采用全球行业分类标准（GICS）。</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7,428,766</w:t>
            </w:r>
          </w:p>
        </w:tc>
        <w:tc>
          <w:tcPr>
            <w:vAlign w:val="center"/>
          </w:tcPr>
          <w:p>
            <w:pPr>
              <w:jc w:val="right"/>
            </w:pPr>
            <w:r>
              <w:rPr>
                <w:color w:val="000000"/>
                <w:sz w:val="24"/>
                <w:szCs w:val="24"/>
              </w:rPr>
              <w:t>301,830,762.58</w:t>
            </w:r>
          </w:p>
        </w:tc>
        <w:tc>
          <w:tcPr>
            <w:vAlign w:val="center"/>
          </w:tcPr>
          <w:p>
            <w:pPr>
              <w:jc w:val="right"/>
            </w:pPr>
            <w:r>
              <w:rPr>
                <w:color w:val="000000"/>
                <w:sz w:val="24"/>
                <w:szCs w:val="24"/>
              </w:rPr>
              <w:t>7.94</w:t>
            </w:r>
          </w:p>
        </w:tc>
      </w:tr>
      <w:tr>
        <w:tc>
          <w:tcPr>
            <w:vAlign w:val="center"/>
          </w:tcPr>
          <w:p>
            <w:pPr>
              <w:jc w:val="center"/>
            </w:pPr>
            <w:r>
              <w:rPr>
                <w:color w:val="000000"/>
                <w:sz w:val="24"/>
                <w:szCs w:val="24"/>
              </w:rPr>
              <w:t>2</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3,874,515</w:t>
            </w:r>
          </w:p>
        </w:tc>
        <w:tc>
          <w:tcPr>
            <w:vAlign w:val="center"/>
          </w:tcPr>
          <w:p>
            <w:pPr>
              <w:jc w:val="right"/>
            </w:pPr>
            <w:r>
              <w:rPr>
                <w:color w:val="000000"/>
                <w:sz w:val="24"/>
                <w:szCs w:val="24"/>
              </w:rPr>
              <w:t>274,083,191.10</w:t>
            </w:r>
          </w:p>
        </w:tc>
        <w:tc>
          <w:tcPr>
            <w:vAlign w:val="center"/>
          </w:tcPr>
          <w:p>
            <w:pPr>
              <w:jc w:val="right"/>
            </w:pPr>
            <w:r>
              <w:rPr>
                <w:color w:val="000000"/>
                <w:sz w:val="24"/>
                <w:szCs w:val="24"/>
              </w:rPr>
              <w:t>7.21</w:t>
            </w:r>
          </w:p>
        </w:tc>
      </w:tr>
      <w:tr>
        <w:tc>
          <w:tcPr>
            <w:vAlign w:val="center"/>
          </w:tcPr>
          <w:p>
            <w:pPr>
              <w:jc w:val="center"/>
            </w:pPr>
            <w:r>
              <w:rPr>
                <w:color w:val="000000"/>
                <w:sz w:val="24"/>
                <w:szCs w:val="24"/>
              </w:rPr>
              <w:t>3</w:t>
            </w:r>
          </w:p>
        </w:tc>
        <w:tc>
          <w:tcPr>
            <w:vAlign w:val="center"/>
          </w:tcPr>
          <w:p>
            <w:pPr>
              <w:jc w:val="center"/>
            </w:pPr>
            <w:r>
              <w:rPr>
                <w:color w:val="000000"/>
                <w:sz w:val="24"/>
                <w:szCs w:val="24"/>
              </w:rPr>
              <w:t>00700.HK</w:t>
            </w:r>
          </w:p>
        </w:tc>
        <w:tc>
          <w:tcPr>
            <w:vAlign w:val="center"/>
          </w:tcPr>
          <w:p>
            <w:pPr>
              <w:jc w:val="center"/>
            </w:pPr>
            <w:r>
              <w:rPr>
                <w:color w:val="000000"/>
                <w:sz w:val="24"/>
                <w:szCs w:val="24"/>
              </w:rPr>
              <w:t>腾讯控股</w:t>
            </w:r>
          </w:p>
        </w:tc>
        <w:tc>
          <w:tcPr>
            <w:vAlign w:val="center"/>
          </w:tcPr>
          <w:p>
            <w:pPr>
              <w:jc w:val="right"/>
            </w:pPr>
            <w:r>
              <w:rPr>
                <w:color w:val="000000"/>
                <w:sz w:val="24"/>
                <w:szCs w:val="24"/>
              </w:rPr>
              <w:t>589,200</w:t>
            </w:r>
          </w:p>
        </w:tc>
        <w:tc>
          <w:tcPr>
            <w:vAlign w:val="center"/>
          </w:tcPr>
          <w:p>
            <w:pPr>
              <w:jc w:val="right"/>
            </w:pPr>
            <w:r>
              <w:rPr>
                <w:color w:val="000000"/>
                <w:sz w:val="24"/>
                <w:szCs w:val="24"/>
              </w:rPr>
              <w:t>268,345,945.61</w:t>
            </w:r>
          </w:p>
        </w:tc>
        <w:tc>
          <w:tcPr>
            <w:vAlign w:val="center"/>
          </w:tcPr>
          <w:p>
            <w:pPr>
              <w:jc w:val="right"/>
            </w:pPr>
            <w:r>
              <w:rPr>
                <w:color w:val="000000"/>
                <w:sz w:val="24"/>
                <w:szCs w:val="24"/>
              </w:rPr>
              <w:t>7.06</w:t>
            </w:r>
          </w:p>
        </w:tc>
      </w:tr>
      <w:tr>
        <w:tc>
          <w:tcPr>
            <w:vAlign w:val="center"/>
          </w:tcPr>
          <w:p>
            <w:pPr>
              <w:jc w:val="center"/>
            </w:pPr>
            <w:r>
              <w:rPr>
                <w:color w:val="000000"/>
                <w:sz w:val="24"/>
                <w:szCs w:val="24"/>
              </w:rPr>
              <w:t>4</w:t>
            </w:r>
          </w:p>
        </w:tc>
        <w:tc>
          <w:tcPr>
            <w:vAlign w:val="center"/>
          </w:tcPr>
          <w:p>
            <w:pPr>
              <w:jc w:val="center"/>
            </w:pPr>
            <w:r>
              <w:rPr>
                <w:color w:val="000000"/>
                <w:sz w:val="24"/>
                <w:szCs w:val="24"/>
              </w:rPr>
              <w:t>02202.HK</w:t>
            </w:r>
          </w:p>
        </w:tc>
        <w:tc>
          <w:tcPr>
            <w:vAlign w:val="center"/>
          </w:tcPr>
          <w:p>
            <w:pPr>
              <w:jc w:val="center"/>
            </w:pPr>
            <w:r>
              <w:rPr>
                <w:color w:val="000000"/>
                <w:sz w:val="24"/>
                <w:szCs w:val="24"/>
              </w:rPr>
              <w:t>万科企业</w:t>
            </w:r>
          </w:p>
        </w:tc>
        <w:tc>
          <w:tcPr>
            <w:vAlign w:val="center"/>
          </w:tcPr>
          <w:p>
            <w:pPr>
              <w:jc w:val="right"/>
            </w:pPr>
            <w:r>
              <w:rPr>
                <w:color w:val="000000"/>
                <w:sz w:val="24"/>
                <w:szCs w:val="24"/>
              </w:rPr>
              <w:t>10,266,200</w:t>
            </w:r>
          </w:p>
        </w:tc>
        <w:tc>
          <w:tcPr>
            <w:vAlign w:val="center"/>
          </w:tcPr>
          <w:p>
            <w:pPr>
              <w:jc w:val="right"/>
            </w:pPr>
            <w:r>
              <w:rPr>
                <w:color w:val="000000"/>
                <w:sz w:val="24"/>
                <w:szCs w:val="24"/>
              </w:rPr>
              <w:t>229,750,164.34</w:t>
            </w:r>
          </w:p>
        </w:tc>
        <w:tc>
          <w:tcPr>
            <w:vAlign w:val="center"/>
          </w:tcPr>
          <w:p>
            <w:pPr>
              <w:jc w:val="right"/>
            </w:pPr>
            <w:r>
              <w:rPr>
                <w:color w:val="000000"/>
                <w:sz w:val="24"/>
                <w:szCs w:val="24"/>
              </w:rPr>
              <w:t>6.04</w:t>
            </w:r>
          </w:p>
        </w:tc>
      </w:tr>
      <w:tr>
        <w:tc>
          <w:tcPr>
            <w:vAlign w:val="center"/>
          </w:tcPr>
          <w:p>
            <w:pPr>
              <w:jc w:val="center"/>
            </w:pPr>
            <w:r>
              <w:rPr>
                <w:color w:val="000000"/>
                <w:sz w:val="24"/>
                <w:szCs w:val="24"/>
              </w:rPr>
              <w:t>5</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3,657,618</w:t>
            </w:r>
          </w:p>
        </w:tc>
        <w:tc>
          <w:tcPr>
            <w:vAlign w:val="center"/>
          </w:tcPr>
          <w:p>
            <w:pPr>
              <w:jc w:val="right"/>
            </w:pPr>
            <w:r>
              <w:rPr>
                <w:color w:val="000000"/>
                <w:sz w:val="24"/>
                <w:szCs w:val="24"/>
              </w:rPr>
              <w:t>200,071,704.60</w:t>
            </w:r>
          </w:p>
        </w:tc>
        <w:tc>
          <w:tcPr>
            <w:vAlign w:val="center"/>
          </w:tcPr>
          <w:p>
            <w:pPr>
              <w:jc w:val="right"/>
            </w:pPr>
            <w:r>
              <w:rPr>
                <w:color w:val="000000"/>
                <w:sz w:val="24"/>
                <w:szCs w:val="24"/>
              </w:rPr>
              <w:t>5.26</w:t>
            </w:r>
          </w:p>
        </w:tc>
      </w:tr>
      <w:tr>
        <w:tc>
          <w:tcPr>
            <w:vAlign w:val="center"/>
          </w:tcPr>
          <w:p>
            <w:pPr>
              <w:jc w:val="center"/>
            </w:pPr>
            <w:r>
              <w:rPr>
                <w:color w:val="000000"/>
                <w:sz w:val="24"/>
                <w:szCs w:val="24"/>
              </w:rPr>
              <w:t>6</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8,537,797</w:t>
            </w:r>
          </w:p>
        </w:tc>
        <w:tc>
          <w:tcPr>
            <w:vAlign w:val="center"/>
          </w:tcPr>
          <w:p>
            <w:pPr>
              <w:jc w:val="right"/>
            </w:pPr>
            <w:r>
              <w:rPr>
                <w:color w:val="000000"/>
                <w:sz w:val="24"/>
                <w:szCs w:val="24"/>
              </w:rPr>
              <w:t>186,977,754.30</w:t>
            </w:r>
          </w:p>
        </w:tc>
        <w:tc>
          <w:tcPr>
            <w:vAlign w:val="center"/>
          </w:tcPr>
          <w:p>
            <w:pPr>
              <w:jc w:val="right"/>
            </w:pPr>
            <w:r>
              <w:rPr>
                <w:color w:val="000000"/>
                <w:sz w:val="24"/>
                <w:szCs w:val="24"/>
              </w:rPr>
              <w:t>4.92</w:t>
            </w:r>
          </w:p>
        </w:tc>
      </w:tr>
      <w:tr>
        <w:tc>
          <w:tcPr>
            <w:vAlign w:val="center"/>
          </w:tcPr>
          <w:p>
            <w:pPr>
              <w:jc w:val="center"/>
            </w:pPr>
            <w:r>
              <w:rPr>
                <w:color w:val="000000"/>
                <w:sz w:val="24"/>
                <w:szCs w:val="24"/>
              </w:rPr>
              <w:t>7</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3,129,233</w:t>
            </w:r>
          </w:p>
        </w:tc>
        <w:tc>
          <w:tcPr>
            <w:vAlign w:val="center"/>
          </w:tcPr>
          <w:p>
            <w:pPr>
              <w:jc w:val="right"/>
            </w:pPr>
            <w:r>
              <w:rPr>
                <w:color w:val="000000"/>
                <w:sz w:val="24"/>
                <w:szCs w:val="24"/>
              </w:rPr>
              <w:t>160,686,114.55</w:t>
            </w:r>
          </w:p>
        </w:tc>
        <w:tc>
          <w:tcPr>
            <w:vAlign w:val="center"/>
          </w:tcPr>
          <w:p>
            <w:pPr>
              <w:jc w:val="right"/>
            </w:pPr>
            <w:r>
              <w:rPr>
                <w:color w:val="000000"/>
                <w:sz w:val="24"/>
                <w:szCs w:val="24"/>
              </w:rPr>
              <w:t>4.23</w:t>
            </w:r>
          </w:p>
        </w:tc>
      </w:tr>
      <w:tr>
        <w:tc>
          <w:tcPr>
            <w:vAlign w:val="center"/>
          </w:tcPr>
          <w:p>
            <w:pPr>
              <w:jc w:val="center"/>
            </w:pPr>
            <w:r>
              <w:rPr>
                <w:color w:val="000000"/>
                <w:sz w:val="24"/>
                <w:szCs w:val="24"/>
              </w:rPr>
              <w:t>8</w:t>
            </w:r>
          </w:p>
        </w:tc>
        <w:tc>
          <w:tcPr>
            <w:vAlign w:val="center"/>
          </w:tcPr>
          <w:p>
            <w:pPr>
              <w:jc w:val="center"/>
            </w:pPr>
            <w:r>
              <w:rPr>
                <w:color w:val="000000"/>
                <w:sz w:val="24"/>
                <w:szCs w:val="24"/>
              </w:rPr>
              <w:t>002311</w:t>
            </w:r>
          </w:p>
        </w:tc>
        <w:tc>
          <w:tcPr>
            <w:vAlign w:val="center"/>
          </w:tcPr>
          <w:p>
            <w:pPr>
              <w:jc w:val="center"/>
            </w:pPr>
            <w:r>
              <w:rPr>
                <w:color w:val="000000"/>
                <w:sz w:val="24"/>
                <w:szCs w:val="24"/>
              </w:rPr>
              <w:t>海大集团</w:t>
            </w:r>
          </w:p>
        </w:tc>
        <w:tc>
          <w:tcPr>
            <w:vAlign w:val="center"/>
          </w:tcPr>
          <w:p>
            <w:pPr>
              <w:jc w:val="right"/>
            </w:pPr>
            <w:r>
              <w:rPr>
                <w:color w:val="000000"/>
                <w:sz w:val="24"/>
                <w:szCs w:val="24"/>
              </w:rPr>
              <w:t>3,130,287</w:t>
            </w:r>
          </w:p>
        </w:tc>
        <w:tc>
          <w:tcPr>
            <w:vAlign w:val="center"/>
          </w:tcPr>
          <w:p>
            <w:pPr>
              <w:jc w:val="right"/>
            </w:pPr>
            <w:r>
              <w:rPr>
                <w:color w:val="000000"/>
                <w:sz w:val="24"/>
                <w:szCs w:val="24"/>
              </w:rPr>
              <w:t>148,970,358.33</w:t>
            </w:r>
          </w:p>
        </w:tc>
        <w:tc>
          <w:tcPr>
            <w:vAlign w:val="center"/>
          </w:tcPr>
          <w:p>
            <w:pPr>
              <w:jc w:val="right"/>
            </w:pPr>
            <w:r>
              <w:rPr>
                <w:color w:val="000000"/>
                <w:sz w:val="24"/>
                <w:szCs w:val="24"/>
              </w:rPr>
              <w:t>3.92</w:t>
            </w:r>
          </w:p>
        </w:tc>
      </w:tr>
      <w:tr>
        <w:tc>
          <w:tcPr>
            <w:vAlign w:val="center"/>
          </w:tcPr>
          <w:p>
            <w:pPr>
              <w:jc w:val="center"/>
            </w:pPr>
            <w:r>
              <w:rPr>
                <w:color w:val="000000"/>
                <w:sz w:val="24"/>
                <w:szCs w:val="24"/>
              </w:rPr>
              <w:t>9</w:t>
            </w:r>
          </w:p>
        </w:tc>
        <w:tc>
          <w:tcPr>
            <w:vAlign w:val="center"/>
          </w:tcPr>
          <w:p>
            <w:pPr>
              <w:jc w:val="center"/>
            </w:pPr>
            <w:r>
              <w:rPr>
                <w:color w:val="000000"/>
                <w:sz w:val="24"/>
                <w:szCs w:val="24"/>
              </w:rPr>
              <w:t>03888.HK</w:t>
            </w:r>
          </w:p>
        </w:tc>
        <w:tc>
          <w:tcPr>
            <w:vAlign w:val="center"/>
          </w:tcPr>
          <w:p>
            <w:pPr>
              <w:jc w:val="center"/>
            </w:pPr>
            <w:r>
              <w:rPr>
                <w:color w:val="000000"/>
                <w:sz w:val="24"/>
                <w:szCs w:val="24"/>
              </w:rPr>
              <w:t>金山软件</w:t>
            </w:r>
          </w:p>
        </w:tc>
        <w:tc>
          <w:tcPr>
            <w:vAlign w:val="center"/>
          </w:tcPr>
          <w:p>
            <w:pPr>
              <w:jc w:val="right"/>
            </w:pPr>
            <w:r>
              <w:rPr>
                <w:color w:val="000000"/>
                <w:sz w:val="24"/>
                <w:szCs w:val="24"/>
              </w:rPr>
              <w:t>4,441,000</w:t>
            </w:r>
          </w:p>
        </w:tc>
        <w:tc>
          <w:tcPr>
            <w:vAlign w:val="center"/>
          </w:tcPr>
          <w:p>
            <w:pPr>
              <w:jc w:val="right"/>
            </w:pPr>
            <w:r>
              <w:rPr>
                <w:color w:val="000000"/>
                <w:sz w:val="24"/>
                <w:szCs w:val="24"/>
              </w:rPr>
              <w:t>146,239,962.79</w:t>
            </w:r>
          </w:p>
        </w:tc>
        <w:tc>
          <w:tcPr>
            <w:vAlign w:val="center"/>
          </w:tcPr>
          <w:p>
            <w:pPr>
              <w:jc w:val="right"/>
            </w:pPr>
            <w:r>
              <w:rPr>
                <w:color w:val="000000"/>
                <w:sz w:val="24"/>
                <w:szCs w:val="24"/>
              </w:rPr>
              <w:t>3.85</w:t>
            </w:r>
          </w:p>
        </w:tc>
      </w:tr>
      <w:tr>
        <w:tc>
          <w:tcPr>
            <w:vAlign w:val="center"/>
          </w:tcPr>
          <w:p>
            <w:pPr>
              <w:jc w:val="center"/>
            </w:pPr>
            <w:r>
              <w:rPr>
                <w:color w:val="000000"/>
                <w:sz w:val="24"/>
                <w:szCs w:val="24"/>
              </w:rPr>
              <w:t>10</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9,212,429</w:t>
            </w:r>
          </w:p>
        </w:tc>
        <w:tc>
          <w:tcPr>
            <w:vAlign w:val="center"/>
          </w:tcPr>
          <w:p>
            <w:pPr>
              <w:jc w:val="right"/>
            </w:pPr>
            <w:r>
              <w:rPr>
                <w:color w:val="000000"/>
                <w:sz w:val="24"/>
                <w:szCs w:val="24"/>
              </w:rPr>
              <w:t>136,159,700.62</w:t>
            </w:r>
          </w:p>
        </w:tc>
        <w:tc>
          <w:tcPr>
            <w:vAlign w:val="center"/>
          </w:tcPr>
          <w:p>
            <w:pPr>
              <w:jc w:val="right"/>
            </w:pPr>
            <w:r>
              <w:rPr>
                <w:color w:val="000000"/>
                <w:sz w:val="24"/>
                <w:szCs w:val="24"/>
              </w:rPr>
              <w:t>3.58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3,129,610.77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6,496,962.95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3,488,481.17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43,221.00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13,158,275.89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2,964,855,282.92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35.21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2,964,855,247.71</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1、中国证监会准予交银施罗德瑞丰三年封闭运作混合型证券投资基金募集注册的文件；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2、《交银施罗德瑞丰三年封闭运作混合型证券投资基金基金合同》；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3、《交银施罗德瑞丰三年封闭运作混合型证券投资基金招募说明书》；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4、《交银施罗德瑞丰三年封闭运作混合型证券投资基金托管协议》；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5、关于申请募集注册交银施罗德瑞丰三年封闭运作混合型证券投资基金的法律意见书；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8、报告期内交银施罗德瑞丰三年封闭运作混合型证券投资基金在指定报刊上各项公告的原稿。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交银施罗德瑞丰三年封闭运作混合型证券投资基金2020年第2季度报告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