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交银施罗德裕坤纯债一年定期开放债券型发起式证券投资基金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基金托管人：中国光大银行股份有限公司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F065B" w:rsidRDefault="00E0479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基金托管人中国光大银行股份有限公司根据本基金合同规定，于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交银裕坤纯债一年定期开放债券</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008352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008352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999,999,000.00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本基金在严格控制风险和保持资产流动性的基础上，通过积极主动的投资管理，力争持续稳定地实现超越业绩比较基准的投资回报。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本基金是一只债券型基金，其预期风险与预期收益高于货币市场基金，低于混合型基金和股票型基金。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中国光大银行股份有限公司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91AA5" w:rsidRPr="00414345" w:rsidTr="00C91AA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91AA5" w:rsidRPr="00414345" w:rsidTr="00C91AA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11,292,623.66</w:t>
            </w:r>
          </w:p>
        </w:tc>
      </w:tr>
      <w:tr w:rsidR="00C91AA5" w:rsidRPr="00414345" w:rsidTr="00C91AA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-1,109,795.34</w:t>
            </w:r>
          </w:p>
        </w:tc>
      </w:tr>
      <w:tr w:rsidR="00C91AA5" w:rsidRPr="00414345" w:rsidTr="00C91AA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-0.0011</w:t>
            </w:r>
          </w:p>
        </w:tc>
      </w:tr>
      <w:tr w:rsidR="00C91AA5" w:rsidRPr="00414345" w:rsidTr="00C91AA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1,007,183,132.16</w:t>
            </w:r>
          </w:p>
        </w:tc>
      </w:tr>
      <w:tr w:rsidR="00C91AA5" w:rsidRPr="00414345" w:rsidTr="00C91AA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1.0072</w:t>
            </w:r>
          </w:p>
        </w:tc>
      </w:tr>
    </w:tbl>
    <w:p w:rsidR="000F065B" w:rsidRDefault="00E0479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F065B">
        <w:trPr>
          <w:jc w:val="center"/>
        </w:trPr>
        <w:tc>
          <w:tcPr>
            <w:tcW w:w="1701" w:type="dxa"/>
            <w:vAlign w:val="center"/>
          </w:tcPr>
          <w:p w:rsidR="000F065B" w:rsidRDefault="00E0479B">
            <w:pPr>
              <w:jc w:val="left"/>
            </w:pPr>
            <w:r>
              <w:rPr>
                <w:color w:val="000000"/>
                <w:sz w:val="24"/>
                <w:szCs w:val="24"/>
              </w:rPr>
              <w:t>过去三个月</w:t>
            </w:r>
          </w:p>
        </w:tc>
        <w:tc>
          <w:tcPr>
            <w:tcW w:w="1045" w:type="dxa"/>
            <w:vAlign w:val="center"/>
          </w:tcPr>
          <w:p w:rsidR="000F065B" w:rsidRDefault="00E0479B">
            <w:pPr>
              <w:jc w:val="center"/>
            </w:pPr>
            <w:r>
              <w:rPr>
                <w:color w:val="000000"/>
                <w:sz w:val="24"/>
                <w:szCs w:val="24"/>
              </w:rPr>
              <w:t>-0.11%</w:t>
            </w:r>
          </w:p>
        </w:tc>
        <w:tc>
          <w:tcPr>
            <w:tcW w:w="1344" w:type="dxa"/>
            <w:vAlign w:val="center"/>
          </w:tcPr>
          <w:p w:rsidR="000F065B" w:rsidRDefault="00E0479B">
            <w:pPr>
              <w:jc w:val="center"/>
            </w:pPr>
            <w:r>
              <w:rPr>
                <w:color w:val="000000"/>
                <w:sz w:val="24"/>
                <w:szCs w:val="24"/>
              </w:rPr>
              <w:t>0.16%</w:t>
            </w:r>
          </w:p>
        </w:tc>
        <w:tc>
          <w:tcPr>
            <w:tcW w:w="1194" w:type="dxa"/>
            <w:vAlign w:val="center"/>
          </w:tcPr>
          <w:p w:rsidR="000F065B" w:rsidRDefault="00E0479B">
            <w:pPr>
              <w:jc w:val="center"/>
            </w:pPr>
            <w:r>
              <w:rPr>
                <w:color w:val="000000"/>
                <w:sz w:val="24"/>
                <w:szCs w:val="24"/>
              </w:rPr>
              <w:t>-1.04%</w:t>
            </w:r>
          </w:p>
        </w:tc>
        <w:tc>
          <w:tcPr>
            <w:tcW w:w="1492" w:type="dxa"/>
            <w:vAlign w:val="center"/>
          </w:tcPr>
          <w:p w:rsidR="000F065B" w:rsidRDefault="00E0479B">
            <w:pPr>
              <w:jc w:val="center"/>
            </w:pPr>
            <w:r>
              <w:rPr>
                <w:color w:val="000000"/>
                <w:sz w:val="24"/>
                <w:szCs w:val="24"/>
              </w:rPr>
              <w:t>0.12%</w:t>
            </w:r>
          </w:p>
        </w:tc>
        <w:tc>
          <w:tcPr>
            <w:tcW w:w="1194" w:type="dxa"/>
            <w:vAlign w:val="center"/>
          </w:tcPr>
          <w:p w:rsidR="000F065B" w:rsidRDefault="00E0479B">
            <w:pPr>
              <w:jc w:val="center"/>
            </w:pPr>
            <w:r>
              <w:rPr>
                <w:color w:val="000000"/>
                <w:sz w:val="24"/>
                <w:szCs w:val="24"/>
              </w:rPr>
              <w:t>0.93%</w:t>
            </w:r>
          </w:p>
        </w:tc>
        <w:tc>
          <w:tcPr>
            <w:tcW w:w="898" w:type="dxa"/>
            <w:vAlign w:val="center"/>
          </w:tcPr>
          <w:p w:rsidR="000F065B" w:rsidRDefault="00E0479B">
            <w:pPr>
              <w:jc w:val="center"/>
            </w:pPr>
            <w:r>
              <w:rPr>
                <w:color w:val="000000"/>
                <w:sz w:val="24"/>
                <w:szCs w:val="24"/>
              </w:rPr>
              <w:t>0.04%</w:t>
            </w:r>
          </w:p>
        </w:tc>
      </w:tr>
      <w:tr w:rsidR="000F065B">
        <w:trPr>
          <w:jc w:val="center"/>
        </w:trPr>
        <w:tc>
          <w:tcPr>
            <w:tcW w:w="1701" w:type="dxa"/>
            <w:vAlign w:val="center"/>
          </w:tcPr>
          <w:p w:rsidR="000F065B" w:rsidRDefault="00E0479B">
            <w:pPr>
              <w:jc w:val="left"/>
            </w:pPr>
            <w:r>
              <w:rPr>
                <w:color w:val="000000"/>
                <w:sz w:val="24"/>
                <w:szCs w:val="24"/>
              </w:rPr>
              <w:t>过去六个月</w:t>
            </w:r>
          </w:p>
        </w:tc>
        <w:tc>
          <w:tcPr>
            <w:tcW w:w="1045" w:type="dxa"/>
            <w:vAlign w:val="center"/>
          </w:tcPr>
          <w:p w:rsidR="000F065B" w:rsidRDefault="00E0479B">
            <w:pPr>
              <w:jc w:val="center"/>
            </w:pPr>
            <w:r>
              <w:rPr>
                <w:color w:val="000000"/>
                <w:sz w:val="24"/>
                <w:szCs w:val="24"/>
              </w:rPr>
              <w:t>0.71%</w:t>
            </w:r>
          </w:p>
        </w:tc>
        <w:tc>
          <w:tcPr>
            <w:tcW w:w="1344" w:type="dxa"/>
            <w:vAlign w:val="center"/>
          </w:tcPr>
          <w:p w:rsidR="000F065B" w:rsidRDefault="00E0479B">
            <w:pPr>
              <w:jc w:val="center"/>
            </w:pPr>
            <w:r>
              <w:rPr>
                <w:color w:val="000000"/>
                <w:sz w:val="24"/>
                <w:szCs w:val="24"/>
              </w:rPr>
              <w:t>0.11%</w:t>
            </w:r>
          </w:p>
        </w:tc>
        <w:tc>
          <w:tcPr>
            <w:tcW w:w="1194" w:type="dxa"/>
            <w:vAlign w:val="center"/>
          </w:tcPr>
          <w:p w:rsidR="000F065B" w:rsidRDefault="00E0479B">
            <w:pPr>
              <w:jc w:val="center"/>
            </w:pPr>
            <w:r>
              <w:rPr>
                <w:color w:val="000000"/>
                <w:sz w:val="24"/>
                <w:szCs w:val="24"/>
              </w:rPr>
              <w:t>0.79%</w:t>
            </w:r>
          </w:p>
        </w:tc>
        <w:tc>
          <w:tcPr>
            <w:tcW w:w="1492" w:type="dxa"/>
            <w:vAlign w:val="center"/>
          </w:tcPr>
          <w:p w:rsidR="000F065B" w:rsidRDefault="00E0479B">
            <w:pPr>
              <w:jc w:val="center"/>
            </w:pPr>
            <w:r>
              <w:rPr>
                <w:color w:val="000000"/>
                <w:sz w:val="24"/>
                <w:szCs w:val="24"/>
              </w:rPr>
              <w:t>0.11%</w:t>
            </w:r>
          </w:p>
        </w:tc>
        <w:tc>
          <w:tcPr>
            <w:tcW w:w="1194" w:type="dxa"/>
            <w:vAlign w:val="center"/>
          </w:tcPr>
          <w:p w:rsidR="000F065B" w:rsidRDefault="00E0479B">
            <w:pPr>
              <w:jc w:val="center"/>
            </w:pPr>
            <w:r>
              <w:rPr>
                <w:color w:val="000000"/>
                <w:sz w:val="24"/>
                <w:szCs w:val="24"/>
              </w:rPr>
              <w:t>-0.08%</w:t>
            </w:r>
          </w:p>
        </w:tc>
        <w:tc>
          <w:tcPr>
            <w:tcW w:w="898" w:type="dxa"/>
            <w:vAlign w:val="center"/>
          </w:tcPr>
          <w:p w:rsidR="000F065B" w:rsidRDefault="00E0479B">
            <w:pPr>
              <w:jc w:val="center"/>
            </w:pPr>
            <w:r>
              <w:rPr>
                <w:color w:val="000000"/>
                <w:sz w:val="24"/>
                <w:szCs w:val="24"/>
              </w:rPr>
              <w:t>0.00%</w:t>
            </w:r>
          </w:p>
        </w:tc>
      </w:tr>
      <w:tr w:rsidR="000F065B">
        <w:trPr>
          <w:jc w:val="center"/>
        </w:trPr>
        <w:tc>
          <w:tcPr>
            <w:tcW w:w="1701" w:type="dxa"/>
            <w:vAlign w:val="center"/>
          </w:tcPr>
          <w:p w:rsidR="000F065B" w:rsidRDefault="00E0479B">
            <w:pPr>
              <w:jc w:val="left"/>
            </w:pPr>
            <w:r>
              <w:rPr>
                <w:color w:val="000000"/>
                <w:sz w:val="24"/>
                <w:szCs w:val="24"/>
              </w:rPr>
              <w:t>自基金合同生效至今</w:t>
            </w:r>
          </w:p>
        </w:tc>
        <w:tc>
          <w:tcPr>
            <w:tcW w:w="1045" w:type="dxa"/>
            <w:vAlign w:val="center"/>
          </w:tcPr>
          <w:p w:rsidR="000F065B" w:rsidRDefault="00E0479B">
            <w:pPr>
              <w:jc w:val="center"/>
            </w:pPr>
            <w:r>
              <w:rPr>
                <w:color w:val="000000"/>
                <w:sz w:val="24"/>
                <w:szCs w:val="24"/>
              </w:rPr>
              <w:t>0.72%</w:t>
            </w:r>
          </w:p>
        </w:tc>
        <w:tc>
          <w:tcPr>
            <w:tcW w:w="1344" w:type="dxa"/>
            <w:vAlign w:val="center"/>
          </w:tcPr>
          <w:p w:rsidR="000F065B" w:rsidRDefault="00E0479B">
            <w:pPr>
              <w:jc w:val="center"/>
            </w:pPr>
            <w:r>
              <w:rPr>
                <w:color w:val="000000"/>
                <w:sz w:val="24"/>
                <w:szCs w:val="24"/>
              </w:rPr>
              <w:t>0.11%</w:t>
            </w:r>
          </w:p>
        </w:tc>
        <w:tc>
          <w:tcPr>
            <w:tcW w:w="1194" w:type="dxa"/>
            <w:vAlign w:val="center"/>
          </w:tcPr>
          <w:p w:rsidR="000F065B" w:rsidRDefault="00E0479B">
            <w:pPr>
              <w:jc w:val="center"/>
            </w:pPr>
            <w:r>
              <w:rPr>
                <w:color w:val="000000"/>
                <w:sz w:val="24"/>
                <w:szCs w:val="24"/>
              </w:rPr>
              <w:t>0.93%</w:t>
            </w:r>
          </w:p>
        </w:tc>
        <w:tc>
          <w:tcPr>
            <w:tcW w:w="1492" w:type="dxa"/>
            <w:vAlign w:val="center"/>
          </w:tcPr>
          <w:p w:rsidR="000F065B" w:rsidRDefault="00E0479B">
            <w:pPr>
              <w:jc w:val="center"/>
            </w:pPr>
            <w:r>
              <w:rPr>
                <w:color w:val="000000"/>
                <w:sz w:val="24"/>
                <w:szCs w:val="24"/>
              </w:rPr>
              <w:t>0.11%</w:t>
            </w:r>
          </w:p>
        </w:tc>
        <w:tc>
          <w:tcPr>
            <w:tcW w:w="1194" w:type="dxa"/>
            <w:vAlign w:val="center"/>
          </w:tcPr>
          <w:p w:rsidR="000F065B" w:rsidRDefault="00E0479B">
            <w:pPr>
              <w:jc w:val="center"/>
            </w:pPr>
            <w:r>
              <w:rPr>
                <w:color w:val="000000"/>
                <w:sz w:val="24"/>
                <w:szCs w:val="24"/>
              </w:rPr>
              <w:t>-0.21%</w:t>
            </w:r>
          </w:p>
        </w:tc>
        <w:tc>
          <w:tcPr>
            <w:tcW w:w="898" w:type="dxa"/>
            <w:vAlign w:val="center"/>
          </w:tcPr>
          <w:p w:rsidR="000F065B" w:rsidRDefault="00E0479B">
            <w:pPr>
              <w:jc w:val="center"/>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交银施罗德裕坤纯债一年定期开放债券型发起式证券投资基金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26</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F065B">
        <w:trPr>
          <w:jc w:val="center"/>
        </w:trPr>
        <w:tc>
          <w:tcPr>
            <w:tcW w:w="846" w:type="dxa"/>
            <w:vAlign w:val="center"/>
          </w:tcPr>
          <w:p w:rsidR="000F065B" w:rsidRDefault="00E0479B">
            <w:pPr>
              <w:jc w:val="center"/>
            </w:pPr>
            <w:r>
              <w:rPr>
                <w:color w:val="000000"/>
                <w:sz w:val="24"/>
                <w:szCs w:val="24"/>
              </w:rPr>
              <w:t>于海颖</w:t>
            </w:r>
          </w:p>
        </w:tc>
        <w:tc>
          <w:tcPr>
            <w:tcW w:w="845" w:type="dxa"/>
            <w:vAlign w:val="center"/>
          </w:tcPr>
          <w:p w:rsidR="000F065B" w:rsidRDefault="00E0479B">
            <w:pPr>
              <w:jc w:val="center"/>
            </w:pPr>
            <w:r>
              <w:rPr>
                <w:color w:val="000000"/>
                <w:sz w:val="24"/>
                <w:szCs w:val="24"/>
              </w:rPr>
              <w:t>交银增利债券、交银纯债债券发起、交银丰盈收益</w:t>
            </w:r>
            <w:r>
              <w:rPr>
                <w:color w:val="000000"/>
                <w:sz w:val="24"/>
                <w:szCs w:val="24"/>
              </w:rPr>
              <w:lastRenderedPageBreak/>
              <w:t>债券、交银丰晟收益债券、交银裕如纯债债券、交银裕泰两年定期开放债券、交银裕坤纯债一年定期开放债券的基金经理，公司固定收益（公募）投资总监</w:t>
            </w:r>
          </w:p>
        </w:tc>
        <w:tc>
          <w:tcPr>
            <w:tcW w:w="1549" w:type="dxa"/>
            <w:vAlign w:val="center"/>
          </w:tcPr>
          <w:p w:rsidR="000F065B" w:rsidRDefault="00E0479B">
            <w:pPr>
              <w:jc w:val="center"/>
            </w:pPr>
            <w:r>
              <w:rPr>
                <w:color w:val="000000"/>
                <w:sz w:val="24"/>
                <w:szCs w:val="24"/>
              </w:rPr>
              <w:lastRenderedPageBreak/>
              <w:t>2019-12-26</w:t>
            </w:r>
          </w:p>
        </w:tc>
        <w:tc>
          <w:tcPr>
            <w:tcW w:w="1548" w:type="dxa"/>
            <w:vAlign w:val="center"/>
          </w:tcPr>
          <w:p w:rsidR="000F065B" w:rsidRDefault="00E0479B">
            <w:pPr>
              <w:jc w:val="center"/>
            </w:pPr>
            <w:r>
              <w:rPr>
                <w:color w:val="000000"/>
                <w:sz w:val="24"/>
                <w:szCs w:val="24"/>
              </w:rPr>
              <w:t>-</w:t>
            </w:r>
          </w:p>
        </w:tc>
        <w:tc>
          <w:tcPr>
            <w:tcW w:w="1407" w:type="dxa"/>
            <w:vAlign w:val="center"/>
          </w:tcPr>
          <w:p w:rsidR="000F065B" w:rsidRDefault="00E0479B">
            <w:pPr>
              <w:jc w:val="center"/>
            </w:pPr>
            <w:r>
              <w:rPr>
                <w:color w:val="000000"/>
                <w:sz w:val="24"/>
                <w:szCs w:val="24"/>
              </w:rPr>
              <w:t>14</w:t>
            </w:r>
            <w:r>
              <w:rPr>
                <w:color w:val="000000"/>
                <w:sz w:val="24"/>
                <w:szCs w:val="24"/>
              </w:rPr>
              <w:t>年</w:t>
            </w:r>
          </w:p>
        </w:tc>
        <w:tc>
          <w:tcPr>
            <w:tcW w:w="2673" w:type="dxa"/>
            <w:vAlign w:val="center"/>
          </w:tcPr>
          <w:p w:rsidR="000F065B" w:rsidRDefault="00E0479B">
            <w:r>
              <w:rPr>
                <w:color w:val="000000"/>
                <w:sz w:val="24"/>
                <w:szCs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w:t>
            </w:r>
            <w:r>
              <w:rPr>
                <w:color w:val="000000"/>
                <w:sz w:val="24"/>
                <w:szCs w:val="24"/>
              </w:rPr>
              <w:lastRenderedPageBreak/>
              <w:t>固定收益事业部投资管理部总经理。其中</w:t>
            </w:r>
            <w:r>
              <w:rPr>
                <w:color w:val="000000"/>
                <w:sz w:val="24"/>
                <w:szCs w:val="24"/>
              </w:rPr>
              <w:t>2007</w:t>
            </w:r>
            <w:r>
              <w:rPr>
                <w:color w:val="000000"/>
                <w:sz w:val="24"/>
                <w:szCs w:val="24"/>
              </w:rPr>
              <w:t>年</w:t>
            </w:r>
            <w:r>
              <w:rPr>
                <w:color w:val="000000"/>
                <w:sz w:val="24"/>
                <w:szCs w:val="24"/>
              </w:rPr>
              <w:t>11</w:t>
            </w:r>
            <w:r>
              <w:rPr>
                <w:color w:val="000000"/>
                <w:sz w:val="24"/>
                <w:szCs w:val="24"/>
              </w:rPr>
              <w:t>月</w:t>
            </w:r>
            <w:r>
              <w:rPr>
                <w:color w:val="000000"/>
                <w:sz w:val="24"/>
                <w:szCs w:val="24"/>
              </w:rPr>
              <w:t>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日任光大保德信货币市场基金基金经理，</w:t>
            </w:r>
            <w:r>
              <w:rPr>
                <w:color w:val="000000"/>
                <w:sz w:val="24"/>
                <w:szCs w:val="24"/>
              </w:rPr>
              <w:t>2008</w:t>
            </w:r>
            <w:r>
              <w:rPr>
                <w:color w:val="000000"/>
                <w:sz w:val="24"/>
                <w:szCs w:val="24"/>
              </w:rPr>
              <w:t>年</w:t>
            </w:r>
            <w:r>
              <w:rPr>
                <w:color w:val="000000"/>
                <w:sz w:val="24"/>
                <w:szCs w:val="24"/>
              </w:rPr>
              <w:t>10</w:t>
            </w:r>
            <w:r>
              <w:rPr>
                <w:color w:val="000000"/>
                <w:sz w:val="24"/>
                <w:szCs w:val="24"/>
              </w:rPr>
              <w:t>月</w:t>
            </w:r>
            <w:r>
              <w:rPr>
                <w:color w:val="000000"/>
                <w:sz w:val="24"/>
                <w:szCs w:val="24"/>
              </w:rPr>
              <w:t>29</w:t>
            </w:r>
            <w:r>
              <w:rPr>
                <w:color w:val="000000"/>
                <w:sz w:val="24"/>
                <w:szCs w:val="24"/>
              </w:rPr>
              <w:t>日至</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30</w:t>
            </w:r>
            <w:r>
              <w:rPr>
                <w:color w:val="000000"/>
                <w:sz w:val="24"/>
                <w:szCs w:val="24"/>
              </w:rPr>
              <w:t>日任光大保德信增利收益债券型证券投资基金基金经理，</w:t>
            </w:r>
            <w:r>
              <w:rPr>
                <w:color w:val="000000"/>
                <w:sz w:val="24"/>
                <w:szCs w:val="24"/>
              </w:rPr>
              <w:t>2011</w:t>
            </w:r>
            <w:r>
              <w:rPr>
                <w:color w:val="000000"/>
                <w:sz w:val="24"/>
                <w:szCs w:val="24"/>
              </w:rPr>
              <w:t>年</w:t>
            </w:r>
            <w:r>
              <w:rPr>
                <w:color w:val="000000"/>
                <w:sz w:val="24"/>
                <w:szCs w:val="24"/>
              </w:rPr>
              <w:t>6</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16</w:t>
            </w:r>
            <w:r>
              <w:rPr>
                <w:color w:val="000000"/>
                <w:sz w:val="24"/>
                <w:szCs w:val="24"/>
              </w:rPr>
              <w:t>日任银华永祥保本混合型证券投资基金基金经理，</w:t>
            </w:r>
            <w:r>
              <w:rPr>
                <w:color w:val="000000"/>
                <w:sz w:val="24"/>
                <w:szCs w:val="24"/>
              </w:rPr>
              <w:t>2011</w:t>
            </w:r>
            <w:r>
              <w:rPr>
                <w:color w:val="000000"/>
                <w:sz w:val="24"/>
                <w:szCs w:val="24"/>
              </w:rPr>
              <w:t>年</w:t>
            </w:r>
            <w:r>
              <w:rPr>
                <w:color w:val="000000"/>
                <w:sz w:val="24"/>
                <w:szCs w:val="24"/>
              </w:rPr>
              <w:t>8</w:t>
            </w:r>
            <w:r>
              <w:rPr>
                <w:color w:val="000000"/>
                <w:sz w:val="24"/>
                <w:szCs w:val="24"/>
              </w:rPr>
              <w:t>月</w:t>
            </w:r>
            <w:r>
              <w:rPr>
                <w:color w:val="000000"/>
                <w:sz w:val="24"/>
                <w:szCs w:val="24"/>
              </w:rPr>
              <w:t>2</w:t>
            </w:r>
            <w:r>
              <w:rPr>
                <w:color w:val="000000"/>
                <w:sz w:val="24"/>
                <w:szCs w:val="24"/>
              </w:rPr>
              <w:t>日至</w:t>
            </w:r>
            <w:r>
              <w:rPr>
                <w:color w:val="000000"/>
                <w:sz w:val="24"/>
                <w:szCs w:val="24"/>
              </w:rPr>
              <w:t>20</w:t>
            </w:r>
            <w:r>
              <w:rPr>
                <w:color w:val="000000"/>
                <w:sz w:val="24"/>
                <w:szCs w:val="24"/>
              </w:rPr>
              <w:t>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日任银华货币市场证券投资基金基金经理，</w:t>
            </w:r>
            <w:r>
              <w:rPr>
                <w:color w:val="000000"/>
                <w:sz w:val="24"/>
                <w:szCs w:val="24"/>
              </w:rPr>
              <w:t>2012</w:t>
            </w:r>
            <w:r>
              <w:rPr>
                <w:color w:val="000000"/>
                <w:sz w:val="24"/>
                <w:szCs w:val="24"/>
              </w:rPr>
              <w:t>年</w:t>
            </w:r>
            <w:r>
              <w:rPr>
                <w:color w:val="000000"/>
                <w:sz w:val="24"/>
                <w:szCs w:val="24"/>
              </w:rPr>
              <w:t>8</w:t>
            </w:r>
            <w:r>
              <w:rPr>
                <w:color w:val="000000"/>
                <w:sz w:val="24"/>
                <w:szCs w:val="24"/>
              </w:rPr>
              <w:t>月</w:t>
            </w:r>
            <w:r>
              <w:rPr>
                <w:color w:val="000000"/>
                <w:sz w:val="24"/>
                <w:szCs w:val="24"/>
              </w:rPr>
              <w:t>9</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日任银华纯债信用主题债券型证券投资基金（</w:t>
            </w:r>
            <w:r>
              <w:rPr>
                <w:color w:val="000000"/>
                <w:sz w:val="24"/>
                <w:szCs w:val="24"/>
              </w:rPr>
              <w:t>LOF</w:t>
            </w:r>
            <w:r>
              <w:rPr>
                <w:color w:val="000000"/>
                <w:sz w:val="24"/>
                <w:szCs w:val="24"/>
              </w:rPr>
              <w:t>）基金经理，</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1</w:t>
            </w:r>
            <w:r>
              <w:rPr>
                <w:color w:val="000000"/>
                <w:sz w:val="24"/>
                <w:szCs w:val="24"/>
              </w:rPr>
              <w:t>日至</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24</w:t>
            </w:r>
            <w:r>
              <w:rPr>
                <w:color w:val="000000"/>
                <w:sz w:val="24"/>
                <w:szCs w:val="24"/>
              </w:rPr>
              <w:t>日任银华交易型货币市场基金基金经理，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7</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日任银华信用四季红债券型证券投资基金基金经理，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18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日任银华信用季季红债券型证券投资基金基金经理，</w:t>
            </w:r>
            <w:r>
              <w:rPr>
                <w:color w:val="000000"/>
                <w:sz w:val="24"/>
                <w:szCs w:val="24"/>
              </w:rPr>
              <w:t>2014</w:t>
            </w:r>
            <w:r>
              <w:rPr>
                <w:color w:val="000000"/>
                <w:sz w:val="24"/>
                <w:szCs w:val="24"/>
              </w:rPr>
              <w:t>年</w:t>
            </w:r>
            <w:r>
              <w:rPr>
                <w:color w:val="000000"/>
                <w:sz w:val="24"/>
                <w:szCs w:val="24"/>
              </w:rPr>
              <w:t>5</w:t>
            </w:r>
            <w:r>
              <w:rPr>
                <w:color w:val="000000"/>
                <w:sz w:val="24"/>
                <w:szCs w:val="24"/>
              </w:rPr>
              <w:t>月</w:t>
            </w:r>
            <w:r>
              <w:rPr>
                <w:color w:val="000000"/>
                <w:sz w:val="24"/>
                <w:szCs w:val="24"/>
              </w:rPr>
              <w:t>8</w:t>
            </w:r>
            <w:r>
              <w:rPr>
                <w:color w:val="000000"/>
                <w:sz w:val="24"/>
                <w:szCs w:val="24"/>
              </w:rPr>
              <w:t>日至</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7</w:t>
            </w:r>
            <w:r>
              <w:rPr>
                <w:color w:val="000000"/>
                <w:sz w:val="24"/>
                <w:szCs w:val="24"/>
              </w:rPr>
              <w:t>日任银华信用债券型证券投资基金</w:t>
            </w:r>
            <w:r>
              <w:rPr>
                <w:color w:val="000000"/>
                <w:sz w:val="24"/>
                <w:szCs w:val="24"/>
              </w:rPr>
              <w:t>(LOF)</w:t>
            </w:r>
            <w:r>
              <w:rPr>
                <w:color w:val="000000"/>
                <w:sz w:val="24"/>
                <w:szCs w:val="24"/>
              </w:rPr>
              <w:t>基金经理。</w:t>
            </w:r>
            <w:r>
              <w:rPr>
                <w:color w:val="000000"/>
                <w:sz w:val="24"/>
                <w:szCs w:val="24"/>
              </w:rPr>
              <w:t>2016</w:t>
            </w:r>
            <w:r>
              <w:rPr>
                <w:color w:val="000000"/>
                <w:sz w:val="24"/>
                <w:szCs w:val="24"/>
              </w:rPr>
              <w:t>年加入交银施罗德基金管理</w:t>
            </w:r>
            <w:r>
              <w:rPr>
                <w:color w:val="000000"/>
                <w:sz w:val="24"/>
                <w:szCs w:val="24"/>
              </w:rPr>
              <w:t>有限公司。</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日担任交银施罗德丰硕收益债券型证券投资基金的基金经理。</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10</w:t>
            </w:r>
            <w:r>
              <w:rPr>
                <w:color w:val="000000"/>
                <w:sz w:val="24"/>
                <w:szCs w:val="24"/>
              </w:rPr>
              <w:t>日至</w:t>
            </w:r>
            <w:r>
              <w:rPr>
                <w:color w:val="000000"/>
                <w:sz w:val="24"/>
                <w:szCs w:val="24"/>
              </w:rPr>
              <w:t>2019</w:t>
            </w:r>
            <w:r>
              <w:rPr>
                <w:color w:val="000000"/>
                <w:sz w:val="24"/>
                <w:szCs w:val="24"/>
              </w:rPr>
              <w:t>年</w:t>
            </w:r>
            <w:r>
              <w:rPr>
                <w:color w:val="000000"/>
                <w:sz w:val="24"/>
                <w:szCs w:val="24"/>
              </w:rPr>
              <w:t>3</w:t>
            </w:r>
            <w:r>
              <w:rPr>
                <w:color w:val="000000"/>
                <w:sz w:val="24"/>
                <w:szCs w:val="24"/>
              </w:rPr>
              <w:t>月</w:t>
            </w:r>
            <w:r>
              <w:rPr>
                <w:color w:val="000000"/>
                <w:sz w:val="24"/>
                <w:szCs w:val="24"/>
              </w:rPr>
              <w:t>14</w:t>
            </w:r>
            <w:r>
              <w:rPr>
                <w:color w:val="000000"/>
                <w:sz w:val="24"/>
                <w:szCs w:val="24"/>
              </w:rPr>
              <w:t>日担任</w:t>
            </w:r>
            <w:r>
              <w:rPr>
                <w:color w:val="000000"/>
                <w:sz w:val="24"/>
                <w:szCs w:val="24"/>
              </w:rPr>
              <w:lastRenderedPageBreak/>
              <w:t>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F065B" w:rsidRDefault="00E0479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F065B" w:rsidRDefault="00E0479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F065B" w:rsidRDefault="00E0479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w:t>
      </w:r>
      <w:r w:rsidRPr="00414345">
        <w:rPr>
          <w:color w:val="000000"/>
          <w:sz w:val="24"/>
          <w:szCs w:val="24"/>
        </w:rPr>
        <w:lastRenderedPageBreak/>
        <w:t>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F065B" w:rsidRDefault="00E0479B">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债券市场经历从牛陡到熊平的大幅波动，四月在应对国内外疫情，货币政策持续宽松的背景下，债券收益率大幅下行，由于资金持续宽松，短端利率下行幅度大于长端，曲线呈现明显陡峭化。进入五月，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0F065B" w:rsidRDefault="00E0479B">
      <w:pPr>
        <w:spacing w:before="29" w:line="288" w:lineRule="auto"/>
        <w:ind w:firstLineChars="200" w:firstLine="480"/>
        <w:rPr>
          <w:color w:val="000000"/>
          <w:sz w:val="24"/>
          <w:szCs w:val="24"/>
        </w:rPr>
      </w:pPr>
      <w:r>
        <w:rPr>
          <w:color w:val="000000"/>
          <w:sz w:val="24"/>
          <w:szCs w:val="24"/>
        </w:rPr>
        <w:t>报告期内，组合配置了部</w:t>
      </w:r>
      <w:r>
        <w:rPr>
          <w:color w:val="000000"/>
          <w:sz w:val="24"/>
          <w:szCs w:val="24"/>
        </w:rPr>
        <w:t>分中短期利率债品种，同时逐步配置了部分信用债个券品种，并基于对宏观经济和政策的判断，在市场调整中，适当降低组合久期和杠杆水平，并通过精选信用个券，增强组合收益。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操作策略方面，我们继续关注信用债的票息机会，考虑到本产品为定期开放类产品，组合接下来会继续挖掘信用债的投资机会，择机提升组合的杠杆水平，以期提升组合整体静态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1,239,114,500.00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98.60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1,239,114,500.00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98.60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6,052,364.40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0.48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11,559,808.56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0.92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1,256,726,672.96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722,615,500.00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722,615,500.00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71.75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160,839,000.00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355,660,000.00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35.31</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1,239,114,500.00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123.03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F065B">
        <w:trPr>
          <w:jc w:val="center"/>
        </w:trPr>
        <w:tc>
          <w:tcPr>
            <w:tcW w:w="850" w:type="dxa"/>
            <w:vAlign w:val="center"/>
          </w:tcPr>
          <w:p w:rsidR="000F065B" w:rsidRDefault="00E0479B">
            <w:pPr>
              <w:jc w:val="center"/>
            </w:pPr>
            <w:r>
              <w:rPr>
                <w:color w:val="000000"/>
                <w:sz w:val="24"/>
                <w:szCs w:val="24"/>
              </w:rPr>
              <w:t>1</w:t>
            </w:r>
          </w:p>
        </w:tc>
        <w:tc>
          <w:tcPr>
            <w:tcW w:w="1475" w:type="dxa"/>
            <w:vAlign w:val="center"/>
          </w:tcPr>
          <w:p w:rsidR="000F065B" w:rsidRDefault="00E0479B">
            <w:pPr>
              <w:jc w:val="center"/>
            </w:pPr>
            <w:r>
              <w:rPr>
                <w:color w:val="000000"/>
                <w:sz w:val="24"/>
                <w:szCs w:val="24"/>
              </w:rPr>
              <w:t>190202</w:t>
            </w:r>
          </w:p>
        </w:tc>
        <w:tc>
          <w:tcPr>
            <w:tcW w:w="1769" w:type="dxa"/>
            <w:vAlign w:val="center"/>
          </w:tcPr>
          <w:p w:rsidR="000F065B" w:rsidRDefault="00E0479B">
            <w:pPr>
              <w:jc w:val="center"/>
            </w:pPr>
            <w:r>
              <w:rPr>
                <w:color w:val="000000"/>
                <w:sz w:val="24"/>
                <w:szCs w:val="24"/>
              </w:rPr>
              <w:t>19</w:t>
            </w:r>
            <w:r>
              <w:rPr>
                <w:color w:val="000000"/>
                <w:sz w:val="24"/>
                <w:szCs w:val="24"/>
              </w:rPr>
              <w:t>国开</w:t>
            </w:r>
            <w:r>
              <w:rPr>
                <w:color w:val="000000"/>
                <w:sz w:val="24"/>
                <w:szCs w:val="24"/>
              </w:rPr>
              <w:t>02</w:t>
            </w:r>
          </w:p>
        </w:tc>
        <w:tc>
          <w:tcPr>
            <w:tcW w:w="1387" w:type="dxa"/>
            <w:vAlign w:val="center"/>
          </w:tcPr>
          <w:p w:rsidR="000F065B" w:rsidRDefault="00E0479B">
            <w:pPr>
              <w:jc w:val="right"/>
            </w:pPr>
            <w:r>
              <w:rPr>
                <w:color w:val="000000"/>
                <w:sz w:val="24"/>
                <w:szCs w:val="24"/>
              </w:rPr>
              <w:t>4,000,000</w:t>
            </w:r>
          </w:p>
        </w:tc>
        <w:tc>
          <w:tcPr>
            <w:tcW w:w="2150" w:type="dxa"/>
            <w:vAlign w:val="center"/>
          </w:tcPr>
          <w:p w:rsidR="000F065B" w:rsidRDefault="00E0479B">
            <w:pPr>
              <w:jc w:val="right"/>
            </w:pPr>
            <w:r>
              <w:rPr>
                <w:color w:val="000000"/>
                <w:sz w:val="24"/>
                <w:szCs w:val="24"/>
              </w:rPr>
              <w:t>403,600,000.00</w:t>
            </w:r>
          </w:p>
        </w:tc>
        <w:tc>
          <w:tcPr>
            <w:tcW w:w="1237" w:type="dxa"/>
            <w:vAlign w:val="center"/>
          </w:tcPr>
          <w:p w:rsidR="000F065B" w:rsidRDefault="00E0479B">
            <w:pPr>
              <w:jc w:val="right"/>
            </w:pPr>
            <w:r>
              <w:rPr>
                <w:color w:val="000000"/>
                <w:sz w:val="24"/>
                <w:szCs w:val="24"/>
              </w:rPr>
              <w:t>40.07</w:t>
            </w:r>
          </w:p>
        </w:tc>
      </w:tr>
      <w:tr w:rsidR="000F065B">
        <w:trPr>
          <w:jc w:val="center"/>
        </w:trPr>
        <w:tc>
          <w:tcPr>
            <w:tcW w:w="850" w:type="dxa"/>
            <w:vAlign w:val="center"/>
          </w:tcPr>
          <w:p w:rsidR="000F065B" w:rsidRDefault="00E0479B">
            <w:pPr>
              <w:jc w:val="center"/>
            </w:pPr>
            <w:r>
              <w:rPr>
                <w:color w:val="000000"/>
                <w:sz w:val="24"/>
                <w:szCs w:val="24"/>
              </w:rPr>
              <w:t>2</w:t>
            </w:r>
          </w:p>
        </w:tc>
        <w:tc>
          <w:tcPr>
            <w:tcW w:w="1475" w:type="dxa"/>
            <w:vAlign w:val="center"/>
          </w:tcPr>
          <w:p w:rsidR="000F065B" w:rsidRDefault="00E0479B">
            <w:pPr>
              <w:jc w:val="center"/>
            </w:pPr>
            <w:r>
              <w:rPr>
                <w:color w:val="000000"/>
                <w:sz w:val="24"/>
                <w:szCs w:val="24"/>
              </w:rPr>
              <w:t>190207</w:t>
            </w:r>
          </w:p>
        </w:tc>
        <w:tc>
          <w:tcPr>
            <w:tcW w:w="1769" w:type="dxa"/>
            <w:vAlign w:val="center"/>
          </w:tcPr>
          <w:p w:rsidR="000F065B" w:rsidRDefault="00E0479B">
            <w:pPr>
              <w:jc w:val="center"/>
            </w:pPr>
            <w:r>
              <w:rPr>
                <w:color w:val="000000"/>
                <w:sz w:val="24"/>
                <w:szCs w:val="24"/>
              </w:rPr>
              <w:t>19</w:t>
            </w:r>
            <w:r>
              <w:rPr>
                <w:color w:val="000000"/>
                <w:sz w:val="24"/>
                <w:szCs w:val="24"/>
              </w:rPr>
              <w:t>国开</w:t>
            </w:r>
            <w:r>
              <w:rPr>
                <w:color w:val="000000"/>
                <w:sz w:val="24"/>
                <w:szCs w:val="24"/>
              </w:rPr>
              <w:t>07</w:t>
            </w:r>
          </w:p>
        </w:tc>
        <w:tc>
          <w:tcPr>
            <w:tcW w:w="1387" w:type="dxa"/>
            <w:vAlign w:val="center"/>
          </w:tcPr>
          <w:p w:rsidR="000F065B" w:rsidRDefault="00E0479B">
            <w:pPr>
              <w:jc w:val="right"/>
            </w:pPr>
            <w:r>
              <w:rPr>
                <w:color w:val="000000"/>
                <w:sz w:val="24"/>
                <w:szCs w:val="24"/>
              </w:rPr>
              <w:t>3,000,000</w:t>
            </w:r>
          </w:p>
        </w:tc>
        <w:tc>
          <w:tcPr>
            <w:tcW w:w="2150" w:type="dxa"/>
            <w:vAlign w:val="center"/>
          </w:tcPr>
          <w:p w:rsidR="000F065B" w:rsidRDefault="00E0479B">
            <w:pPr>
              <w:jc w:val="right"/>
            </w:pPr>
            <w:r>
              <w:rPr>
                <w:color w:val="000000"/>
                <w:sz w:val="24"/>
                <w:szCs w:val="24"/>
              </w:rPr>
              <w:t>303,510,000.00</w:t>
            </w:r>
          </w:p>
        </w:tc>
        <w:tc>
          <w:tcPr>
            <w:tcW w:w="1237" w:type="dxa"/>
            <w:vAlign w:val="center"/>
          </w:tcPr>
          <w:p w:rsidR="000F065B" w:rsidRDefault="00E0479B">
            <w:pPr>
              <w:jc w:val="right"/>
            </w:pPr>
            <w:r>
              <w:rPr>
                <w:color w:val="000000"/>
                <w:sz w:val="24"/>
                <w:szCs w:val="24"/>
              </w:rPr>
              <w:t>30.13</w:t>
            </w:r>
          </w:p>
        </w:tc>
      </w:tr>
      <w:tr w:rsidR="000F065B">
        <w:trPr>
          <w:jc w:val="center"/>
        </w:trPr>
        <w:tc>
          <w:tcPr>
            <w:tcW w:w="850" w:type="dxa"/>
            <w:vAlign w:val="center"/>
          </w:tcPr>
          <w:p w:rsidR="000F065B" w:rsidRDefault="00E0479B">
            <w:pPr>
              <w:jc w:val="center"/>
            </w:pPr>
            <w:r>
              <w:rPr>
                <w:color w:val="000000"/>
                <w:sz w:val="24"/>
                <w:szCs w:val="24"/>
              </w:rPr>
              <w:t>3</w:t>
            </w:r>
          </w:p>
        </w:tc>
        <w:tc>
          <w:tcPr>
            <w:tcW w:w="1475" w:type="dxa"/>
            <w:vAlign w:val="center"/>
          </w:tcPr>
          <w:p w:rsidR="000F065B" w:rsidRDefault="00E0479B">
            <w:pPr>
              <w:jc w:val="center"/>
            </w:pPr>
            <w:r>
              <w:rPr>
                <w:color w:val="000000"/>
                <w:sz w:val="24"/>
                <w:szCs w:val="24"/>
              </w:rPr>
              <w:t>102000524</w:t>
            </w:r>
          </w:p>
        </w:tc>
        <w:tc>
          <w:tcPr>
            <w:tcW w:w="1769" w:type="dxa"/>
            <w:vAlign w:val="center"/>
          </w:tcPr>
          <w:p w:rsidR="000F065B" w:rsidRDefault="00E0479B">
            <w:pPr>
              <w:jc w:val="center"/>
            </w:pPr>
            <w:r>
              <w:rPr>
                <w:color w:val="000000"/>
                <w:sz w:val="24"/>
                <w:szCs w:val="24"/>
              </w:rPr>
              <w:t>20</w:t>
            </w:r>
            <w:r>
              <w:rPr>
                <w:color w:val="000000"/>
                <w:sz w:val="24"/>
                <w:szCs w:val="24"/>
              </w:rPr>
              <w:t>申通</w:t>
            </w:r>
            <w:r>
              <w:rPr>
                <w:color w:val="000000"/>
                <w:sz w:val="24"/>
                <w:szCs w:val="24"/>
              </w:rPr>
              <w:t>MTN001</w:t>
            </w:r>
          </w:p>
        </w:tc>
        <w:tc>
          <w:tcPr>
            <w:tcW w:w="1387" w:type="dxa"/>
            <w:vAlign w:val="center"/>
          </w:tcPr>
          <w:p w:rsidR="000F065B" w:rsidRDefault="00E0479B">
            <w:pPr>
              <w:jc w:val="right"/>
            </w:pPr>
            <w:r>
              <w:rPr>
                <w:color w:val="000000"/>
                <w:sz w:val="24"/>
                <w:szCs w:val="24"/>
              </w:rPr>
              <w:t>1,000,000</w:t>
            </w:r>
          </w:p>
        </w:tc>
        <w:tc>
          <w:tcPr>
            <w:tcW w:w="2150" w:type="dxa"/>
            <w:vAlign w:val="center"/>
          </w:tcPr>
          <w:p w:rsidR="000F065B" w:rsidRDefault="00E0479B">
            <w:pPr>
              <w:jc w:val="right"/>
            </w:pPr>
            <w:r>
              <w:rPr>
                <w:color w:val="000000"/>
                <w:sz w:val="24"/>
                <w:szCs w:val="24"/>
              </w:rPr>
              <w:t>99,520,000.00</w:t>
            </w:r>
          </w:p>
        </w:tc>
        <w:tc>
          <w:tcPr>
            <w:tcW w:w="1237" w:type="dxa"/>
            <w:vAlign w:val="center"/>
          </w:tcPr>
          <w:p w:rsidR="000F065B" w:rsidRDefault="00E0479B">
            <w:pPr>
              <w:jc w:val="right"/>
            </w:pPr>
            <w:r>
              <w:rPr>
                <w:color w:val="000000"/>
                <w:sz w:val="24"/>
                <w:szCs w:val="24"/>
              </w:rPr>
              <w:t>9.88</w:t>
            </w:r>
          </w:p>
        </w:tc>
      </w:tr>
      <w:tr w:rsidR="000F065B">
        <w:trPr>
          <w:jc w:val="center"/>
        </w:trPr>
        <w:tc>
          <w:tcPr>
            <w:tcW w:w="850" w:type="dxa"/>
            <w:vAlign w:val="center"/>
          </w:tcPr>
          <w:p w:rsidR="000F065B" w:rsidRDefault="00E0479B">
            <w:pPr>
              <w:jc w:val="center"/>
            </w:pPr>
            <w:r>
              <w:rPr>
                <w:color w:val="000000"/>
                <w:sz w:val="24"/>
                <w:szCs w:val="24"/>
              </w:rPr>
              <w:t>4</w:t>
            </w:r>
          </w:p>
        </w:tc>
        <w:tc>
          <w:tcPr>
            <w:tcW w:w="1475" w:type="dxa"/>
            <w:vAlign w:val="center"/>
          </w:tcPr>
          <w:p w:rsidR="000F065B" w:rsidRDefault="00E0479B">
            <w:pPr>
              <w:jc w:val="center"/>
            </w:pPr>
            <w:r>
              <w:rPr>
                <w:color w:val="000000"/>
                <w:sz w:val="24"/>
                <w:szCs w:val="24"/>
              </w:rPr>
              <w:t>163246</w:t>
            </w:r>
          </w:p>
        </w:tc>
        <w:tc>
          <w:tcPr>
            <w:tcW w:w="1769" w:type="dxa"/>
            <w:vAlign w:val="center"/>
          </w:tcPr>
          <w:p w:rsidR="000F065B" w:rsidRDefault="00E0479B">
            <w:pPr>
              <w:jc w:val="center"/>
            </w:pPr>
            <w:r>
              <w:rPr>
                <w:color w:val="000000"/>
                <w:sz w:val="24"/>
                <w:szCs w:val="24"/>
              </w:rPr>
              <w:t>20</w:t>
            </w:r>
            <w:r>
              <w:rPr>
                <w:color w:val="000000"/>
                <w:sz w:val="24"/>
                <w:szCs w:val="24"/>
              </w:rPr>
              <w:t>上国投</w:t>
            </w:r>
          </w:p>
        </w:tc>
        <w:tc>
          <w:tcPr>
            <w:tcW w:w="1387" w:type="dxa"/>
            <w:vAlign w:val="center"/>
          </w:tcPr>
          <w:p w:rsidR="000F065B" w:rsidRDefault="00E0479B">
            <w:pPr>
              <w:jc w:val="right"/>
            </w:pPr>
            <w:r>
              <w:rPr>
                <w:color w:val="000000"/>
                <w:sz w:val="24"/>
                <w:szCs w:val="24"/>
              </w:rPr>
              <w:t>800,000</w:t>
            </w:r>
          </w:p>
        </w:tc>
        <w:tc>
          <w:tcPr>
            <w:tcW w:w="2150" w:type="dxa"/>
            <w:vAlign w:val="center"/>
          </w:tcPr>
          <w:p w:rsidR="000F065B" w:rsidRDefault="00E0479B">
            <w:pPr>
              <w:jc w:val="right"/>
            </w:pPr>
            <w:r>
              <w:rPr>
                <w:color w:val="000000"/>
                <w:sz w:val="24"/>
                <w:szCs w:val="24"/>
              </w:rPr>
              <w:t>79,648,000.00</w:t>
            </w:r>
          </w:p>
        </w:tc>
        <w:tc>
          <w:tcPr>
            <w:tcW w:w="1237" w:type="dxa"/>
            <w:vAlign w:val="center"/>
          </w:tcPr>
          <w:p w:rsidR="000F065B" w:rsidRDefault="00E0479B">
            <w:pPr>
              <w:jc w:val="right"/>
            </w:pPr>
            <w:r>
              <w:rPr>
                <w:color w:val="000000"/>
                <w:sz w:val="24"/>
                <w:szCs w:val="24"/>
              </w:rPr>
              <w:t>7.91</w:t>
            </w:r>
          </w:p>
        </w:tc>
      </w:tr>
      <w:tr w:rsidR="000F065B">
        <w:trPr>
          <w:jc w:val="center"/>
        </w:trPr>
        <w:tc>
          <w:tcPr>
            <w:tcW w:w="850" w:type="dxa"/>
            <w:vAlign w:val="center"/>
          </w:tcPr>
          <w:p w:rsidR="000F065B" w:rsidRDefault="00E0479B">
            <w:pPr>
              <w:jc w:val="center"/>
            </w:pPr>
            <w:r>
              <w:rPr>
                <w:color w:val="000000"/>
                <w:sz w:val="24"/>
                <w:szCs w:val="24"/>
              </w:rPr>
              <w:t>5</w:t>
            </w:r>
          </w:p>
        </w:tc>
        <w:tc>
          <w:tcPr>
            <w:tcW w:w="1475" w:type="dxa"/>
            <w:vAlign w:val="center"/>
          </w:tcPr>
          <w:p w:rsidR="000F065B" w:rsidRDefault="00E0479B">
            <w:pPr>
              <w:jc w:val="center"/>
            </w:pPr>
            <w:r>
              <w:rPr>
                <w:color w:val="000000"/>
                <w:sz w:val="24"/>
                <w:szCs w:val="24"/>
              </w:rPr>
              <w:t>102000765</w:t>
            </w:r>
          </w:p>
        </w:tc>
        <w:tc>
          <w:tcPr>
            <w:tcW w:w="1769" w:type="dxa"/>
            <w:vAlign w:val="center"/>
          </w:tcPr>
          <w:p w:rsidR="000F065B" w:rsidRDefault="00E0479B">
            <w:pPr>
              <w:jc w:val="center"/>
            </w:pPr>
            <w:r>
              <w:rPr>
                <w:color w:val="000000"/>
                <w:sz w:val="24"/>
                <w:szCs w:val="24"/>
              </w:rPr>
              <w:t>20</w:t>
            </w:r>
            <w:r>
              <w:rPr>
                <w:color w:val="000000"/>
                <w:sz w:val="24"/>
                <w:szCs w:val="24"/>
              </w:rPr>
              <w:t>粤建筑</w:t>
            </w:r>
            <w:r>
              <w:rPr>
                <w:color w:val="000000"/>
                <w:sz w:val="24"/>
                <w:szCs w:val="24"/>
              </w:rPr>
              <w:t>MTN002</w:t>
            </w:r>
          </w:p>
        </w:tc>
        <w:tc>
          <w:tcPr>
            <w:tcW w:w="1387" w:type="dxa"/>
            <w:vAlign w:val="center"/>
          </w:tcPr>
          <w:p w:rsidR="000F065B" w:rsidRDefault="00E0479B">
            <w:pPr>
              <w:jc w:val="right"/>
            </w:pPr>
            <w:r>
              <w:rPr>
                <w:color w:val="000000"/>
                <w:sz w:val="24"/>
                <w:szCs w:val="24"/>
              </w:rPr>
              <w:t>600,000</w:t>
            </w:r>
          </w:p>
        </w:tc>
        <w:tc>
          <w:tcPr>
            <w:tcW w:w="2150" w:type="dxa"/>
            <w:vAlign w:val="center"/>
          </w:tcPr>
          <w:p w:rsidR="000F065B" w:rsidRDefault="00E0479B">
            <w:pPr>
              <w:jc w:val="right"/>
            </w:pPr>
            <w:r>
              <w:rPr>
                <w:color w:val="000000"/>
                <w:sz w:val="24"/>
                <w:szCs w:val="24"/>
              </w:rPr>
              <w:t>58,470,000.00</w:t>
            </w:r>
          </w:p>
        </w:tc>
        <w:tc>
          <w:tcPr>
            <w:tcW w:w="1237" w:type="dxa"/>
            <w:vAlign w:val="center"/>
          </w:tcPr>
          <w:p w:rsidR="000F065B" w:rsidRDefault="00E0479B">
            <w:pPr>
              <w:jc w:val="right"/>
            </w:pPr>
            <w:r>
              <w:rPr>
                <w:color w:val="000000"/>
                <w:sz w:val="24"/>
                <w:szCs w:val="24"/>
              </w:rPr>
              <w:t>5.81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C91AA5" w:rsidRPr="00414345" w:rsidRDefault="00C91AA5" w:rsidP="00C15CAC">
      <w:pPr>
        <w:autoSpaceDE w:val="0"/>
        <w:autoSpaceDN w:val="0"/>
        <w:adjustRightInd w:val="0"/>
        <w:spacing w:before="29" w:line="288" w:lineRule="auto"/>
        <w:jc w:val="left"/>
        <w:rPr>
          <w:rFonts w:hint="eastAsia"/>
          <w:color w:val="000000"/>
          <w:sz w:val="24"/>
          <w:szCs w:val="24"/>
        </w:rPr>
      </w:pPr>
      <w:bookmarkStart w:id="0" w:name="_GoBack"/>
      <w:bookmarkEnd w:id="0"/>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6,232.93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11,553,575.63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11,559,808.56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lastRenderedPageBreak/>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999,999,000.00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999,999,000.00</w:t>
            </w:r>
          </w:p>
        </w:tc>
      </w:tr>
    </w:tbl>
    <w:p w:rsidR="000F065B" w:rsidRDefault="00E0479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10,000,000.00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1.00</w:t>
            </w:r>
          </w:p>
        </w:tc>
      </w:tr>
    </w:tbl>
    <w:p w:rsidR="000F065B" w:rsidRDefault="00E0479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D21FFF" w:rsidRPr="00414345" w:rsidRDefault="00D21FFF"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423B9" w:rsidRPr="00414345">
        <w:rPr>
          <w:color w:val="000000"/>
          <w:kern w:val="0"/>
          <w:sz w:val="24"/>
          <w:szCs w:val="24"/>
        </w:rPr>
        <w:t>8</w:t>
      </w:r>
      <w:r w:rsidR="00834E74">
        <w:rPr>
          <w:color w:val="000000"/>
          <w:kern w:val="0"/>
          <w:sz w:val="24"/>
          <w:szCs w:val="24"/>
        </w:rPr>
        <w:t xml:space="preserve">  </w:t>
      </w:r>
      <w:r w:rsidR="003307FE" w:rsidRPr="00414345">
        <w:rPr>
          <w:color w:val="000000"/>
          <w:kern w:val="0"/>
          <w:sz w:val="24"/>
          <w:szCs w:val="24"/>
        </w:rPr>
        <w:t>报告期末</w:t>
      </w:r>
      <w:r w:rsidRPr="00414345">
        <w:rPr>
          <w:color w:val="000000"/>
          <w:kern w:val="0"/>
          <w:sz w:val="24"/>
          <w:szCs w:val="24"/>
        </w:rPr>
        <w:t>发起式基金发起资金持有份额情况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2387"/>
        <w:gridCol w:w="1156"/>
        <w:gridCol w:w="1312"/>
        <w:gridCol w:w="1064"/>
        <w:gridCol w:w="1456"/>
        <w:gridCol w:w="1493"/>
      </w:tblGrid>
      <w:tr w:rsidR="00D21FFF" w:rsidRPr="00414345" w:rsidTr="00AB4DB6">
        <w:trPr>
          <w:trHeight w:val="543"/>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项目</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持有份额总数</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持有份额占基金总份额比例</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发起份额总数</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center"/>
              <w:rPr>
                <w:color w:val="000000"/>
                <w:sz w:val="24"/>
                <w:szCs w:val="24"/>
              </w:rPr>
            </w:pPr>
            <w:r w:rsidRPr="00414345">
              <w:rPr>
                <w:color w:val="000000"/>
                <w:sz w:val="24"/>
                <w:szCs w:val="24"/>
              </w:rPr>
              <w:t>发起份额占基金总份额比例</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widowControl/>
              <w:spacing w:before="29" w:line="288" w:lineRule="auto"/>
              <w:jc w:val="center"/>
              <w:rPr>
                <w:color w:val="000000"/>
                <w:sz w:val="24"/>
                <w:szCs w:val="24"/>
              </w:rPr>
            </w:pPr>
            <w:r w:rsidRPr="00414345">
              <w:rPr>
                <w:color w:val="000000"/>
                <w:sz w:val="24"/>
                <w:szCs w:val="24"/>
              </w:rPr>
              <w:t>发起份额承诺持有期限</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lastRenderedPageBreak/>
              <w:t>基金管理人固有资金</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不少于三年</w:t>
            </w:r>
          </w:p>
        </w:tc>
      </w:tr>
      <w:tr w:rsidR="00D21FFF" w:rsidRPr="00414345" w:rsidTr="00AB4DB6">
        <w:trPr>
          <w:trHeight w:val="790"/>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rPr>
                <w:color w:val="000000"/>
                <w:sz w:val="24"/>
                <w:szCs w:val="24"/>
              </w:rPr>
            </w:pPr>
            <w:r w:rsidRPr="00414345">
              <w:rPr>
                <w:color w:val="000000"/>
                <w:sz w:val="24"/>
                <w:szCs w:val="24"/>
              </w:rPr>
              <w:t>基金管理人高级管理人员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基金经理等人员</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基金管理人股东</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其他</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r w:rsidR="00D21FFF" w:rsidRPr="00414345" w:rsidTr="00AB4DB6">
        <w:trPr>
          <w:jc w:val="center"/>
        </w:trPr>
        <w:tc>
          <w:tcPr>
            <w:tcW w:w="2391"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D21FFF"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1157"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314"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06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10,000,000.00</w:t>
            </w:r>
          </w:p>
        </w:tc>
        <w:tc>
          <w:tcPr>
            <w:tcW w:w="1458"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1.00%</w:t>
            </w:r>
          </w:p>
        </w:tc>
        <w:tc>
          <w:tcPr>
            <w:tcW w:w="1495" w:type="dxa"/>
            <w:tcBorders>
              <w:top w:val="single" w:sz="4" w:space="0" w:color="auto"/>
              <w:left w:val="single" w:sz="4" w:space="0" w:color="auto"/>
              <w:bottom w:val="single" w:sz="4" w:space="0" w:color="auto"/>
              <w:right w:val="single" w:sz="4" w:space="0" w:color="auto"/>
            </w:tcBorders>
            <w:vAlign w:val="center"/>
            <w:hideMark/>
          </w:tcPr>
          <w:p w:rsidR="00D21FFF" w:rsidRPr="00414345" w:rsidRDefault="00722509" w:rsidP="00C15CAC">
            <w:pPr>
              <w:adjustRightInd w:val="0"/>
              <w:snapToGrid w:val="0"/>
              <w:spacing w:before="29" w:line="288" w:lineRule="auto"/>
              <w:jc w:val="right"/>
              <w:rPr>
                <w:kern w:val="0"/>
                <w:sz w:val="24"/>
                <w:szCs w:val="24"/>
              </w:rPr>
            </w:pPr>
            <w:r w:rsidRPr="00414345">
              <w:rPr>
                <w:kern w:val="0"/>
                <w:sz w:val="24"/>
                <w:szCs w:val="24"/>
              </w:rPr>
              <w:t>-</w:t>
            </w:r>
          </w:p>
        </w:tc>
      </w:tr>
    </w:tbl>
    <w:p w:rsidR="005B09FA" w:rsidRPr="00414345" w:rsidRDefault="005B09FA" w:rsidP="00C15CAC">
      <w:pPr>
        <w:autoSpaceDE w:val="0"/>
        <w:autoSpaceDN w:val="0"/>
        <w:adjustRightInd w:val="0"/>
        <w:spacing w:before="29" w:line="288" w:lineRule="auto"/>
        <w:jc w:val="left"/>
        <w:rPr>
          <w:color w:val="000000"/>
          <w:sz w:val="24"/>
          <w:szCs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0F065B">
        <w:tc>
          <w:tcPr>
            <w:tcW w:w="993" w:type="dxa"/>
            <w:vMerge w:val="restart"/>
          </w:tcPr>
          <w:p w:rsidR="000F065B" w:rsidRDefault="000F065B"/>
          <w:p w:rsidR="000F065B" w:rsidRDefault="00E0479B">
            <w:r>
              <w:rPr>
                <w:rFonts w:ascii="宋体" w:hAnsi="宋体" w:hint="eastAsia"/>
                <w:bCs/>
                <w:color w:val="000000"/>
                <w:kern w:val="0"/>
              </w:rPr>
              <w:t>机构</w:t>
            </w:r>
          </w:p>
        </w:tc>
        <w:tc>
          <w:tcPr>
            <w:tcW w:w="992" w:type="dxa"/>
            <w:vAlign w:val="center"/>
          </w:tcPr>
          <w:p w:rsidR="000F065B" w:rsidRDefault="00E0479B">
            <w:pPr>
              <w:jc w:val="center"/>
            </w:pPr>
            <w:r>
              <w:rPr>
                <w:rFonts w:ascii="宋体" w:hAnsi="宋体"/>
                <w:color w:val="000000"/>
                <w:kern w:val="0"/>
              </w:rPr>
              <w:t>1</w:t>
            </w:r>
          </w:p>
        </w:tc>
        <w:tc>
          <w:tcPr>
            <w:tcW w:w="1843" w:type="dxa"/>
            <w:vAlign w:val="center"/>
          </w:tcPr>
          <w:p w:rsidR="000F065B" w:rsidRDefault="00E0479B">
            <w:pPr>
              <w:jc w:val="center"/>
            </w:pPr>
            <w:r>
              <w:rPr>
                <w:rFonts w:ascii="宋体" w:hAnsi="宋体"/>
                <w:color w:val="000000"/>
                <w:kern w:val="0"/>
              </w:rPr>
              <w:t>2020/4/1-2020/6/30</w:t>
            </w:r>
          </w:p>
        </w:tc>
        <w:tc>
          <w:tcPr>
            <w:tcW w:w="851" w:type="dxa"/>
            <w:vAlign w:val="center"/>
          </w:tcPr>
          <w:p w:rsidR="000F065B" w:rsidRDefault="00E0479B">
            <w:pPr>
              <w:jc w:val="center"/>
            </w:pPr>
            <w:r>
              <w:rPr>
                <w:rFonts w:ascii="宋体" w:hAnsi="宋体"/>
                <w:color w:val="000000"/>
                <w:kern w:val="0"/>
              </w:rPr>
              <w:t>989,999,000.00</w:t>
            </w:r>
          </w:p>
        </w:tc>
        <w:tc>
          <w:tcPr>
            <w:tcW w:w="850" w:type="dxa"/>
            <w:vAlign w:val="center"/>
          </w:tcPr>
          <w:p w:rsidR="000F065B" w:rsidRDefault="00E0479B">
            <w:pPr>
              <w:jc w:val="center"/>
            </w:pPr>
            <w:r>
              <w:rPr>
                <w:rFonts w:ascii="宋体" w:hAnsi="宋体"/>
                <w:color w:val="000000"/>
                <w:kern w:val="0"/>
              </w:rPr>
              <w:t>-</w:t>
            </w:r>
          </w:p>
        </w:tc>
        <w:tc>
          <w:tcPr>
            <w:tcW w:w="1134" w:type="dxa"/>
            <w:vAlign w:val="center"/>
          </w:tcPr>
          <w:p w:rsidR="000F065B" w:rsidRDefault="00E0479B">
            <w:pPr>
              <w:jc w:val="center"/>
            </w:pPr>
            <w:r>
              <w:rPr>
                <w:rFonts w:ascii="宋体" w:hAnsi="宋体"/>
                <w:color w:val="000000"/>
                <w:kern w:val="0"/>
              </w:rPr>
              <w:t>-</w:t>
            </w:r>
          </w:p>
        </w:tc>
        <w:tc>
          <w:tcPr>
            <w:tcW w:w="1419" w:type="dxa"/>
            <w:vAlign w:val="center"/>
          </w:tcPr>
          <w:p w:rsidR="000F065B" w:rsidRDefault="00E0479B">
            <w:pPr>
              <w:jc w:val="center"/>
            </w:pPr>
            <w:r>
              <w:rPr>
                <w:rFonts w:ascii="宋体" w:hAnsi="宋体"/>
                <w:color w:val="000000"/>
                <w:kern w:val="0"/>
              </w:rPr>
              <w:t>989,999,000.00</w:t>
            </w:r>
          </w:p>
        </w:tc>
        <w:tc>
          <w:tcPr>
            <w:tcW w:w="1130" w:type="dxa"/>
            <w:vAlign w:val="center"/>
          </w:tcPr>
          <w:p w:rsidR="000F065B" w:rsidRDefault="00E0479B">
            <w:pPr>
              <w:jc w:val="center"/>
            </w:pPr>
            <w:r>
              <w:rPr>
                <w:rFonts w:ascii="宋体" w:hAnsi="宋体"/>
                <w:color w:val="000000"/>
                <w:kern w:val="0"/>
              </w:rPr>
              <w:t>99.00%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F065B" w:rsidRDefault="00E0479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、中国证监会准予交银施罗德裕坤纯债一年定期开放债券型发起式证券投资基金募集注册的文件；</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、《交银施罗德裕坤纯债一年定期开放债券型发起式证券投资基金基金合同》；</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、《交银施罗德裕坤纯债一年定期开放债券型发起式证券投资基金招募说明书》；</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、《交银施罗德裕坤纯债一年定期开放债券型发起式证券投资基金托管协议》；</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、关于申请募集注册交银施罗德裕坤纯债一年定期开放债券型发起式证券投资基金的法律意见书；</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F065B" w:rsidRDefault="00E0479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、报告期内交银施罗德裕坤纯债一年定期开放债券型发起式证券投资基金在指定报刊上各项公告的原稿。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F065B" w:rsidRDefault="00E0479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79B" w:rsidRDefault="00E0479B" w:rsidP="00876D65">
      <w:r>
        <w:separator/>
      </w:r>
    </w:p>
  </w:endnote>
  <w:endnote w:type="continuationSeparator" w:id="0">
    <w:p w:rsidR="00E0479B" w:rsidRDefault="00E0479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C91AA5">
      <w:rPr>
        <w:noProof/>
        <w:kern w:val="0"/>
        <w:szCs w:val="21"/>
      </w:rPr>
      <w:t>13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C91AA5">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79B" w:rsidRDefault="00E0479B" w:rsidP="00876D65">
      <w:r>
        <w:separator/>
      </w:r>
    </w:p>
  </w:footnote>
  <w:footnote w:type="continuationSeparator" w:id="0">
    <w:p w:rsidR="00E0479B" w:rsidRDefault="00E0479B"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交银施罗德裕坤纯债一年定期开放债券型发起式证券投资基金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065B"/>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AA5"/>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79B"/>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A091E-E34A-4389-9676-E3FBF4A3D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1830</TotalTime>
  <Pages>1</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曹国良</cp:lastModifiedBy>
  <cp:revision>602</cp:revision>
  <dcterms:created xsi:type="dcterms:W3CDTF">2012-10-16T06:07:00Z</dcterms:created>
  <dcterms:modified xsi:type="dcterms:W3CDTF">2020-07-10T07:10:00Z</dcterms:modified>
</cp:coreProperties>
</file>