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交银施罗德趋势优先混合型证券投资基金</w:t>
      </w:r>
    </w:p>
    <w:p w:rsidP="00C15CAC" w:rsidR="002279D3" w:rsidRDefault="002279D3" w:rsidRPr="0081286B">
      <w:pPr>
        <w:spacing w:before="29" w:line="288" w:lineRule="auto"/>
        <w:jc w:val="center"/>
        <w:rPr>
          <w:b/>
          <w:sz w:val="36"/>
          <w:szCs w:val="36"/>
        </w:rPr>
      </w:pPr>
      <w:r w:rsidRPr="0081286B">
        <w:rPr>
          <w:b/>
          <w:sz w:val="36"/>
          <w:szCs w:val="36"/>
        </w:rPr>
        <w:t>2020年第2季度报告</w:t>
      </w:r>
    </w:p>
    <w:p w:rsidP="00C15CAC" w:rsidR="004061AC" w:rsidRDefault="00655CD8" w:rsidRPr="0081286B">
      <w:pPr>
        <w:spacing w:before="29" w:line="288" w:lineRule="auto"/>
        <w:jc w:val="center"/>
        <w:rPr>
          <w:b/>
          <w:sz w:val="36"/>
          <w:szCs w:val="36"/>
        </w:rPr>
      </w:pPr>
      <w:r w:rsidRPr="0081286B">
        <w:rPr>
          <w:b/>
          <w:sz w:val="36"/>
          <w:szCs w:val="36"/>
        </w:rPr>
        <w:t>2020年6月30日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中国工商银行股份有限公司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二〇二〇年七月二十一日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基金托管人中国工商银行股份有限公司根据本基金合同规定，于2020年7月20日复核了本报告中的财务指标、净值表现和投资组合报告等内容，保证复核内容不存在虚假记载、误导性陈述或者重大遗漏。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本报告期自2020年4月1日起至6月30日止。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交银趋势混合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519702</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2922"/>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519702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type="dxa" w:w="29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519703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2010年12月22日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288,341,994.46</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本基金力图通过把握中国人口变化的重大趋势，精选受益其中的优势行业和个股，在控制风险并保持基金资产良好的流动性的前提下，力争实现基金资产的长期稳定增值。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未来人口趋势的重大转变对国民消费倾向、国家收入分配政策、产业升级和区域发展方向等战略决策的重要影响以及其中所蕴涵的行业投资机会的基础上，挖掘受益其中的优势行业，精选个股，以谋求超额收益。</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75%×沪深300指数收益率+25%×中证综合债券指数收益率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(2020年4月1日-2020年6月30日)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70,909,598.03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104,180,988.95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0.4904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591,432,361.60</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2.051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30.72%</w:t>
            </w:r>
          </w:p>
        </w:tc>
        <w:tc>
          <w:tcPr>
            <w:vAlign w:val="center"/>
          </w:tcPr>
          <w:p>
            <w:pPr>
              <w:jc w:val="center"/>
            </w:pPr>
            <w:r>
              <w:rPr>
                <w:color w:val="000000"/>
                <w:sz w:val="24"/>
                <w:szCs w:val="24"/>
              </w:rPr>
              <w:t>1.02%</w:t>
            </w:r>
          </w:p>
        </w:tc>
        <w:tc>
          <w:tcPr>
            <w:vAlign w:val="center"/>
          </w:tcPr>
          <w:p>
            <w:pPr>
              <w:jc w:val="center"/>
            </w:pPr>
            <w:r>
              <w:rPr>
                <w:color w:val="000000"/>
                <w:sz w:val="24"/>
                <w:szCs w:val="24"/>
              </w:rPr>
              <w:t>9.55%</w:t>
            </w:r>
          </w:p>
        </w:tc>
        <w:tc>
          <w:tcPr>
            <w:vAlign w:val="center"/>
          </w:tcPr>
          <w:p>
            <w:pPr>
              <w:jc w:val="center"/>
            </w:pPr>
            <w:r>
              <w:rPr>
                <w:color w:val="000000"/>
                <w:sz w:val="24"/>
                <w:szCs w:val="24"/>
              </w:rPr>
              <w:t>0.67%</w:t>
            </w:r>
          </w:p>
        </w:tc>
        <w:tc>
          <w:tcPr>
            <w:vAlign w:val="center"/>
          </w:tcPr>
          <w:p>
            <w:pPr>
              <w:jc w:val="center"/>
            </w:pPr>
            <w:r>
              <w:rPr>
                <w:color w:val="000000"/>
                <w:sz w:val="24"/>
                <w:szCs w:val="24"/>
              </w:rPr>
              <w:t>21.17%</w:t>
            </w:r>
          </w:p>
        </w:tc>
        <w:tc>
          <w:tcPr>
            <w:vAlign w:val="center"/>
          </w:tcPr>
          <w:p>
            <w:pPr>
              <w:jc w:val="center"/>
            </w:pPr>
            <w:r>
              <w:rPr>
                <w:color w:val="000000"/>
                <w:sz w:val="24"/>
                <w:szCs w:val="24"/>
              </w:rPr>
              <w:t>0.35%</w:t>
            </w:r>
          </w:p>
        </w:tc>
      </w:tr>
      <w:tr>
        <w:tc>
          <w:tcPr>
            <w:vAlign w:val="center"/>
          </w:tcPr>
          <w:p>
            <w:pPr>
              <w:jc w:val="left"/>
            </w:pPr>
            <w:r>
              <w:rPr>
                <w:color w:val="000000"/>
                <w:sz w:val="24"/>
                <w:szCs w:val="24"/>
              </w:rPr>
              <w:t>过去六个月</w:t>
            </w:r>
          </w:p>
        </w:tc>
        <w:tc>
          <w:tcPr>
            <w:vAlign w:val="center"/>
          </w:tcPr>
          <w:p>
            <w:pPr>
              <w:jc w:val="center"/>
            </w:pPr>
            <w:r>
              <w:rPr>
                <w:color w:val="000000"/>
                <w:sz w:val="24"/>
                <w:szCs w:val="24"/>
              </w:rPr>
              <w:t>23.85%</w:t>
            </w:r>
          </w:p>
        </w:tc>
        <w:tc>
          <w:tcPr>
            <w:vAlign w:val="center"/>
          </w:tcPr>
          <w:p>
            <w:pPr>
              <w:jc w:val="center"/>
            </w:pPr>
            <w:r>
              <w:rPr>
                <w:color w:val="000000"/>
                <w:sz w:val="24"/>
                <w:szCs w:val="24"/>
              </w:rPr>
              <w:t>1.61%</w:t>
            </w:r>
          </w:p>
        </w:tc>
        <w:tc>
          <w:tcPr>
            <w:vAlign w:val="center"/>
          </w:tcPr>
          <w:p>
            <w:pPr>
              <w:jc w:val="center"/>
            </w:pPr>
            <w:r>
              <w:rPr>
                <w:color w:val="000000"/>
                <w:sz w:val="24"/>
                <w:szCs w:val="24"/>
              </w:rPr>
              <w:t>2.09%</w:t>
            </w:r>
          </w:p>
        </w:tc>
        <w:tc>
          <w:tcPr>
            <w:vAlign w:val="center"/>
          </w:tcPr>
          <w:p>
            <w:pPr>
              <w:jc w:val="center"/>
            </w:pPr>
            <w:r>
              <w:rPr>
                <w:color w:val="000000"/>
                <w:sz w:val="24"/>
                <w:szCs w:val="24"/>
              </w:rPr>
              <w:t>1.13%</w:t>
            </w:r>
          </w:p>
        </w:tc>
        <w:tc>
          <w:tcPr>
            <w:vAlign w:val="center"/>
          </w:tcPr>
          <w:p>
            <w:pPr>
              <w:jc w:val="center"/>
            </w:pPr>
            <w:r>
              <w:rPr>
                <w:color w:val="000000"/>
                <w:sz w:val="24"/>
                <w:szCs w:val="24"/>
              </w:rPr>
              <w:t>21.76%</w:t>
            </w:r>
          </w:p>
        </w:tc>
        <w:tc>
          <w:tcPr>
            <w:vAlign w:val="center"/>
          </w:tcPr>
          <w:p>
            <w:pPr>
              <w:jc w:val="center"/>
            </w:pPr>
            <w:r>
              <w:rPr>
                <w:color w:val="000000"/>
                <w:sz w:val="24"/>
                <w:szCs w:val="24"/>
              </w:rPr>
              <w:t>0.48%</w:t>
            </w:r>
          </w:p>
        </w:tc>
      </w:tr>
      <w:tr>
        <w:tc>
          <w:tcPr>
            <w:vAlign w:val="center"/>
          </w:tcPr>
          <w:p>
            <w:pPr>
              <w:jc w:val="left"/>
            </w:pPr>
            <w:r>
              <w:rPr>
                <w:color w:val="000000"/>
                <w:sz w:val="24"/>
                <w:szCs w:val="24"/>
              </w:rPr>
              <w:t>过去一年</w:t>
            </w:r>
          </w:p>
        </w:tc>
        <w:tc>
          <w:tcPr>
            <w:vAlign w:val="center"/>
          </w:tcPr>
          <w:p>
            <w:pPr>
              <w:jc w:val="center"/>
            </w:pPr>
            <w:r>
              <w:rPr>
                <w:color w:val="000000"/>
                <w:sz w:val="24"/>
                <w:szCs w:val="24"/>
              </w:rPr>
              <w:t>36.73%</w:t>
            </w:r>
          </w:p>
        </w:tc>
        <w:tc>
          <w:tcPr>
            <w:vAlign w:val="center"/>
          </w:tcPr>
          <w:p>
            <w:pPr>
              <w:jc w:val="center"/>
            </w:pPr>
            <w:r>
              <w:rPr>
                <w:color w:val="000000"/>
                <w:sz w:val="24"/>
                <w:szCs w:val="24"/>
              </w:rPr>
              <w:t>1.36%</w:t>
            </w:r>
          </w:p>
        </w:tc>
        <w:tc>
          <w:tcPr>
            <w:vAlign w:val="center"/>
          </w:tcPr>
          <w:p>
            <w:pPr>
              <w:jc w:val="center"/>
            </w:pPr>
            <w:r>
              <w:rPr>
                <w:color w:val="000000"/>
                <w:sz w:val="24"/>
                <w:szCs w:val="24"/>
              </w:rPr>
              <w:t>8.26%</w:t>
            </w:r>
          </w:p>
        </w:tc>
        <w:tc>
          <w:tcPr>
            <w:vAlign w:val="center"/>
          </w:tcPr>
          <w:p>
            <w:pPr>
              <w:jc w:val="center"/>
            </w:pPr>
            <w:r>
              <w:rPr>
                <w:color w:val="000000"/>
                <w:sz w:val="24"/>
                <w:szCs w:val="24"/>
              </w:rPr>
              <w:t>0.91%</w:t>
            </w:r>
          </w:p>
        </w:tc>
        <w:tc>
          <w:tcPr>
            <w:vAlign w:val="center"/>
          </w:tcPr>
          <w:p>
            <w:pPr>
              <w:jc w:val="center"/>
            </w:pPr>
            <w:r>
              <w:rPr>
                <w:color w:val="000000"/>
                <w:sz w:val="24"/>
                <w:szCs w:val="24"/>
              </w:rPr>
              <w:t>28.47%</w:t>
            </w:r>
          </w:p>
        </w:tc>
        <w:tc>
          <w:tcPr>
            <w:vAlign w:val="center"/>
          </w:tcPr>
          <w:p>
            <w:pPr>
              <w:jc w:val="center"/>
            </w:pPr>
            <w:r>
              <w:rPr>
                <w:color w:val="000000"/>
                <w:sz w:val="24"/>
                <w:szCs w:val="24"/>
              </w:rPr>
              <w:t>0.45%</w:t>
            </w:r>
          </w:p>
        </w:tc>
      </w:tr>
      <w:tr>
        <w:tc>
          <w:tcPr>
            <w:vAlign w:val="center"/>
          </w:tcPr>
          <w:p>
            <w:pPr>
              <w:jc w:val="left"/>
            </w:pPr>
            <w:r>
              <w:rPr>
                <w:color w:val="000000"/>
                <w:sz w:val="24"/>
                <w:szCs w:val="24"/>
              </w:rPr>
              <w:t>过去三年</w:t>
            </w:r>
          </w:p>
        </w:tc>
        <w:tc>
          <w:tcPr>
            <w:vAlign w:val="center"/>
          </w:tcPr>
          <w:p>
            <w:pPr>
              <w:jc w:val="center"/>
            </w:pPr>
            <w:r>
              <w:rPr>
                <w:color w:val="000000"/>
                <w:sz w:val="24"/>
                <w:szCs w:val="24"/>
              </w:rPr>
              <w:t>66.07%</w:t>
            </w:r>
          </w:p>
        </w:tc>
        <w:tc>
          <w:tcPr>
            <w:vAlign w:val="center"/>
          </w:tcPr>
          <w:p>
            <w:pPr>
              <w:jc w:val="center"/>
            </w:pPr>
            <w:r>
              <w:rPr>
                <w:color w:val="000000"/>
                <w:sz w:val="24"/>
                <w:szCs w:val="24"/>
              </w:rPr>
              <w:t>1.45%</w:t>
            </w:r>
          </w:p>
        </w:tc>
        <w:tc>
          <w:tcPr>
            <w:vAlign w:val="center"/>
          </w:tcPr>
          <w:p>
            <w:pPr>
              <w:jc w:val="center"/>
            </w:pPr>
            <w:r>
              <w:rPr>
                <w:color w:val="000000"/>
                <w:sz w:val="24"/>
                <w:szCs w:val="24"/>
              </w:rPr>
              <w:t>15.45%</w:t>
            </w:r>
          </w:p>
        </w:tc>
        <w:tc>
          <w:tcPr>
            <w:vAlign w:val="center"/>
          </w:tcPr>
          <w:p>
            <w:pPr>
              <w:jc w:val="center"/>
            </w:pPr>
            <w:r>
              <w:rPr>
                <w:color w:val="000000"/>
                <w:sz w:val="24"/>
                <w:szCs w:val="24"/>
              </w:rPr>
              <w:t>0.94%</w:t>
            </w:r>
          </w:p>
        </w:tc>
        <w:tc>
          <w:tcPr>
            <w:vAlign w:val="center"/>
          </w:tcPr>
          <w:p>
            <w:pPr>
              <w:jc w:val="center"/>
            </w:pPr>
            <w:r>
              <w:rPr>
                <w:color w:val="000000"/>
                <w:sz w:val="24"/>
                <w:szCs w:val="24"/>
              </w:rPr>
              <w:t>50.62%</w:t>
            </w:r>
          </w:p>
        </w:tc>
        <w:tc>
          <w:tcPr>
            <w:vAlign w:val="center"/>
          </w:tcPr>
          <w:p>
            <w:pPr>
              <w:jc w:val="center"/>
            </w:pPr>
            <w:r>
              <w:rPr>
                <w:color w:val="000000"/>
                <w:sz w:val="24"/>
                <w:szCs w:val="24"/>
              </w:rPr>
              <w:t>0.51%</w:t>
            </w:r>
          </w:p>
        </w:tc>
      </w:tr>
      <w:tr>
        <w:tc>
          <w:tcPr>
            <w:vAlign w:val="center"/>
          </w:tcPr>
          <w:p>
            <w:pPr>
              <w:jc w:val="left"/>
            </w:pPr>
            <w:r>
              <w:rPr>
                <w:color w:val="000000"/>
                <w:sz w:val="24"/>
                <w:szCs w:val="24"/>
              </w:rPr>
              <w:t>过去五年</w:t>
            </w:r>
          </w:p>
        </w:tc>
        <w:tc>
          <w:tcPr>
            <w:vAlign w:val="center"/>
          </w:tcPr>
          <w:p>
            <w:pPr>
              <w:jc w:val="center"/>
            </w:pPr>
            <w:r>
              <w:rPr>
                <w:color w:val="000000"/>
                <w:sz w:val="24"/>
                <w:szCs w:val="24"/>
              </w:rPr>
              <w:t>96.90%</w:t>
            </w:r>
          </w:p>
        </w:tc>
        <w:tc>
          <w:tcPr>
            <w:vAlign w:val="center"/>
          </w:tcPr>
          <w:p>
            <w:pPr>
              <w:jc w:val="center"/>
            </w:pPr>
            <w:r>
              <w:rPr>
                <w:color w:val="000000"/>
                <w:sz w:val="24"/>
                <w:szCs w:val="24"/>
              </w:rPr>
              <w:t>1.65%</w:t>
            </w:r>
          </w:p>
        </w:tc>
        <w:tc>
          <w:tcPr>
            <w:vAlign w:val="center"/>
          </w:tcPr>
          <w:p>
            <w:pPr>
              <w:jc w:val="center"/>
            </w:pPr>
            <w:r>
              <w:rPr>
                <w:color w:val="000000"/>
                <w:sz w:val="24"/>
                <w:szCs w:val="24"/>
              </w:rPr>
              <w:t>2.44%</w:t>
            </w:r>
          </w:p>
        </w:tc>
        <w:tc>
          <w:tcPr>
            <w:vAlign w:val="center"/>
          </w:tcPr>
          <w:p>
            <w:pPr>
              <w:jc w:val="center"/>
            </w:pPr>
            <w:r>
              <w:rPr>
                <w:color w:val="000000"/>
                <w:sz w:val="24"/>
                <w:szCs w:val="24"/>
              </w:rPr>
              <w:t>1.08%</w:t>
            </w:r>
          </w:p>
        </w:tc>
        <w:tc>
          <w:tcPr>
            <w:vAlign w:val="center"/>
          </w:tcPr>
          <w:p>
            <w:pPr>
              <w:jc w:val="center"/>
            </w:pPr>
            <w:r>
              <w:rPr>
                <w:color w:val="000000"/>
                <w:sz w:val="24"/>
                <w:szCs w:val="24"/>
              </w:rPr>
              <w:t>94.46%</w:t>
            </w:r>
          </w:p>
        </w:tc>
        <w:tc>
          <w:tcPr>
            <w:vAlign w:val="center"/>
          </w:tcPr>
          <w:p>
            <w:pPr>
              <w:jc w:val="center"/>
            </w:pPr>
            <w:r>
              <w:rPr>
                <w:color w:val="000000"/>
                <w:sz w:val="24"/>
                <w:szCs w:val="24"/>
              </w:rPr>
              <w:t>0.57%</w:t>
            </w:r>
          </w:p>
        </w:tc>
      </w:tr>
      <w:tr>
        <w:tc>
          <w:tcPr>
            <w:vAlign w:val="center"/>
          </w:tcPr>
          <w:p>
            <w:pPr>
              <w:jc w:val="left"/>
            </w:pPr>
            <w:r>
              <w:rPr>
                <w:color w:val="000000"/>
                <w:sz w:val="24"/>
                <w:szCs w:val="24"/>
              </w:rPr>
              <w:t>自基金合同生效起至今</w:t>
            </w:r>
          </w:p>
        </w:tc>
        <w:tc>
          <w:tcPr>
            <w:vAlign w:val="center"/>
          </w:tcPr>
          <w:p>
            <w:pPr>
              <w:jc w:val="center"/>
            </w:pPr>
            <w:r>
              <w:rPr>
                <w:color w:val="000000"/>
                <w:sz w:val="24"/>
                <w:szCs w:val="24"/>
              </w:rPr>
              <w:t>197.91%</w:t>
            </w:r>
          </w:p>
        </w:tc>
        <w:tc>
          <w:tcPr>
            <w:vAlign w:val="center"/>
          </w:tcPr>
          <w:p>
            <w:pPr>
              <w:jc w:val="center"/>
            </w:pPr>
            <w:r>
              <w:rPr>
                <w:color w:val="000000"/>
                <w:sz w:val="24"/>
                <w:szCs w:val="24"/>
              </w:rPr>
              <w:t>1.52%</w:t>
            </w:r>
          </w:p>
        </w:tc>
        <w:tc>
          <w:tcPr>
            <w:vAlign w:val="center"/>
          </w:tcPr>
          <w:p>
            <w:pPr>
              <w:jc w:val="center"/>
            </w:pPr>
            <w:r>
              <w:rPr>
                <w:color w:val="000000"/>
                <w:sz w:val="24"/>
                <w:szCs w:val="24"/>
              </w:rPr>
              <w:t>39.75%</w:t>
            </w:r>
          </w:p>
        </w:tc>
        <w:tc>
          <w:tcPr>
            <w:vAlign w:val="center"/>
          </w:tcPr>
          <w:p>
            <w:pPr>
              <w:jc w:val="center"/>
            </w:pPr>
            <w:r>
              <w:rPr>
                <w:color w:val="000000"/>
                <w:sz w:val="24"/>
                <w:szCs w:val="24"/>
              </w:rPr>
              <w:t>1.08%</w:t>
            </w:r>
          </w:p>
        </w:tc>
        <w:tc>
          <w:tcPr>
            <w:vAlign w:val="center"/>
          </w:tcPr>
          <w:p>
            <w:pPr>
              <w:jc w:val="center"/>
            </w:pPr>
            <w:r>
              <w:rPr>
                <w:color w:val="000000"/>
                <w:sz w:val="24"/>
                <w:szCs w:val="24"/>
              </w:rPr>
              <w:t>158.16%</w:t>
            </w:r>
          </w:p>
        </w:tc>
        <w:tc>
          <w:tcPr>
            <w:vAlign w:val="center"/>
          </w:tcPr>
          <w:p>
            <w:pPr>
              <w:jc w:val="center"/>
            </w:pPr>
            <w:r>
              <w:rPr>
                <w:color w:val="000000"/>
                <w:sz w:val="24"/>
                <w:szCs w:val="24"/>
              </w:rPr>
              <w:t>0.44%</w:t>
            </w:r>
          </w:p>
        </w:tc>
      </w:tr>
    </w:tbl>
    <w:p w:rsidP="00C15CAC" w:rsidR="004061AC" w:rsidRDefault="003F39DF"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本基金业绩比较基准自2015年10月1日起，由“75%×沪深300指数收益率+25%×中信标普全债指数收益率”变更为“75%×沪深300指数收益率+25%×中证综合债券指数收益率”，3.2.2同。详情见本基金管理人于2015年9月28日发布的《交银施罗德基金管理有限公司关于旗下部分基金业绩比较基准变更并修改基金合同相关内容的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交银施罗德趋势优先混合型证券投资基金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2010年12月22日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2020年6月30日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杨金金</w:t>
            </w:r>
          </w:p>
        </w:tc>
        <w:tc>
          <w:tcPr>
            <w:vAlign w:val="center"/>
          </w:tcPr>
          <w:p>
            <w:pPr>
              <w:jc w:val="center"/>
            </w:pPr>
            <w:r>
              <w:rPr>
                <w:color w:val="000000"/>
                <w:sz w:val="24"/>
                <w:szCs w:val="24"/>
              </w:rPr>
              <w:t>交银趋势混合的基金经理</w:t>
            </w:r>
          </w:p>
        </w:tc>
        <w:tc>
          <w:tcPr>
            <w:vAlign w:val="center"/>
          </w:tcPr>
          <w:p>
            <w:pPr>
              <w:jc w:val="center"/>
            </w:pPr>
            <w:r>
              <w:rPr>
                <w:color w:val="000000"/>
                <w:sz w:val="24"/>
                <w:szCs w:val="24"/>
              </w:rPr>
              <w:t>2020-05-06</w:t>
            </w:r>
          </w:p>
        </w:tc>
        <w:tc>
          <w:tcPr>
            <w:vAlign w:val="center"/>
          </w:tcPr>
          <w:p>
            <w:pPr>
              <w:jc w:val="center"/>
            </w:pPr>
            <w:r>
              <w:rPr>
                <w:color w:val="000000"/>
                <w:sz w:val="24"/>
                <w:szCs w:val="24"/>
              </w:rPr>
              <w:t>-</w:t>
            </w:r>
          </w:p>
        </w:tc>
        <w:tc>
          <w:tcPr>
            <w:vAlign w:val="center"/>
          </w:tcPr>
          <w:p>
            <w:pPr>
              <w:jc w:val="center"/>
            </w:pPr>
            <w:r>
              <w:rPr>
                <w:color w:val="000000"/>
                <w:sz w:val="24"/>
                <w:szCs w:val="24"/>
              </w:rPr>
              <w:t>6年</w:t>
            </w:r>
          </w:p>
        </w:tc>
        <w:tc>
          <w:tcPr>
            <w:vAlign w:val="center"/>
          </w:tcPr>
          <w:p>
            <w:pPr>
              <w:jc w:val="both"/>
            </w:pPr>
            <w:r>
              <w:rPr>
                <w:color w:val="000000"/>
                <w:sz w:val="24"/>
                <w:szCs w:val="24"/>
              </w:rPr>
              <w:t>杨金金先生。复旦大学金融学硕士、华东理工大学材料工程学士。历任长江证券研究部高级分析师，华泰柏瑞基金公司研究员。2017年加入交银施罗德基金管理有限公司，历任行业分析师。</w:t>
            </w:r>
          </w:p>
        </w:tc>
      </w:tr>
      <w:tr>
        <w:tc>
          <w:tcPr>
            <w:vAlign w:val="center"/>
          </w:tcPr>
          <w:p>
            <w:pPr>
              <w:jc w:val="center"/>
            </w:pPr>
            <w:r>
              <w:rPr>
                <w:color w:val="000000"/>
                <w:sz w:val="24"/>
                <w:szCs w:val="24"/>
              </w:rPr>
              <w:t>韩威俊</w:t>
            </w:r>
          </w:p>
        </w:tc>
        <w:tc>
          <w:tcPr>
            <w:vAlign w:val="center"/>
          </w:tcPr>
          <w:p>
            <w:pPr>
              <w:jc w:val="center"/>
            </w:pPr>
            <w:r>
              <w:rPr>
                <w:color w:val="000000"/>
                <w:sz w:val="24"/>
                <w:szCs w:val="24"/>
              </w:rPr>
              <w:t>交银策略回报灵活配置混合、交银消费新驱动股票、交银股息优化混合、交银品质升级混合的基金经理</w:t>
            </w:r>
          </w:p>
        </w:tc>
        <w:tc>
          <w:tcPr>
            <w:vAlign w:val="center"/>
          </w:tcPr>
          <w:p>
            <w:pPr>
              <w:jc w:val="center"/>
            </w:pPr>
            <w:r>
              <w:rPr>
                <w:color w:val="000000"/>
                <w:sz w:val="24"/>
                <w:szCs w:val="24"/>
              </w:rPr>
              <w:t>2017-06-03</w:t>
            </w:r>
          </w:p>
        </w:tc>
        <w:tc>
          <w:tcPr>
            <w:vAlign w:val="center"/>
          </w:tcPr>
          <w:p>
            <w:pPr>
              <w:jc w:val="center"/>
            </w:pPr>
            <w:r>
              <w:rPr>
                <w:color w:val="000000"/>
                <w:sz w:val="24"/>
                <w:szCs w:val="24"/>
              </w:rPr>
              <w:t>2020-05-27</w:t>
            </w:r>
          </w:p>
        </w:tc>
        <w:tc>
          <w:tcPr>
            <w:vAlign w:val="center"/>
          </w:tcPr>
          <w:p>
            <w:pPr>
              <w:jc w:val="center"/>
            </w:pPr>
            <w:r>
              <w:rPr>
                <w:color w:val="000000"/>
                <w:sz w:val="24"/>
                <w:szCs w:val="24"/>
              </w:rPr>
              <w:t>14年</w:t>
            </w:r>
          </w:p>
        </w:tc>
        <w:tc>
          <w:tcPr>
            <w:vAlign w:val="center"/>
          </w:tcPr>
          <w:p>
            <w:pPr>
              <w:jc w:val="both"/>
            </w:pPr>
            <w:r>
              <w:rPr>
                <w:color w:val="000000"/>
                <w:sz w:val="24"/>
                <w:szCs w:val="24"/>
              </w:rPr>
              <w:t>韩威俊先生，上海财经大学金融学硕士。历任申银万国证券研究所助理分析师、北京鼎天资产管理有限公司董事助理、申银万国证券研究所行业分析师、信诚基金管理有限公司投资分析师。2013年加入交银施罗德基金管理有限公司，历任行业分析师。2017年6月3日至2020年5月26日担任交银施罗德趋势优先混合型证券投资基金的基金经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回顾2020年二季度，随着新冠疫情在国内得到控制，国内复工复产顺利，经济呈现有序回升，而随着疫情在全球蔓延，导致全球经济衰退迹象明显，在此背景下以美国为代表的全球性流动性大宽松，带动全球股市在二季度迎来大规模反弹，纳斯达克甚至创历史新高。而国内市场来看，在流动性宽松背景下，医药、食品饮料、消费电子以及光伏等板块迎来显著的基本面相对比较优势和估值提升行情，上述板块短期超额收益非常明显。</w:t>
      </w:r>
    </w:p>
    <w:p>
      <w:pPr>
        <w:spacing w:before="29" w:line="288" w:lineRule="auto"/>
        <w:ind w:firstLine="480" w:firstLineChars="200"/>
        <w:rPr>
          <w:color w:val="000000"/>
          <w:sz w:val="24"/>
          <w:szCs w:val="24"/>
        </w:rPr>
      </w:pPr>
      <w:r>
        <w:rPr>
          <w:color w:val="000000"/>
          <w:sz w:val="24"/>
          <w:szCs w:val="24"/>
        </w:rPr>
        <w:t>本基金二季度保持中性偏低仓位，考虑到疫情扰动下的需求不确定性，以及历史估值波动，二季度逐步逢高减持了食品饮料等板块，增持了一批传统行业中产业趋势拐点向上、公司质地有竞争力的细分行业龙头；综合来看，二季度跑赢业绩比较基准。</w:t>
      </w:r>
    </w:p>
    <w:p>
      <w:pPr>
        <w:spacing w:before="29" w:line="288" w:lineRule="auto"/>
        <w:ind w:firstLine="480" w:firstLineChars="200"/>
        <w:rPr>
          <w:color w:val="000000"/>
          <w:sz w:val="24"/>
          <w:szCs w:val="24"/>
        </w:rPr>
      </w:pPr>
      <w:r>
        <w:rPr>
          <w:color w:val="000000"/>
          <w:sz w:val="24"/>
          <w:szCs w:val="24"/>
        </w:rPr>
        <w:t>展望2020年三季度，基于对社会经济运行规律及企业发展规律的理解下，我们认为除了短期内被市场追捧的板块，仍存在着大量的低估细分行业及公司仍尚未挖掘：</w:t>
      </w:r>
    </w:p>
    <w:p>
      <w:pPr>
        <w:spacing w:before="29" w:line="288" w:lineRule="auto"/>
        <w:ind w:firstLine="480" w:firstLineChars="200"/>
        <w:rPr>
          <w:color w:val="000000"/>
          <w:sz w:val="24"/>
          <w:szCs w:val="24"/>
        </w:rPr>
      </w:pPr>
      <w:r>
        <w:rPr>
          <w:color w:val="000000"/>
          <w:sz w:val="24"/>
          <w:szCs w:val="24"/>
        </w:rPr>
        <w:t>1）在人口结构变化、消费观念升级、制造业升级等趋势下，量变到质变的细分子行业中正在发生层出不穷的产业趋势变化；</w:t>
      </w:r>
    </w:p>
    <w:p>
      <w:pPr>
        <w:spacing w:before="29" w:line="288" w:lineRule="auto"/>
        <w:ind w:firstLine="480" w:firstLineChars="200"/>
        <w:rPr>
          <w:color w:val="000000"/>
          <w:sz w:val="24"/>
          <w:szCs w:val="24"/>
        </w:rPr>
      </w:pPr>
      <w:r>
        <w:rPr>
          <w:color w:val="000000"/>
          <w:sz w:val="24"/>
          <w:szCs w:val="24"/>
        </w:rPr>
        <w:t>2）社会大生产及高度分工背景下，越来越多的新兴机会出现在交叉学科及交叉行业之中，需要跳出传统的行业分析框架来演绎；</w:t>
      </w:r>
    </w:p>
    <w:p>
      <w:pPr>
        <w:spacing w:before="29" w:line="288" w:lineRule="auto"/>
        <w:ind w:firstLine="480" w:firstLineChars="200"/>
        <w:rPr>
          <w:color w:val="000000"/>
          <w:sz w:val="24"/>
          <w:szCs w:val="24"/>
        </w:rPr>
      </w:pPr>
      <w:r>
        <w:rPr>
          <w:color w:val="000000"/>
          <w:sz w:val="24"/>
          <w:szCs w:val="24"/>
        </w:rPr>
        <w:t>3）在经历过行业竞争激烈洗牌后，传统行业中真正具备核心竞争力的公司正在步入长期份额提升及附加值提升通道。</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综上，我们未来将集中注意力于寻找新的产业趋势及成长龙头。</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 xml:space="preserve">本基金本报告期内无需预警说明。 </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508,135,098.94</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78.03</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508,135,098.94</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78.03</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121,087,183.28</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18.59</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22,020,309.69</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3.38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651,242,591.91</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7,787,205.00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1.32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28,252,854.16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4.78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338,311,455.60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57.20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12,766.32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8,015,762.40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1.36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16,576,204.68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2.80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19,056,495.52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3.22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23,028,678.08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3.89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27,136,613.64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4.59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9,936,503.70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1.68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30,020,559.84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5.08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508,135,098.94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85.92</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002049</w:t>
            </w:r>
          </w:p>
        </w:tc>
        <w:tc>
          <w:tcPr>
            <w:vAlign w:val="center"/>
          </w:tcPr>
          <w:p>
            <w:pPr>
              <w:jc w:val="center"/>
            </w:pPr>
            <w:r>
              <w:rPr>
                <w:color w:val="000000"/>
                <w:sz w:val="24"/>
                <w:szCs w:val="24"/>
              </w:rPr>
              <w:t>紫光国微</w:t>
            </w:r>
          </w:p>
        </w:tc>
        <w:tc>
          <w:tcPr>
            <w:vAlign w:val="center"/>
          </w:tcPr>
          <w:p>
            <w:pPr>
              <w:jc w:val="right"/>
            </w:pPr>
            <w:r>
              <w:rPr>
                <w:color w:val="000000"/>
                <w:sz w:val="24"/>
                <w:szCs w:val="24"/>
              </w:rPr>
              <w:t>638,700</w:t>
            </w:r>
          </w:p>
        </w:tc>
        <w:tc>
          <w:tcPr>
            <w:vAlign w:val="center"/>
          </w:tcPr>
          <w:p>
            <w:pPr>
              <w:jc w:val="right"/>
            </w:pPr>
            <w:r>
              <w:rPr>
                <w:color w:val="000000"/>
                <w:sz w:val="24"/>
                <w:szCs w:val="24"/>
              </w:rPr>
              <w:t>46,465,425.00</w:t>
            </w:r>
          </w:p>
        </w:tc>
        <w:tc>
          <w:tcPr>
            <w:vAlign w:val="center"/>
          </w:tcPr>
          <w:p>
            <w:pPr>
              <w:jc w:val="right"/>
            </w:pPr>
            <w:r>
              <w:rPr>
                <w:color w:val="000000"/>
                <w:sz w:val="24"/>
                <w:szCs w:val="24"/>
              </w:rPr>
              <w:t>7.86</w:t>
            </w:r>
          </w:p>
        </w:tc>
      </w:tr>
      <w:tr>
        <w:tc>
          <w:tcPr>
            <w:vAlign w:val="center"/>
          </w:tcPr>
          <w:p>
            <w:pPr>
              <w:jc w:val="center"/>
            </w:pPr>
            <w:r>
              <w:rPr>
                <w:color w:val="000000"/>
                <w:sz w:val="24"/>
                <w:szCs w:val="24"/>
              </w:rPr>
              <w:t>2</w:t>
            </w:r>
          </w:p>
        </w:tc>
        <w:tc>
          <w:tcPr>
            <w:vAlign w:val="center"/>
          </w:tcPr>
          <w:p>
            <w:pPr>
              <w:jc w:val="center"/>
            </w:pPr>
            <w:r>
              <w:rPr>
                <w:color w:val="000000"/>
                <w:sz w:val="24"/>
                <w:szCs w:val="24"/>
              </w:rPr>
              <w:t>603856</w:t>
            </w:r>
          </w:p>
        </w:tc>
        <w:tc>
          <w:tcPr>
            <w:vAlign w:val="center"/>
          </w:tcPr>
          <w:p>
            <w:pPr>
              <w:jc w:val="center"/>
            </w:pPr>
            <w:r>
              <w:rPr>
                <w:color w:val="000000"/>
                <w:sz w:val="24"/>
                <w:szCs w:val="24"/>
              </w:rPr>
              <w:t>东宏股份</w:t>
            </w:r>
          </w:p>
        </w:tc>
        <w:tc>
          <w:tcPr>
            <w:vAlign w:val="center"/>
          </w:tcPr>
          <w:p>
            <w:pPr>
              <w:jc w:val="right"/>
            </w:pPr>
            <w:r>
              <w:rPr>
                <w:color w:val="000000"/>
                <w:sz w:val="24"/>
                <w:szCs w:val="24"/>
              </w:rPr>
              <w:t>2,222,400</w:t>
            </w:r>
          </w:p>
        </w:tc>
        <w:tc>
          <w:tcPr>
            <w:vAlign w:val="center"/>
          </w:tcPr>
          <w:p>
            <w:pPr>
              <w:jc w:val="right"/>
            </w:pPr>
            <w:r>
              <w:rPr>
                <w:color w:val="000000"/>
                <w:sz w:val="24"/>
                <w:szCs w:val="24"/>
              </w:rPr>
              <w:t>32,002,560.00</w:t>
            </w:r>
          </w:p>
        </w:tc>
        <w:tc>
          <w:tcPr>
            <w:vAlign w:val="center"/>
          </w:tcPr>
          <w:p>
            <w:pPr>
              <w:jc w:val="right"/>
            </w:pPr>
            <w:r>
              <w:rPr>
                <w:color w:val="000000"/>
                <w:sz w:val="24"/>
                <w:szCs w:val="24"/>
              </w:rPr>
              <w:t>5.41</w:t>
            </w:r>
          </w:p>
        </w:tc>
      </w:tr>
      <w:tr>
        <w:tc>
          <w:tcPr>
            <w:vAlign w:val="center"/>
          </w:tcPr>
          <w:p>
            <w:pPr>
              <w:jc w:val="center"/>
            </w:pPr>
            <w:r>
              <w:rPr>
                <w:color w:val="000000"/>
                <w:sz w:val="24"/>
                <w:szCs w:val="24"/>
              </w:rPr>
              <w:t>3</w:t>
            </w:r>
          </w:p>
        </w:tc>
        <w:tc>
          <w:tcPr>
            <w:vAlign w:val="center"/>
          </w:tcPr>
          <w:p>
            <w:pPr>
              <w:jc w:val="center"/>
            </w:pPr>
            <w:r>
              <w:rPr>
                <w:color w:val="000000"/>
                <w:sz w:val="24"/>
                <w:szCs w:val="24"/>
              </w:rPr>
              <w:t>688196</w:t>
            </w:r>
          </w:p>
        </w:tc>
        <w:tc>
          <w:tcPr>
            <w:vAlign w:val="center"/>
          </w:tcPr>
          <w:p>
            <w:pPr>
              <w:jc w:val="center"/>
            </w:pPr>
            <w:r>
              <w:rPr>
                <w:color w:val="000000"/>
                <w:sz w:val="24"/>
                <w:szCs w:val="24"/>
              </w:rPr>
              <w:t>卓越新能</w:t>
            </w:r>
          </w:p>
        </w:tc>
        <w:tc>
          <w:tcPr>
            <w:vAlign w:val="center"/>
          </w:tcPr>
          <w:p>
            <w:pPr>
              <w:jc w:val="right"/>
            </w:pPr>
            <w:r>
              <w:rPr>
                <w:color w:val="000000"/>
                <w:sz w:val="24"/>
                <w:szCs w:val="24"/>
              </w:rPr>
              <w:t>589,174</w:t>
            </w:r>
          </w:p>
        </w:tc>
        <w:tc>
          <w:tcPr>
            <w:vAlign w:val="center"/>
          </w:tcPr>
          <w:p>
            <w:pPr>
              <w:jc w:val="right"/>
            </w:pPr>
            <w:r>
              <w:rPr>
                <w:color w:val="000000"/>
                <w:sz w:val="24"/>
                <w:szCs w:val="24"/>
              </w:rPr>
              <w:t>30,849,150.64</w:t>
            </w:r>
          </w:p>
        </w:tc>
        <w:tc>
          <w:tcPr>
            <w:vAlign w:val="center"/>
          </w:tcPr>
          <w:p>
            <w:pPr>
              <w:jc w:val="right"/>
            </w:pPr>
            <w:r>
              <w:rPr>
                <w:color w:val="000000"/>
                <w:sz w:val="24"/>
                <w:szCs w:val="24"/>
              </w:rPr>
              <w:t>5.22</w:t>
            </w:r>
          </w:p>
        </w:tc>
      </w:tr>
      <w:tr>
        <w:tc>
          <w:tcPr>
            <w:vAlign w:val="center"/>
          </w:tcPr>
          <w:p>
            <w:pPr>
              <w:jc w:val="center"/>
            </w:pPr>
            <w:r>
              <w:rPr>
                <w:color w:val="000000"/>
                <w:sz w:val="24"/>
                <w:szCs w:val="24"/>
              </w:rPr>
              <w:t>4</w:t>
            </w:r>
          </w:p>
        </w:tc>
        <w:tc>
          <w:tcPr>
            <w:vAlign w:val="center"/>
          </w:tcPr>
          <w:p>
            <w:pPr>
              <w:jc w:val="center"/>
            </w:pPr>
            <w:r>
              <w:rPr>
                <w:color w:val="000000"/>
                <w:sz w:val="24"/>
                <w:szCs w:val="24"/>
              </w:rPr>
              <w:t>300374</w:t>
            </w:r>
          </w:p>
        </w:tc>
        <w:tc>
          <w:tcPr>
            <w:vAlign w:val="center"/>
          </w:tcPr>
          <w:p>
            <w:pPr>
              <w:jc w:val="center"/>
            </w:pPr>
            <w:r>
              <w:rPr>
                <w:color w:val="000000"/>
                <w:sz w:val="24"/>
                <w:szCs w:val="24"/>
              </w:rPr>
              <w:t>恒通科技</w:t>
            </w:r>
          </w:p>
        </w:tc>
        <w:tc>
          <w:tcPr>
            <w:vAlign w:val="center"/>
          </w:tcPr>
          <w:p>
            <w:pPr>
              <w:jc w:val="right"/>
            </w:pPr>
            <w:r>
              <w:rPr>
                <w:color w:val="000000"/>
                <w:sz w:val="24"/>
                <w:szCs w:val="24"/>
              </w:rPr>
              <w:t>1,674,272</w:t>
            </w:r>
          </w:p>
        </w:tc>
        <w:tc>
          <w:tcPr>
            <w:vAlign w:val="center"/>
          </w:tcPr>
          <w:p>
            <w:pPr>
              <w:jc w:val="right"/>
            </w:pPr>
            <w:r>
              <w:rPr>
                <w:color w:val="000000"/>
                <w:sz w:val="24"/>
                <w:szCs w:val="24"/>
              </w:rPr>
              <w:t>28,797,478.40</w:t>
            </w:r>
          </w:p>
        </w:tc>
        <w:tc>
          <w:tcPr>
            <w:vAlign w:val="center"/>
          </w:tcPr>
          <w:p>
            <w:pPr>
              <w:jc w:val="right"/>
            </w:pPr>
            <w:r>
              <w:rPr>
                <w:color w:val="000000"/>
                <w:sz w:val="24"/>
                <w:szCs w:val="24"/>
              </w:rPr>
              <w:t>4.87</w:t>
            </w:r>
          </w:p>
        </w:tc>
      </w:tr>
      <w:tr>
        <w:tc>
          <w:tcPr>
            <w:vAlign w:val="center"/>
          </w:tcPr>
          <w:p>
            <w:pPr>
              <w:jc w:val="center"/>
            </w:pPr>
            <w:r>
              <w:rPr>
                <w:color w:val="000000"/>
                <w:sz w:val="24"/>
                <w:szCs w:val="24"/>
              </w:rPr>
              <w:t>5</w:t>
            </w:r>
          </w:p>
        </w:tc>
        <w:tc>
          <w:tcPr>
            <w:vAlign w:val="center"/>
          </w:tcPr>
          <w:p>
            <w:pPr>
              <w:jc w:val="center"/>
            </w:pPr>
            <w:r>
              <w:rPr>
                <w:color w:val="000000"/>
                <w:sz w:val="24"/>
                <w:szCs w:val="24"/>
              </w:rPr>
              <w:t>300118</w:t>
            </w:r>
          </w:p>
        </w:tc>
        <w:tc>
          <w:tcPr>
            <w:vAlign w:val="center"/>
          </w:tcPr>
          <w:p>
            <w:pPr>
              <w:jc w:val="center"/>
            </w:pPr>
            <w:r>
              <w:rPr>
                <w:color w:val="000000"/>
                <w:sz w:val="24"/>
                <w:szCs w:val="24"/>
              </w:rPr>
              <w:t>东方日升</w:t>
            </w:r>
          </w:p>
        </w:tc>
        <w:tc>
          <w:tcPr>
            <w:vAlign w:val="center"/>
          </w:tcPr>
          <w:p>
            <w:pPr>
              <w:jc w:val="right"/>
            </w:pPr>
            <w:r>
              <w:rPr>
                <w:color w:val="000000"/>
                <w:sz w:val="24"/>
                <w:szCs w:val="24"/>
              </w:rPr>
              <w:t>1,901,643</w:t>
            </w:r>
          </w:p>
        </w:tc>
        <w:tc>
          <w:tcPr>
            <w:vAlign w:val="center"/>
          </w:tcPr>
          <w:p>
            <w:pPr>
              <w:jc w:val="right"/>
            </w:pPr>
            <w:r>
              <w:rPr>
                <w:color w:val="000000"/>
                <w:sz w:val="24"/>
                <w:szCs w:val="24"/>
              </w:rPr>
              <w:t>28,524,645.00</w:t>
            </w:r>
          </w:p>
        </w:tc>
        <w:tc>
          <w:tcPr>
            <w:vAlign w:val="center"/>
          </w:tcPr>
          <w:p>
            <w:pPr>
              <w:jc w:val="right"/>
            </w:pPr>
            <w:r>
              <w:rPr>
                <w:color w:val="000000"/>
                <w:sz w:val="24"/>
                <w:szCs w:val="24"/>
              </w:rPr>
              <w:t>4.82</w:t>
            </w:r>
          </w:p>
        </w:tc>
      </w:tr>
      <w:tr>
        <w:tc>
          <w:tcPr>
            <w:vAlign w:val="center"/>
          </w:tcPr>
          <w:p>
            <w:pPr>
              <w:jc w:val="center"/>
            </w:pPr>
            <w:r>
              <w:rPr>
                <w:color w:val="000000"/>
                <w:sz w:val="24"/>
                <w:szCs w:val="24"/>
              </w:rPr>
              <w:t>6</w:t>
            </w:r>
          </w:p>
        </w:tc>
        <w:tc>
          <w:tcPr>
            <w:vAlign w:val="center"/>
          </w:tcPr>
          <w:p>
            <w:pPr>
              <w:jc w:val="center"/>
            </w:pPr>
            <w:r>
              <w:rPr>
                <w:color w:val="000000"/>
                <w:sz w:val="24"/>
                <w:szCs w:val="24"/>
              </w:rPr>
              <w:t>000860</w:t>
            </w:r>
          </w:p>
        </w:tc>
        <w:tc>
          <w:tcPr>
            <w:vAlign w:val="center"/>
          </w:tcPr>
          <w:p>
            <w:pPr>
              <w:jc w:val="center"/>
            </w:pPr>
            <w:r>
              <w:rPr>
                <w:color w:val="000000"/>
                <w:sz w:val="24"/>
                <w:szCs w:val="24"/>
              </w:rPr>
              <w:t>顺鑫农业</w:t>
            </w:r>
          </w:p>
        </w:tc>
        <w:tc>
          <w:tcPr>
            <w:vAlign w:val="center"/>
          </w:tcPr>
          <w:p>
            <w:pPr>
              <w:jc w:val="right"/>
            </w:pPr>
            <w:r>
              <w:rPr>
                <w:color w:val="000000"/>
                <w:sz w:val="24"/>
                <w:szCs w:val="24"/>
              </w:rPr>
              <w:t>486,618</w:t>
            </w:r>
          </w:p>
        </w:tc>
        <w:tc>
          <w:tcPr>
            <w:vAlign w:val="center"/>
          </w:tcPr>
          <w:p>
            <w:pPr>
              <w:jc w:val="right"/>
            </w:pPr>
            <w:r>
              <w:rPr>
                <w:color w:val="000000"/>
                <w:sz w:val="24"/>
                <w:szCs w:val="24"/>
              </w:rPr>
              <w:t>27,727,493.64</w:t>
            </w:r>
          </w:p>
        </w:tc>
        <w:tc>
          <w:tcPr>
            <w:vAlign w:val="center"/>
          </w:tcPr>
          <w:p>
            <w:pPr>
              <w:jc w:val="right"/>
            </w:pPr>
            <w:r>
              <w:rPr>
                <w:color w:val="000000"/>
                <w:sz w:val="24"/>
                <w:szCs w:val="24"/>
              </w:rPr>
              <w:t>4.69</w:t>
            </w:r>
          </w:p>
        </w:tc>
      </w:tr>
      <w:tr>
        <w:tc>
          <w:tcPr>
            <w:vAlign w:val="center"/>
          </w:tcPr>
          <w:p>
            <w:pPr>
              <w:jc w:val="center"/>
            </w:pPr>
            <w:r>
              <w:rPr>
                <w:color w:val="000000"/>
                <w:sz w:val="24"/>
                <w:szCs w:val="24"/>
              </w:rPr>
              <w:t>7</w:t>
            </w:r>
          </w:p>
        </w:tc>
        <w:tc>
          <w:tcPr>
            <w:vAlign w:val="center"/>
          </w:tcPr>
          <w:p>
            <w:pPr>
              <w:jc w:val="center"/>
            </w:pPr>
            <w:r>
              <w:rPr>
                <w:color w:val="000000"/>
                <w:sz w:val="24"/>
                <w:szCs w:val="24"/>
              </w:rPr>
              <w:t>601038</w:t>
            </w:r>
          </w:p>
        </w:tc>
        <w:tc>
          <w:tcPr>
            <w:vAlign w:val="center"/>
          </w:tcPr>
          <w:p>
            <w:pPr>
              <w:jc w:val="center"/>
            </w:pPr>
            <w:r>
              <w:rPr>
                <w:color w:val="000000"/>
                <w:sz w:val="24"/>
                <w:szCs w:val="24"/>
              </w:rPr>
              <w:t>一拖股份</w:t>
            </w:r>
          </w:p>
        </w:tc>
        <w:tc>
          <w:tcPr>
            <w:vAlign w:val="center"/>
          </w:tcPr>
          <w:p>
            <w:pPr>
              <w:jc w:val="right"/>
            </w:pPr>
            <w:r>
              <w:rPr>
                <w:color w:val="000000"/>
                <w:sz w:val="24"/>
                <w:szCs w:val="24"/>
              </w:rPr>
              <w:t>2,851,500</w:t>
            </w:r>
          </w:p>
        </w:tc>
        <w:tc>
          <w:tcPr>
            <w:vAlign w:val="center"/>
          </w:tcPr>
          <w:p>
            <w:pPr>
              <w:jc w:val="right"/>
            </w:pPr>
            <w:r>
              <w:rPr>
                <w:color w:val="000000"/>
                <w:sz w:val="24"/>
                <w:szCs w:val="24"/>
              </w:rPr>
              <w:t>26,347,860.00</w:t>
            </w:r>
          </w:p>
        </w:tc>
        <w:tc>
          <w:tcPr>
            <w:vAlign w:val="center"/>
          </w:tcPr>
          <w:p>
            <w:pPr>
              <w:jc w:val="right"/>
            </w:pPr>
            <w:r>
              <w:rPr>
                <w:color w:val="000000"/>
                <w:sz w:val="24"/>
                <w:szCs w:val="24"/>
              </w:rPr>
              <w:t>4.45</w:t>
            </w:r>
          </w:p>
        </w:tc>
      </w:tr>
      <w:tr>
        <w:tc>
          <w:tcPr>
            <w:vAlign w:val="center"/>
          </w:tcPr>
          <w:p>
            <w:pPr>
              <w:jc w:val="center"/>
            </w:pPr>
            <w:r>
              <w:rPr>
                <w:color w:val="000000"/>
                <w:sz w:val="24"/>
                <w:szCs w:val="24"/>
              </w:rPr>
              <w:t>8</w:t>
            </w:r>
          </w:p>
        </w:tc>
        <w:tc>
          <w:tcPr>
            <w:vAlign w:val="center"/>
          </w:tcPr>
          <w:p>
            <w:pPr>
              <w:jc w:val="center"/>
            </w:pPr>
            <w:r>
              <w:rPr>
                <w:color w:val="000000"/>
                <w:sz w:val="24"/>
                <w:szCs w:val="24"/>
              </w:rPr>
              <w:t>300070</w:t>
            </w:r>
          </w:p>
        </w:tc>
        <w:tc>
          <w:tcPr>
            <w:vAlign w:val="center"/>
          </w:tcPr>
          <w:p>
            <w:pPr>
              <w:jc w:val="center"/>
            </w:pPr>
            <w:r>
              <w:rPr>
                <w:color w:val="000000"/>
                <w:sz w:val="24"/>
                <w:szCs w:val="24"/>
              </w:rPr>
              <w:t>碧水源</w:t>
            </w:r>
          </w:p>
        </w:tc>
        <w:tc>
          <w:tcPr>
            <w:vAlign w:val="center"/>
          </w:tcPr>
          <w:p>
            <w:pPr>
              <w:jc w:val="right"/>
            </w:pPr>
            <w:r>
              <w:rPr>
                <w:color w:val="000000"/>
                <w:sz w:val="24"/>
                <w:szCs w:val="24"/>
              </w:rPr>
              <w:t>2,043,729</w:t>
            </w:r>
          </w:p>
        </w:tc>
        <w:tc>
          <w:tcPr>
            <w:vAlign w:val="center"/>
          </w:tcPr>
          <w:p>
            <w:pPr>
              <w:jc w:val="right"/>
            </w:pPr>
            <w:r>
              <w:rPr>
                <w:color w:val="000000"/>
                <w:sz w:val="24"/>
                <w:szCs w:val="24"/>
              </w:rPr>
              <w:t>16,595,079.48</w:t>
            </w:r>
          </w:p>
        </w:tc>
        <w:tc>
          <w:tcPr>
            <w:vAlign w:val="center"/>
          </w:tcPr>
          <w:p>
            <w:pPr>
              <w:jc w:val="right"/>
            </w:pPr>
            <w:r>
              <w:rPr>
                <w:color w:val="000000"/>
                <w:sz w:val="24"/>
                <w:szCs w:val="24"/>
              </w:rPr>
              <w:t>2.81</w:t>
            </w:r>
          </w:p>
        </w:tc>
      </w:tr>
      <w:tr>
        <w:tc>
          <w:tcPr>
            <w:vAlign w:val="center"/>
          </w:tcPr>
          <w:p>
            <w:pPr>
              <w:jc w:val="center"/>
            </w:pPr>
            <w:r>
              <w:rPr>
                <w:color w:val="000000"/>
                <w:sz w:val="24"/>
                <w:szCs w:val="24"/>
              </w:rPr>
              <w:t>9</w:t>
            </w:r>
          </w:p>
        </w:tc>
        <w:tc>
          <w:tcPr>
            <w:vAlign w:val="center"/>
          </w:tcPr>
          <w:p>
            <w:pPr>
              <w:jc w:val="center"/>
            </w:pPr>
            <w:r>
              <w:rPr>
                <w:color w:val="000000"/>
                <w:sz w:val="24"/>
                <w:szCs w:val="24"/>
              </w:rPr>
              <w:t>002930</w:t>
            </w:r>
          </w:p>
        </w:tc>
        <w:tc>
          <w:tcPr>
            <w:vAlign w:val="center"/>
          </w:tcPr>
          <w:p>
            <w:pPr>
              <w:jc w:val="center"/>
            </w:pPr>
            <w:r>
              <w:rPr>
                <w:color w:val="000000"/>
                <w:sz w:val="24"/>
                <w:szCs w:val="24"/>
              </w:rPr>
              <w:t>宏川智慧</w:t>
            </w:r>
          </w:p>
        </w:tc>
        <w:tc>
          <w:tcPr>
            <w:vAlign w:val="center"/>
          </w:tcPr>
          <w:p>
            <w:pPr>
              <w:jc w:val="right"/>
            </w:pPr>
            <w:r>
              <w:rPr>
                <w:color w:val="000000"/>
                <w:sz w:val="24"/>
                <w:szCs w:val="24"/>
              </w:rPr>
              <w:t>1,178,124</w:t>
            </w:r>
          </w:p>
        </w:tc>
        <w:tc>
          <w:tcPr>
            <w:vAlign w:val="center"/>
          </w:tcPr>
          <w:p>
            <w:pPr>
              <w:jc w:val="right"/>
            </w:pPr>
            <w:r>
              <w:rPr>
                <w:color w:val="000000"/>
                <w:sz w:val="24"/>
                <w:szCs w:val="24"/>
              </w:rPr>
              <w:t>16,576,204.68</w:t>
            </w:r>
          </w:p>
        </w:tc>
        <w:tc>
          <w:tcPr>
            <w:vAlign w:val="center"/>
          </w:tcPr>
          <w:p>
            <w:pPr>
              <w:jc w:val="right"/>
            </w:pPr>
            <w:r>
              <w:rPr>
                <w:color w:val="000000"/>
                <w:sz w:val="24"/>
                <w:szCs w:val="24"/>
              </w:rPr>
              <w:t>2.80</w:t>
            </w:r>
          </w:p>
        </w:tc>
      </w:tr>
      <w:tr>
        <w:tc>
          <w:tcPr>
            <w:vAlign w:val="center"/>
          </w:tcPr>
          <w:p>
            <w:pPr>
              <w:jc w:val="center"/>
            </w:pPr>
            <w:r>
              <w:rPr>
                <w:color w:val="000000"/>
                <w:sz w:val="24"/>
                <w:szCs w:val="24"/>
              </w:rPr>
              <w:t>10</w:t>
            </w:r>
          </w:p>
        </w:tc>
        <w:tc>
          <w:tcPr>
            <w:vAlign w:val="center"/>
          </w:tcPr>
          <w:p>
            <w:pPr>
              <w:jc w:val="center"/>
            </w:pPr>
            <w:r>
              <w:rPr>
                <w:color w:val="000000"/>
                <w:sz w:val="24"/>
                <w:szCs w:val="24"/>
              </w:rPr>
              <w:t>002827</w:t>
            </w:r>
          </w:p>
        </w:tc>
        <w:tc>
          <w:tcPr>
            <w:vAlign w:val="center"/>
          </w:tcPr>
          <w:p>
            <w:pPr>
              <w:jc w:val="center"/>
            </w:pPr>
            <w:r>
              <w:rPr>
                <w:color w:val="000000"/>
                <w:sz w:val="24"/>
                <w:szCs w:val="24"/>
              </w:rPr>
              <w:t>高争民爆</w:t>
            </w:r>
          </w:p>
        </w:tc>
        <w:tc>
          <w:tcPr>
            <w:vAlign w:val="center"/>
          </w:tcPr>
          <w:p>
            <w:pPr>
              <w:jc w:val="right"/>
            </w:pPr>
            <w:r>
              <w:rPr>
                <w:color w:val="000000"/>
                <w:sz w:val="24"/>
                <w:szCs w:val="24"/>
              </w:rPr>
              <w:t>1,116,641</w:t>
            </w:r>
          </w:p>
        </w:tc>
        <w:tc>
          <w:tcPr>
            <w:vAlign w:val="center"/>
          </w:tcPr>
          <w:p>
            <w:pPr>
              <w:jc w:val="right"/>
            </w:pPr>
            <w:r>
              <w:rPr>
                <w:color w:val="000000"/>
                <w:sz w:val="24"/>
                <w:szCs w:val="24"/>
              </w:rPr>
              <w:t>14,516,333.00</w:t>
            </w:r>
          </w:p>
        </w:tc>
        <w:tc>
          <w:tcPr>
            <w:vAlign w:val="center"/>
          </w:tcPr>
          <w:p>
            <w:pPr>
              <w:jc w:val="right"/>
            </w:pPr>
            <w:r>
              <w:rPr>
                <w:color w:val="000000"/>
                <w:sz w:val="24"/>
                <w:szCs w:val="24"/>
              </w:rPr>
              <w:t>2.45</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34FB5">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报告期内本基金投资的前十名证券的发行主体除东方日升（300118）外，未出现被监管部门立案调查，或在报告编制日前一年内受到公开谴责、处罚的情形。</w:t>
      </w:r>
    </w:p>
    <w:p>
      <w:pPr>
        <w:autoSpaceDE w:val="0"/>
        <w:autoSpaceDN w:val="0"/>
        <w:adjustRightInd w:val="0"/>
        <w:spacing w:before="29" w:line="288" w:lineRule="auto"/>
        <w:jc w:val="left"/>
        <w:rPr>
          <w:b/>
          <w:bCs/>
          <w:color w:val="000000"/>
          <w:kern w:val="0"/>
          <w:sz w:val="24"/>
          <w:szCs w:val="24"/>
        </w:rPr>
      </w:pPr>
      <w:r>
        <w:rPr>
          <w:bCs/>
          <w:color w:val="000000"/>
          <w:kern w:val="0"/>
          <w:sz w:val="24"/>
          <w:szCs w:val="24"/>
        </w:rPr>
        <w:t>报告期内本基金投资的前十名证券之一东方日升（300118）于 2020年3月27日披露了《东方日升关于控股子公司收到环保部门行政处罚决定书的公告》（公告编号：2020-028）。公司控股子公司东方日升（常州）新能源有限公司收到连云港市灌云生态环境局出具的《环境保护行政处罚决定书》（灌环罚字[2020]26号），依据《中华人民共和国固体废物污染环境防治法》第六十八条第七项的规定，连云港市灌云生态环境局对日升常州处以人民币 10 万元的罚款。</w:t>
      </w:r>
    </w:p>
    <w:p>
      <w:pPr>
        <w:autoSpaceDE w:val="0"/>
        <w:autoSpaceDN w:val="0"/>
        <w:adjustRightInd w:val="0"/>
        <w:spacing w:before="29" w:line="288" w:lineRule="auto"/>
        <w:jc w:val="left"/>
        <w:rPr>
          <w:b/>
          <w:bCs/>
          <w:color w:val="000000"/>
          <w:kern w:val="0"/>
          <w:sz w:val="24"/>
          <w:szCs w:val="24"/>
        </w:rPr>
      </w:pPr>
      <w:r>
        <w:rPr>
          <w:bCs/>
          <w:color w:val="000000"/>
          <w:kern w:val="0"/>
          <w:sz w:val="24"/>
          <w:szCs w:val="24"/>
        </w:rPr>
        <w:t>本基金管理人对该证券投资决策程序的说明如下：本基金管理人对证券投资特别是重仓股的投资有严格的投资决策流程控制。本基金在对该证券的投资也严格执行投资决策流程。在对该证券的选择上，严格执行公司股票池审核流程进入公司股票池。在对该证券的持有过程中公司研究员密切关注上市公司动向。在上述事件发生时及时分析其对投资决策的影响，经过分析认为上述事件对上市公司财务状况、经营成果和现金流量未产生重大的实质性影响，所以不影响对该公司基本面和公司治理的投资判断。</w:t>
      </w:r>
    </w:p>
    <w:p w:rsidP="00E40D31" w:rsidR="00BE5388" w:rsidRDefault="00BE5388" w:rsidRPr="00AA3969">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bookmarkStart w:id="2" w:name="_GoBack"/>
      <w:r w:rsidRPr="00AA3969">
        <w:rPr>
          <w:bCs/>
          <w:color w:val="000000"/>
          <w:kern w:val="0"/>
          <w:sz w:val="24"/>
          <w:szCs w:val="24"/>
        </w:rPr>
        <w:t>本基金投资的前十名股票中，没有超出基金合同规定的备选股票库之外的股票。</w:t>
      </w:r>
    </w:p>
    <w:bookmarkEnd w:id="2"/>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183,235.68</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8,165.95</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21,828,908.06</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22,020,309.69</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219,563,679.60</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124,703,176.40</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55,924,861.54</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288,341,994.46</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3"/>
        <w:gridCol w:w="992"/>
        <w:gridCol w:w="1843"/>
        <w:gridCol w:w="851"/>
        <w:gridCol w:w="850"/>
        <w:gridCol w:w="1134"/>
        <w:gridCol w:w="1419"/>
        <w:gridCol w:w="1130"/>
      </w:tblGrid>
      <w:tr w:rsidR="003C50AD" w:rsidRPr="004F4D27" w:rsidTr="00424D30">
        <w:tc>
          <w:tcPr>
            <w:tcW w:type="dxa" w:w="993"/>
            <w:vMerge w:val="restart"/>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w:r>
            <w:r w:rsidRPr="004F4D27">
              <w:rPr>
                <w:rFonts w:ascii="宋体" w:hAnsi="宋体"/>
                <w:color w:val="000000"/>
                <w:kern w:val="0"/>
              </w:rPr>
              <w:lastRenderedPageBreak/>
              <w:t xml:space="preserve">  </w:t>
            </w:r>
          </w:p>
        </w:tc>
        <w:tc>
          <w:tcPr>
            <w:tcW w:type="dxa" w:w="5670"/>
            <w:gridSpan w:val="5"/>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lastRenderedPageBreak/>
              <w:t>报告期内持有基金份额变化情况</w:t>
            </w:r>
          </w:p>
        </w:tc>
        <w:tc>
          <w:tcPr>
            <w:tcW w:type="dxa" w:w="2549"/>
            <w:gridSpan w:val="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type="dxa" w:w="993"/>
            <w:vMerge/>
            <w:vAlign w:val="center"/>
          </w:tcPr>
          <w:p w:rsidP="00424D30" w:rsidR="003C50AD" w:rsidRDefault="003C50AD" w:rsidRPr="004F4D27">
            <w:pPr>
              <w:autoSpaceDE w:val="0"/>
              <w:autoSpaceDN w:val="0"/>
              <w:adjustRightInd w:val="0"/>
              <w:jc w:val="center"/>
              <w:rPr>
                <w:rFonts w:ascii="宋体" w:hAnsi="宋体"/>
                <w:b/>
                <w:bCs/>
                <w:color w:val="000000"/>
                <w:kern w:val="0"/>
              </w:rPr>
            </w:pPr>
          </w:p>
        </w:tc>
        <w:tc>
          <w:tcPr>
            <w:tcW w:type="dxa" w:w="99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type="dxa" w:w="1843"/>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type="dxa" w:w="851"/>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期初份额</w:t>
            </w:r>
          </w:p>
        </w:tc>
        <w:tc>
          <w:tcPr>
            <w:tcW w:type="dxa" w:w="850"/>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申购份额</w:t>
            </w:r>
          </w:p>
        </w:tc>
        <w:tc>
          <w:tcPr>
            <w:tcW w:type="dxa" w:w="1134"/>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赎回份额</w:t>
            </w:r>
          </w:p>
        </w:tc>
        <w:tc>
          <w:tcPr>
            <w:tcW w:type="dxa" w:w="1419"/>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type="dxa" w:w="1130"/>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tc>
          <w:tcPr>
            <w:vMerge w:val="restart"/>
          </w:tcPr>
          <w:p/>
          <w:p>
            <w:r>
              <w:rPr>
                <w:rFonts w:ascii="宋体" w:hAnsi="宋体" w:hint="eastAsia"/>
                <w:bCs/>
                <w:color w:val="000000"/>
                <w:kern w:val="0"/>
              </w:rPr>
              <w:t>机构</w:t>
            </w:r>
          </w:p>
        </w:tc>
        <w:tc>
          <w:tcPr>
            <w:vAlign w:val="center"/>
          </w:tcPr>
          <w:p>
            <w:pPr>
              <w:jc w:val="center"/>
            </w:pPr>
            <w:r>
              <w:rPr>
                <w:rFonts w:ascii="宋体" w:hAnsi="宋体"/>
                <w:color w:val="000000"/>
                <w:kern w:val="0"/>
              </w:rPr>
              <w:t>1</w:t>
            </w:r>
          </w:p>
        </w:tc>
        <w:tc>
          <w:tcPr>
            <w:vAlign w:val="center"/>
          </w:tcPr>
          <w:p>
            <w:pPr>
              <w:jc w:val="center"/>
            </w:pPr>
            <w:r>
              <w:rPr>
                <w:rFonts w:ascii="宋体" w:hAnsi="宋体"/>
                <w:color w:val="000000"/>
                <w:kern w:val="0"/>
              </w:rPr>
              <w:t>2020/4/1-2020/6/30</w:t>
            </w:r>
          </w:p>
        </w:tc>
        <w:tc>
          <w:tcPr>
            <w:vAlign w:val="center"/>
          </w:tcPr>
          <w:p>
            <w:pPr>
              <w:jc w:val="center"/>
            </w:pPr>
            <w:r>
              <w:rPr>
                <w:rFonts w:ascii="宋体" w:hAnsi="宋体"/>
                <w:color w:val="000000"/>
                <w:kern w:val="0"/>
              </w:rPr>
              <w:t>47,558,945.66</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47,558,945.66</w:t>
            </w:r>
          </w:p>
        </w:tc>
        <w:tc>
          <w:tcPr>
            <w:vAlign w:val="center"/>
          </w:tcPr>
          <w:p>
            <w:pPr>
              <w:jc w:val="center"/>
            </w:pPr>
            <w:r>
              <w:rPr>
                <w:rFonts w:ascii="宋体" w:hAnsi="宋体"/>
                <w:color w:val="000000"/>
                <w:kern w:val="0"/>
              </w:rPr>
              <w:t>16.49%</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2"/>
      </w:tblGrid>
      <w:tr w:rsidR="003C50AD" w:rsidRPr="004F4D27" w:rsidTr="00424D30">
        <w:tc>
          <w:tcPr>
            <w:tcW w:type="dxa" w:w="9212"/>
            <w:vAlign w:val="center"/>
          </w:tcPr>
          <w:p w:rsidP="00424D30" w:rsidR="003C50AD" w:rsidRDefault="003C50AD" w:rsidRPr="004F4D27">
            <w:pPr>
              <w:autoSpaceDE w:val="0"/>
              <w:autoSpaceDN w:val="0"/>
              <w:adjustRightInd w:val="0"/>
              <w:jc w:val="center"/>
              <w:rPr>
                <w:rFonts w:ascii="宋体" w:hAnsi="宋体"/>
                <w:kern w:val="0"/>
              </w:rPr>
            </w:pPr>
            <w:r w:rsidRPr="004F4D27">
              <w:rPr>
                <w:rFonts w:ascii="宋体" w:hAnsi="宋体"/>
                <w:color w:val="000000"/>
                <w:kern w:val="0"/>
              </w:rPr>
              <w:t>产品特有风险</w:t>
            </w:r>
            <w:r w:rsidRPr="004F4D27">
              <w:rPr>
                <w:rFonts w:ascii="宋体" w:hAnsi="宋体"/>
                <w:kern w:val="0"/>
              </w:rPr>
              <w:t/>
            </w:r>
            <w:r w:rsidRPr="004F4D27">
              <w:rPr>
                <w:rFonts w:ascii="宋体" w:hAnsi="宋体" w:hint="eastAsia"/>
                <w:kern w:val="0"/>
              </w:rPr>
              <w:t/>
            </w:r>
            <w:r w:rsidRPr="004F4D27">
              <w:rPr>
                <w:rFonts w:ascii="宋体" w:hAnsi="宋体"/>
                <w:kern w:val="0"/>
              </w:rPr>
              <w:t/>
            </w:r>
          </w:p>
        </w:tc>
      </w:tr>
      <w:tr w:rsidR="003C50AD" w:rsidRPr="004F4D27" w:rsidTr="00424D30">
        <w:tc>
          <w:tcPr>
            <w:tcW w:type="dxa" w:w="9212"/>
            <w:vAlign w:val="center"/>
          </w:tcPr>
          <w:p w:rsidP="00424D30" w:rsidR="003C50AD" w:rsidRDefault="003C50AD" w:rsidRPr="004F4D27">
            <w:pPr>
              <w:autoSpaceDE w:val="0"/>
              <w:autoSpaceDN w:val="0"/>
              <w:adjustRightInd w:val="0"/>
              <w:jc w:val="left"/>
              <w:rPr>
                <w:rFonts w:ascii="宋体" w:hAnsi="宋体"/>
                <w:kern w:val="0"/>
              </w:rPr>
            </w:pPr>
            <w:r w:rsidRPr="004F4D27">
              <w:rPr>
                <w:rFonts w:ascii="宋体" w:hAnsi="宋体" w:hint="eastAsia"/>
                <w:kern w:val="0"/>
              </w:rPr>
              <w:t/>
            </w:r>
            <w:r w:rsidRPr="004F4D27">
              <w:rPr>
                <w:rFonts w:ascii="宋体" w:hAnsi="宋体"/>
                <w:kern w:val="0"/>
              </w:rPr>
              <w:t/>
            </w: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r w:rsidRPr="004F4D27">
              <w:rPr>
                <w:rFonts w:ascii="宋体" w:hAnsi="宋体"/>
                <w:kern w:val="0"/>
              </w:rPr>
              <w:t/>
            </w:r>
          </w:p>
        </w:tc>
      </w:tr>
    </w:tbl>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1、中国证监会核准交银施罗德趋势优先股票证券投资基金募集的文件； </w:t>
      </w:r>
    </w:p>
    <w:p>
      <w:pPr>
        <w:spacing w:before="29" w:line="288" w:lineRule="auto"/>
        <w:ind w:firstLine="480" w:firstLineChars="200"/>
        <w:rPr>
          <w:color w:val="000000"/>
          <w:sz w:val="24"/>
          <w:szCs w:val="24"/>
        </w:rPr>
      </w:pPr>
      <w:r>
        <w:rPr>
          <w:color w:val="000000"/>
          <w:sz w:val="24"/>
          <w:szCs w:val="24"/>
        </w:rPr>
        <w:t xml:space="preserve">2、《交银施罗德趋势优先混合型证券投资基金基金合同》； </w:t>
      </w:r>
    </w:p>
    <w:p>
      <w:pPr>
        <w:spacing w:before="29" w:line="288" w:lineRule="auto"/>
        <w:ind w:firstLine="480" w:firstLineChars="200"/>
        <w:rPr>
          <w:color w:val="000000"/>
          <w:sz w:val="24"/>
          <w:szCs w:val="24"/>
        </w:rPr>
      </w:pPr>
      <w:r>
        <w:rPr>
          <w:color w:val="000000"/>
          <w:sz w:val="24"/>
          <w:szCs w:val="24"/>
        </w:rPr>
        <w:t>3、《交银施罗德趋势优先混合型证券投资基金招募说明书》；</w:t>
      </w:r>
    </w:p>
    <w:p>
      <w:pPr>
        <w:spacing w:before="29" w:line="288" w:lineRule="auto"/>
        <w:ind w:firstLine="480" w:firstLineChars="200"/>
        <w:rPr>
          <w:color w:val="000000"/>
          <w:sz w:val="24"/>
          <w:szCs w:val="24"/>
        </w:rPr>
      </w:pPr>
      <w:r>
        <w:rPr>
          <w:color w:val="000000"/>
          <w:sz w:val="24"/>
          <w:szCs w:val="24"/>
        </w:rPr>
        <w:t xml:space="preserve">4、《交银施罗德趋势优先混合型证券投资基金托管协议》； </w:t>
      </w:r>
    </w:p>
    <w:p>
      <w:pPr>
        <w:spacing w:before="29" w:line="288" w:lineRule="auto"/>
        <w:ind w:firstLine="480" w:firstLineChars="200"/>
        <w:rPr>
          <w:color w:val="000000"/>
          <w:sz w:val="24"/>
          <w:szCs w:val="24"/>
        </w:rPr>
      </w:pPr>
      <w:r>
        <w:rPr>
          <w:color w:val="000000"/>
          <w:sz w:val="24"/>
          <w:szCs w:val="24"/>
        </w:rPr>
        <w:t>5、关于申请募集交银施罗德趋势优先股票证券投资基金之法律意见书；</w:t>
      </w:r>
    </w:p>
    <w:p>
      <w:pPr>
        <w:spacing w:before="29" w:line="288" w:lineRule="auto"/>
        <w:ind w:firstLine="480" w:firstLineChars="200"/>
        <w:rPr>
          <w:color w:val="000000"/>
          <w:sz w:val="24"/>
          <w:szCs w:val="24"/>
        </w:rPr>
      </w:pPr>
      <w:r>
        <w:rPr>
          <w:color w:val="000000"/>
          <w:sz w:val="24"/>
          <w:szCs w:val="24"/>
        </w:rPr>
        <w:t>6、基金管理人业务资格批件、营业执照；</w:t>
      </w:r>
    </w:p>
    <w:p>
      <w:pPr>
        <w:spacing w:before="29" w:line="288" w:lineRule="auto"/>
        <w:ind w:firstLine="480" w:firstLineChars="200"/>
        <w:rPr>
          <w:color w:val="000000"/>
          <w:sz w:val="24"/>
          <w:szCs w:val="24"/>
        </w:rPr>
      </w:pPr>
      <w:r>
        <w:rPr>
          <w:color w:val="000000"/>
          <w:sz w:val="24"/>
          <w:szCs w:val="24"/>
        </w:rPr>
        <w:t>7、基金托管人业务资格批件、营业执照；</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8、报告期内交银施罗德趋势优先混合型证券投资基金在指定报刊上各项公告的原稿。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C11AA1" w:rsidRDefault="00C11AA1">
      <w:r>
        <w:separator/>
      </w:r>
    </w:p>
  </w:footnote>
  <w:footnote w:id="0" w:type="continuationSeparator">
    <w:p w:rsidP="00876D65" w:rsidR="00C11AA1" w:rsidRDefault="00C11AA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交银施罗德趋势优先混合型证券投资基金2020年第2季度报告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4F61-935D-4852-8DB9-16A24A12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2020-01-17T03:03:00Z</dcterms:modified>
  <cp:revision>600</cp:revision>
</cp:coreProperties>
</file>