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交银施罗德稳利中短债债券型证券投资基金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2020年第2季度报告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2020年6月30日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本报告期自2020年4月1日起至6月30日止。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交银稳利中短债债券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008204</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2019年12月13日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325,058,880.00</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在严格控制风险和保持较高流动性的前提下，力求获得高于业绩比较基准的投资收益。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中债总财富（1-3年）指数收益率×80%+一年期定期存款利率（税后）×20%</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交银稳利中短债债券A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交银稳利中短债债券C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008204</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008205</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273,107,313.57</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51,951,566.43</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(2020年4月1日-2020年6月30日)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交银稳利中短债债券A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交银稳利中短债债券C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3,671,283.77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1,268,637.91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1,813,142.98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517,097.45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0.0080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0.0062</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279,587,741.98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53,068,259.42</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1.0237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1.0215</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交银稳利中短债债券A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0.38%</w:t>
            </w:r>
          </w:p>
        </w:tc>
        <w:tc>
          <w:tcPr>
            <w:vAlign w:val="center"/>
          </w:tcPr>
          <w:p>
            <w:pPr>
              <w:jc w:val="center"/>
            </w:pPr>
            <w:r>
              <w:rPr>
                <w:color w:val="000000"/>
                <w:sz w:val="24"/>
              </w:rPr>
              <w:t>0.09%</w:t>
            </w:r>
          </w:p>
        </w:tc>
        <w:tc>
          <w:tcPr>
            <w:vAlign w:val="center"/>
          </w:tcPr>
          <w:p>
            <w:pPr>
              <w:jc w:val="center"/>
            </w:pPr>
            <w:r>
              <w:rPr>
                <w:color w:val="000000"/>
                <w:sz w:val="24"/>
              </w:rPr>
              <w:t>0.01%</w:t>
            </w:r>
          </w:p>
        </w:tc>
        <w:tc>
          <w:tcPr>
            <w:vAlign w:val="center"/>
          </w:tcPr>
          <w:p>
            <w:pPr>
              <w:jc w:val="center"/>
            </w:pPr>
            <w:r>
              <w:rPr>
                <w:color w:val="000000"/>
                <w:sz w:val="24"/>
              </w:rPr>
              <w:t>0.09%</w:t>
            </w:r>
          </w:p>
        </w:tc>
        <w:tc>
          <w:tcPr>
            <w:vAlign w:val="center"/>
          </w:tcPr>
          <w:p>
            <w:pPr>
              <w:jc w:val="center"/>
            </w:pPr>
            <w:r>
              <w:rPr>
                <w:color w:val="000000"/>
                <w:sz w:val="24"/>
              </w:rPr>
              <w:t>0.37%</w:t>
            </w:r>
          </w:p>
        </w:tc>
        <w:tc>
          <w:tcPr>
            <w:vAlign w:val="center"/>
          </w:tcPr>
          <w:p>
            <w:pPr>
              <w:jc w:val="center"/>
            </w:pPr>
            <w:r>
              <w:rPr>
                <w:color w:val="000000"/>
                <w:sz w:val="24"/>
              </w:rPr>
              <w:t>0.00%</w:t>
            </w:r>
          </w:p>
        </w:tc>
      </w:tr>
      <w:tr>
        <w:tc>
          <w:tcPr>
            <w:vAlign w:val="center"/>
          </w:tcPr>
          <w:p>
            <w:pPr>
              <w:jc w:val="left"/>
            </w:pPr>
            <w:r>
              <w:rPr>
                <w:color w:val="000000"/>
                <w:sz w:val="24"/>
              </w:rPr>
              <w:t>过去六个月</w:t>
            </w:r>
          </w:p>
        </w:tc>
        <w:tc>
          <w:tcPr>
            <w:vAlign w:val="center"/>
          </w:tcPr>
          <w:p>
            <w:pPr>
              <w:jc w:val="center"/>
            </w:pPr>
            <w:r>
              <w:rPr>
                <w:color w:val="000000"/>
                <w:sz w:val="24"/>
              </w:rPr>
              <w:t>2.27%</w:t>
            </w:r>
          </w:p>
        </w:tc>
        <w:tc>
          <w:tcPr>
            <w:vAlign w:val="center"/>
          </w:tcPr>
          <w:p>
            <w:pPr>
              <w:jc w:val="center"/>
            </w:pPr>
            <w:r>
              <w:rPr>
                <w:color w:val="000000"/>
                <w:sz w:val="24"/>
              </w:rPr>
              <w:t>0.08%</w:t>
            </w:r>
          </w:p>
        </w:tc>
        <w:tc>
          <w:tcPr>
            <w:vAlign w:val="center"/>
          </w:tcPr>
          <w:p>
            <w:pPr>
              <w:jc w:val="center"/>
            </w:pPr>
            <w:r>
              <w:rPr>
                <w:color w:val="000000"/>
                <w:sz w:val="24"/>
              </w:rPr>
              <w:t>1.53%</w:t>
            </w:r>
          </w:p>
        </w:tc>
        <w:tc>
          <w:tcPr>
            <w:vAlign w:val="center"/>
          </w:tcPr>
          <w:p>
            <w:pPr>
              <w:jc w:val="center"/>
            </w:pPr>
            <w:r>
              <w:rPr>
                <w:color w:val="000000"/>
                <w:sz w:val="24"/>
              </w:rPr>
              <w:t>0.07%</w:t>
            </w:r>
          </w:p>
        </w:tc>
        <w:tc>
          <w:tcPr>
            <w:vAlign w:val="center"/>
          </w:tcPr>
          <w:p>
            <w:pPr>
              <w:jc w:val="center"/>
            </w:pPr>
            <w:r>
              <w:rPr>
                <w:color w:val="000000"/>
                <w:sz w:val="24"/>
              </w:rPr>
              <w:t>0.74%</w:t>
            </w:r>
          </w:p>
        </w:tc>
        <w:tc>
          <w:tcPr>
            <w:vAlign w:val="center"/>
          </w:tcPr>
          <w:p>
            <w:pPr>
              <w:jc w:val="center"/>
            </w:pPr>
            <w:r>
              <w:rPr>
                <w:color w:val="000000"/>
                <w:sz w:val="24"/>
              </w:rPr>
              <w:t>0.01%</w:t>
            </w:r>
          </w:p>
        </w:tc>
      </w:tr>
      <w:tr>
        <w:tc>
          <w:tcPr>
            <w:vAlign w:val="center"/>
          </w:tcPr>
          <w:p>
            <w:pPr>
              <w:jc w:val="left"/>
            </w:pPr>
            <w:r>
              <w:rPr>
                <w:color w:val="000000"/>
                <w:sz w:val="24"/>
              </w:rPr>
              <w:t>自基金合同生效起至今</w:t>
            </w:r>
          </w:p>
        </w:tc>
        <w:tc>
          <w:tcPr>
            <w:vAlign w:val="center"/>
          </w:tcPr>
          <w:p>
            <w:pPr>
              <w:jc w:val="center"/>
            </w:pPr>
            <w:r>
              <w:rPr>
                <w:color w:val="000000"/>
                <w:sz w:val="24"/>
              </w:rPr>
              <w:t>2.37%</w:t>
            </w:r>
          </w:p>
        </w:tc>
        <w:tc>
          <w:tcPr>
            <w:vAlign w:val="center"/>
          </w:tcPr>
          <w:p>
            <w:pPr>
              <w:jc w:val="center"/>
            </w:pPr>
            <w:r>
              <w:rPr>
                <w:color w:val="000000"/>
                <w:sz w:val="24"/>
              </w:rPr>
              <w:t>0.08%</w:t>
            </w:r>
          </w:p>
        </w:tc>
        <w:tc>
          <w:tcPr>
            <w:vAlign w:val="center"/>
          </w:tcPr>
          <w:p>
            <w:pPr>
              <w:jc w:val="center"/>
            </w:pPr>
            <w:r>
              <w:rPr>
                <w:color w:val="000000"/>
                <w:sz w:val="24"/>
              </w:rPr>
              <w:t>1.93%</w:t>
            </w:r>
          </w:p>
        </w:tc>
        <w:tc>
          <w:tcPr>
            <w:vAlign w:val="center"/>
          </w:tcPr>
          <w:p>
            <w:pPr>
              <w:jc w:val="center"/>
            </w:pPr>
            <w:r>
              <w:rPr>
                <w:color w:val="000000"/>
                <w:sz w:val="24"/>
              </w:rPr>
              <w:t>0.07%</w:t>
            </w:r>
          </w:p>
        </w:tc>
        <w:tc>
          <w:tcPr>
            <w:vAlign w:val="center"/>
          </w:tcPr>
          <w:p>
            <w:pPr>
              <w:jc w:val="center"/>
            </w:pPr>
            <w:r>
              <w:rPr>
                <w:color w:val="000000"/>
                <w:sz w:val="24"/>
              </w:rPr>
              <w:t>0.44%</w:t>
            </w:r>
          </w:p>
        </w:tc>
        <w:tc>
          <w:tcPr>
            <w:vAlign w:val="center"/>
          </w:tcPr>
          <w:p>
            <w:pPr>
              <w:jc w:val="center"/>
            </w:pPr>
            <w:r>
              <w:rPr>
                <w:color w:val="000000"/>
                <w:sz w:val="24"/>
              </w:rPr>
              <w:t>0.01%</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交银稳利中短债债券C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0.28%</w:t>
            </w:r>
          </w:p>
        </w:tc>
        <w:tc>
          <w:tcPr>
            <w:vAlign w:val="center"/>
          </w:tcPr>
          <w:p>
            <w:pPr>
              <w:jc w:val="center"/>
            </w:pPr>
            <w:r>
              <w:rPr>
                <w:color w:val="000000"/>
                <w:sz w:val="24"/>
              </w:rPr>
              <w:t>0.09%</w:t>
            </w:r>
          </w:p>
        </w:tc>
        <w:tc>
          <w:tcPr>
            <w:vAlign w:val="center"/>
          </w:tcPr>
          <w:p>
            <w:pPr>
              <w:jc w:val="center"/>
            </w:pPr>
            <w:r>
              <w:rPr>
                <w:color w:val="000000"/>
                <w:sz w:val="24"/>
              </w:rPr>
              <w:t>0.01%</w:t>
            </w:r>
          </w:p>
        </w:tc>
        <w:tc>
          <w:tcPr>
            <w:vAlign w:val="center"/>
          </w:tcPr>
          <w:p>
            <w:pPr>
              <w:jc w:val="center"/>
            </w:pPr>
            <w:r>
              <w:rPr>
                <w:color w:val="000000"/>
                <w:sz w:val="24"/>
              </w:rPr>
              <w:t>0.09%</w:t>
            </w:r>
          </w:p>
        </w:tc>
        <w:tc>
          <w:tcPr>
            <w:vAlign w:val="center"/>
          </w:tcPr>
          <w:p>
            <w:pPr>
              <w:jc w:val="center"/>
            </w:pPr>
            <w:r>
              <w:rPr>
                <w:color w:val="000000"/>
                <w:sz w:val="24"/>
              </w:rPr>
              <w:t>0.27%</w:t>
            </w:r>
          </w:p>
        </w:tc>
        <w:tc>
          <w:tcPr>
            <w:vAlign w:val="center"/>
          </w:tcPr>
          <w:p>
            <w:pPr>
              <w:jc w:val="center"/>
            </w:pPr>
            <w:r>
              <w:rPr>
                <w:color w:val="000000"/>
                <w:sz w:val="24"/>
              </w:rPr>
              <w:t>0.00%</w:t>
            </w:r>
          </w:p>
        </w:tc>
      </w:tr>
      <w:tr>
        <w:tc>
          <w:tcPr>
            <w:vAlign w:val="center"/>
          </w:tcPr>
          <w:p>
            <w:pPr>
              <w:jc w:val="left"/>
            </w:pPr>
            <w:r>
              <w:rPr>
                <w:color w:val="000000"/>
                <w:sz w:val="24"/>
              </w:rPr>
              <w:t>过去六个月</w:t>
            </w:r>
          </w:p>
        </w:tc>
        <w:tc>
          <w:tcPr>
            <w:vAlign w:val="center"/>
          </w:tcPr>
          <w:p>
            <w:pPr>
              <w:jc w:val="center"/>
            </w:pPr>
            <w:r>
              <w:rPr>
                <w:color w:val="000000"/>
                <w:sz w:val="24"/>
              </w:rPr>
              <w:t>2.07%</w:t>
            </w:r>
          </w:p>
        </w:tc>
        <w:tc>
          <w:tcPr>
            <w:vAlign w:val="center"/>
          </w:tcPr>
          <w:p>
            <w:pPr>
              <w:jc w:val="center"/>
            </w:pPr>
            <w:r>
              <w:rPr>
                <w:color w:val="000000"/>
                <w:sz w:val="24"/>
              </w:rPr>
              <w:t>0.08%</w:t>
            </w:r>
          </w:p>
        </w:tc>
        <w:tc>
          <w:tcPr>
            <w:vAlign w:val="center"/>
          </w:tcPr>
          <w:p>
            <w:pPr>
              <w:jc w:val="center"/>
            </w:pPr>
            <w:r>
              <w:rPr>
                <w:color w:val="000000"/>
                <w:sz w:val="24"/>
              </w:rPr>
              <w:t>1.53%</w:t>
            </w:r>
          </w:p>
        </w:tc>
        <w:tc>
          <w:tcPr>
            <w:vAlign w:val="center"/>
          </w:tcPr>
          <w:p>
            <w:pPr>
              <w:jc w:val="center"/>
            </w:pPr>
            <w:r>
              <w:rPr>
                <w:color w:val="000000"/>
                <w:sz w:val="24"/>
              </w:rPr>
              <w:t>0.07%</w:t>
            </w:r>
          </w:p>
        </w:tc>
        <w:tc>
          <w:tcPr>
            <w:vAlign w:val="center"/>
          </w:tcPr>
          <w:p>
            <w:pPr>
              <w:jc w:val="center"/>
            </w:pPr>
            <w:r>
              <w:rPr>
                <w:color w:val="000000"/>
                <w:sz w:val="24"/>
              </w:rPr>
              <w:t>0.54%</w:t>
            </w:r>
          </w:p>
        </w:tc>
        <w:tc>
          <w:tcPr>
            <w:vAlign w:val="center"/>
          </w:tcPr>
          <w:p>
            <w:pPr>
              <w:jc w:val="center"/>
            </w:pPr>
            <w:r>
              <w:rPr>
                <w:color w:val="000000"/>
                <w:sz w:val="24"/>
              </w:rPr>
              <w:t>0.01%</w:t>
            </w:r>
          </w:p>
        </w:tc>
      </w:tr>
      <w:tr>
        <w:tc>
          <w:tcPr>
            <w:vAlign w:val="center"/>
          </w:tcPr>
          <w:p>
            <w:pPr>
              <w:jc w:val="left"/>
            </w:pPr>
            <w:r>
              <w:rPr>
                <w:color w:val="000000"/>
                <w:sz w:val="24"/>
              </w:rPr>
              <w:t>自基金合同生效起至今</w:t>
            </w:r>
          </w:p>
        </w:tc>
        <w:tc>
          <w:tcPr>
            <w:vAlign w:val="center"/>
          </w:tcPr>
          <w:p>
            <w:pPr>
              <w:jc w:val="center"/>
            </w:pPr>
            <w:r>
              <w:rPr>
                <w:color w:val="000000"/>
                <w:sz w:val="24"/>
              </w:rPr>
              <w:t>2.15%</w:t>
            </w:r>
          </w:p>
        </w:tc>
        <w:tc>
          <w:tcPr>
            <w:vAlign w:val="center"/>
          </w:tcPr>
          <w:p>
            <w:pPr>
              <w:jc w:val="center"/>
            </w:pPr>
            <w:r>
              <w:rPr>
                <w:color w:val="000000"/>
                <w:sz w:val="24"/>
              </w:rPr>
              <w:t>0.08%</w:t>
            </w:r>
          </w:p>
        </w:tc>
        <w:tc>
          <w:tcPr>
            <w:vAlign w:val="center"/>
          </w:tcPr>
          <w:p>
            <w:pPr>
              <w:jc w:val="center"/>
            </w:pPr>
            <w:r>
              <w:rPr>
                <w:color w:val="000000"/>
                <w:sz w:val="24"/>
              </w:rPr>
              <w:t>1.93%</w:t>
            </w:r>
          </w:p>
        </w:tc>
        <w:tc>
          <w:tcPr>
            <w:vAlign w:val="center"/>
          </w:tcPr>
          <w:p>
            <w:pPr>
              <w:jc w:val="center"/>
            </w:pPr>
            <w:r>
              <w:rPr>
                <w:color w:val="000000"/>
                <w:sz w:val="24"/>
              </w:rPr>
              <w:t>0.07%</w:t>
            </w:r>
          </w:p>
        </w:tc>
        <w:tc>
          <w:tcPr>
            <w:vAlign w:val="center"/>
          </w:tcPr>
          <w:p>
            <w:pPr>
              <w:jc w:val="center"/>
            </w:pPr>
            <w:r>
              <w:rPr>
                <w:color w:val="000000"/>
                <w:sz w:val="24"/>
              </w:rPr>
              <w:t>0.22%</w:t>
            </w:r>
          </w:p>
        </w:tc>
        <w:tc>
          <w:tcPr>
            <w:vAlign w:val="center"/>
          </w:tcPr>
          <w:p>
            <w:pPr>
              <w:jc w:val="center"/>
            </w:pPr>
            <w:r>
              <w:rPr>
                <w:color w:val="000000"/>
                <w:sz w:val="24"/>
              </w:rPr>
              <w:t>0.01%</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交银施罗德稳利中短债债券型证券投资基金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2019年12月13日</w:t>
      </w:r>
      <w:r w:rsidR="009A045B" w:rsidRPr="007F52FA">
        <w:rPr>
          <w:rFonts w:ascii="Times New Roman" w:hAnsi="Times New Roman"/>
          <w:sz w:val="24"/>
          <w:szCs w:val="24"/>
        </w:rPr>
        <w:t>至</w:t>
      </w:r>
      <w:r w:rsidRPr="007F52FA">
        <w:rPr>
          <w:rFonts w:ascii="Times New Roman" w:hAnsi="Times New Roman"/>
          <w:sz w:val="24"/>
          <w:szCs w:val="24"/>
        </w:rPr>
        <w:t>2020年6月30日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交银稳利中短债债券A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基金合同生效日为2019年12月13日，基金合同生效日至报告期期末，本基金运作时间未满一年。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交银稳利中短债债券C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基金合同生效日为2019年12月13日，基金合同生效日至报告期期末，本基金运作时间未满一年。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交银理财21天债券、交银丰享收益债券、交银活期通货币、交银天利宝货币、交银裕隆纯债债券、交银天益宝货币、交银境尚收益债券、交银稳鑫短债债券、交银稳利中短债债券的基金经理</w:t>
            </w:r>
          </w:p>
        </w:tc>
        <w:tc>
          <w:tcPr>
            <w:vAlign w:val="center"/>
          </w:tcPr>
          <w:p>
            <w:pPr>
              <w:jc w:val="center"/>
            </w:pPr>
            <w:r>
              <w:rPr>
                <w:color w:val="000000"/>
                <w:sz w:val="24"/>
              </w:rPr>
              <w:t>2019-12-13</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受到经济回升预期、地方债和特别国债的供给放量冲击、对货币政策进一步大幅放松预期的落空等几方面因素的影响，债券收益率呈上行走势。由于短端资金价格中枢的明显上移，使得债券短端收益率上行幅度更大，收益率曲线呈现熊平态势。截止6月30日，一年国债和十年国债分别收于2.18%和2.82%，较一季度末分别上行49bp和23bp。</w:t>
      </w:r>
    </w:p>
    <w:p>
      <w:pPr>
        <w:spacing w:before="29" w:line="288" w:lineRule="auto"/>
        <w:ind w:firstLine="480" w:firstLineChars="200"/>
        <w:rPr>
          <w:color w:val="000000"/>
          <w:sz w:val="24"/>
        </w:rPr>
      </w:pPr>
      <w:r>
        <w:rPr>
          <w:color w:val="000000"/>
          <w:sz w:val="24"/>
        </w:rPr>
        <w:t>基金操作方面，本基金仍然是以信用债票息策略为主，适当降低了组合的久期。具体配置方面仍以1-3年中高等级信用债为底仓，同时配置了部分4-5年的高收益信用债，提高组合静态收益。由于资金成本相对较低，本基金适度运用杠杆操作增厚组合收益。</w:t>
      </w:r>
    </w:p>
    <w:p>
      <w:pPr>
        <w:spacing w:before="29" w:line="288" w:lineRule="auto"/>
        <w:ind w:firstLine="480" w:firstLineChars="200"/>
        <w:rPr>
          <w:color w:val="000000"/>
          <w:sz w:val="24"/>
        </w:rPr>
      </w:pPr>
      <w:r>
        <w:rPr>
          <w:color w:val="000000"/>
          <w:sz w:val="24"/>
        </w:rPr>
        <w:t>展望2020年三季度，在服务消费的带动下经济增速有望逐步回升，但近期观测到的工业增加值不及预期，显示经济复苏的基础并不牢固，在全球经济受疫情影响时间拉长、程度加深的背景下，经济更可能是一个弱复苏的态势。资金面方面，我们认为经过最近的调整，资金利率已经回归到了政策利率附近，考虑货币政策整体并未转向，国务院常务会议要求引导贷款与债券利率下行，资金利率继续上行的空间已经有限。</w:t>
      </w:r>
    </w:p>
    <w:p w:rsidP="007C14DF" w:rsidR="00952A72" w:rsidRDefault="00323F25" w:rsidRPr="007F52FA">
      <w:pPr>
        <w:spacing w:before="29" w:line="288" w:lineRule="auto"/>
        <w:ind w:firstLine="480" w:firstLineChars="200"/>
        <w:rPr>
          <w:color w:val="000000"/>
          <w:sz w:val="24"/>
        </w:rPr>
      </w:pPr>
      <w:r w:rsidRPr="007F52FA">
        <w:rPr>
          <w:color w:val="000000"/>
          <w:sz w:val="24"/>
        </w:rPr>
        <w:t>在此背景下，我们认为债券收益率继续大幅上行的空间相对有限，债券大概率维持震荡格局。组合操作方面，我们将会控制整体组合久期，采取票息策略为主的思路，在严控信用风险的基础上，对各类债券品种精耕细作，加强收益挖掘。同时，鉴于短端资金和资产收益利差空间仍然较为显著，我们会辅以合理杠杆水平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338,730,300.00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97.92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338,730,300.00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97.92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585,064.18</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0.17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6,616,043.90</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1.91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345,931,408.08</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20,999,300.00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6.31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20,999,300.00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6.31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10,054,000.00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3.02</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307,677,000.00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92.49</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338,730,300.00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101.83</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101900028</w:t>
            </w:r>
          </w:p>
        </w:tc>
        <w:tc>
          <w:tcPr>
            <w:vAlign w:val="center"/>
          </w:tcPr>
          <w:p>
            <w:pPr>
              <w:jc w:val="center"/>
            </w:pPr>
            <w:r>
              <w:rPr>
                <w:color w:val="000000"/>
                <w:sz w:val="24"/>
              </w:rPr>
              <w:t>19惠山经发MTN001</w:t>
            </w:r>
          </w:p>
        </w:tc>
        <w:tc>
          <w:tcPr>
            <w:vAlign w:val="center"/>
          </w:tcPr>
          <w:p>
            <w:pPr>
              <w:jc w:val="right"/>
            </w:pPr>
            <w:r>
              <w:rPr>
                <w:color w:val="000000"/>
                <w:sz w:val="24"/>
              </w:rPr>
              <w:t>200,000</w:t>
            </w:r>
          </w:p>
        </w:tc>
        <w:tc>
          <w:tcPr>
            <w:vAlign w:val="center"/>
          </w:tcPr>
          <w:p>
            <w:pPr>
              <w:jc w:val="right"/>
            </w:pPr>
            <w:r>
              <w:rPr>
                <w:color w:val="000000"/>
                <w:sz w:val="24"/>
              </w:rPr>
              <w:t>20,748,000.00</w:t>
            </w:r>
          </w:p>
        </w:tc>
        <w:tc>
          <w:tcPr>
            <w:vAlign w:val="center"/>
          </w:tcPr>
          <w:p>
            <w:pPr>
              <w:jc w:val="right"/>
            </w:pPr>
            <w:r>
              <w:rPr>
                <w:color w:val="000000"/>
                <w:sz w:val="24"/>
              </w:rPr>
              <w:t>6.24</w:t>
            </w:r>
          </w:p>
        </w:tc>
      </w:tr>
      <w:tr>
        <w:tc>
          <w:tcPr>
            <w:vAlign w:val="center"/>
          </w:tcPr>
          <w:p>
            <w:pPr>
              <w:jc w:val="center"/>
            </w:pPr>
            <w:r>
              <w:rPr>
                <w:color w:val="000000"/>
                <w:sz w:val="24"/>
              </w:rPr>
              <w:t>2</w:t>
            </w:r>
          </w:p>
        </w:tc>
        <w:tc>
          <w:tcPr>
            <w:vAlign w:val="center"/>
          </w:tcPr>
          <w:p>
            <w:pPr>
              <w:jc w:val="center"/>
            </w:pPr>
            <w:r>
              <w:rPr>
                <w:color w:val="000000"/>
                <w:sz w:val="24"/>
              </w:rPr>
              <w:t>101901289</w:t>
            </w:r>
          </w:p>
        </w:tc>
        <w:tc>
          <w:tcPr>
            <w:vAlign w:val="center"/>
          </w:tcPr>
          <w:p>
            <w:pPr>
              <w:jc w:val="center"/>
            </w:pPr>
            <w:r>
              <w:rPr>
                <w:color w:val="000000"/>
                <w:sz w:val="24"/>
              </w:rPr>
              <w:t>19空港兴城MTN001B</w:t>
            </w:r>
          </w:p>
        </w:tc>
        <w:tc>
          <w:tcPr>
            <w:vAlign w:val="center"/>
          </w:tcPr>
          <w:p>
            <w:pPr>
              <w:jc w:val="right"/>
            </w:pPr>
            <w:r>
              <w:rPr>
                <w:color w:val="000000"/>
                <w:sz w:val="24"/>
              </w:rPr>
              <w:t>200,000</w:t>
            </w:r>
          </w:p>
        </w:tc>
        <w:tc>
          <w:tcPr>
            <w:vAlign w:val="center"/>
          </w:tcPr>
          <w:p>
            <w:pPr>
              <w:jc w:val="right"/>
            </w:pPr>
            <w:r>
              <w:rPr>
                <w:color w:val="000000"/>
                <w:sz w:val="24"/>
              </w:rPr>
              <w:t>20,648,000.00</w:t>
            </w:r>
          </w:p>
        </w:tc>
        <w:tc>
          <w:tcPr>
            <w:vAlign w:val="center"/>
          </w:tcPr>
          <w:p>
            <w:pPr>
              <w:jc w:val="right"/>
            </w:pPr>
            <w:r>
              <w:rPr>
                <w:color w:val="000000"/>
                <w:sz w:val="24"/>
              </w:rPr>
              <w:t>6.21</w:t>
            </w:r>
          </w:p>
        </w:tc>
      </w:tr>
      <w:tr>
        <w:tc>
          <w:tcPr>
            <w:vAlign w:val="center"/>
          </w:tcPr>
          <w:p>
            <w:pPr>
              <w:jc w:val="center"/>
            </w:pPr>
            <w:r>
              <w:rPr>
                <w:color w:val="000000"/>
                <w:sz w:val="24"/>
              </w:rPr>
              <w:t>3</w:t>
            </w:r>
          </w:p>
        </w:tc>
        <w:tc>
          <w:tcPr>
            <w:vAlign w:val="center"/>
          </w:tcPr>
          <w:p>
            <w:pPr>
              <w:jc w:val="center"/>
            </w:pPr>
            <w:r>
              <w:rPr>
                <w:color w:val="000000"/>
                <w:sz w:val="24"/>
              </w:rPr>
              <w:t>101773001</w:t>
            </w:r>
          </w:p>
        </w:tc>
        <w:tc>
          <w:tcPr>
            <w:vAlign w:val="center"/>
          </w:tcPr>
          <w:p>
            <w:pPr>
              <w:jc w:val="center"/>
            </w:pPr>
            <w:r>
              <w:rPr>
                <w:color w:val="000000"/>
                <w:sz w:val="24"/>
              </w:rPr>
              <w:t>17安庆城投MTN001</w:t>
            </w:r>
          </w:p>
        </w:tc>
        <w:tc>
          <w:tcPr>
            <w:vAlign w:val="center"/>
          </w:tcPr>
          <w:p>
            <w:pPr>
              <w:jc w:val="right"/>
            </w:pPr>
            <w:r>
              <w:rPr>
                <w:color w:val="000000"/>
                <w:sz w:val="24"/>
              </w:rPr>
              <w:t>200,000</w:t>
            </w:r>
          </w:p>
        </w:tc>
        <w:tc>
          <w:tcPr>
            <w:vAlign w:val="center"/>
          </w:tcPr>
          <w:p>
            <w:pPr>
              <w:jc w:val="right"/>
            </w:pPr>
            <w:r>
              <w:rPr>
                <w:color w:val="000000"/>
                <w:sz w:val="24"/>
              </w:rPr>
              <w:t>20,632,000.00</w:t>
            </w:r>
          </w:p>
        </w:tc>
        <w:tc>
          <w:tcPr>
            <w:vAlign w:val="center"/>
          </w:tcPr>
          <w:p>
            <w:pPr>
              <w:jc w:val="right"/>
            </w:pPr>
            <w:r>
              <w:rPr>
                <w:color w:val="000000"/>
                <w:sz w:val="24"/>
              </w:rPr>
              <w:t>6.20</w:t>
            </w:r>
          </w:p>
        </w:tc>
      </w:tr>
      <w:tr>
        <w:tc>
          <w:tcPr>
            <w:vAlign w:val="center"/>
          </w:tcPr>
          <w:p>
            <w:pPr>
              <w:jc w:val="center"/>
            </w:pPr>
            <w:r>
              <w:rPr>
                <w:color w:val="000000"/>
                <w:sz w:val="24"/>
              </w:rPr>
              <w:t>4</w:t>
            </w:r>
          </w:p>
        </w:tc>
        <w:tc>
          <w:tcPr>
            <w:vAlign w:val="center"/>
          </w:tcPr>
          <w:p>
            <w:pPr>
              <w:jc w:val="center"/>
            </w:pPr>
            <w:r>
              <w:rPr>
                <w:color w:val="000000"/>
                <w:sz w:val="24"/>
              </w:rPr>
              <w:t>101901335</w:t>
            </w:r>
          </w:p>
        </w:tc>
        <w:tc>
          <w:tcPr>
            <w:vAlign w:val="center"/>
          </w:tcPr>
          <w:p>
            <w:pPr>
              <w:jc w:val="center"/>
            </w:pPr>
            <w:r>
              <w:rPr>
                <w:color w:val="000000"/>
                <w:sz w:val="24"/>
              </w:rPr>
              <w:t>19黔铁投MTN002</w:t>
            </w:r>
          </w:p>
        </w:tc>
        <w:tc>
          <w:tcPr>
            <w:vAlign w:val="center"/>
          </w:tcPr>
          <w:p>
            <w:pPr>
              <w:jc w:val="right"/>
            </w:pPr>
            <w:r>
              <w:rPr>
                <w:color w:val="000000"/>
                <w:sz w:val="24"/>
              </w:rPr>
              <w:t>200,000</w:t>
            </w:r>
          </w:p>
        </w:tc>
        <w:tc>
          <w:tcPr>
            <w:vAlign w:val="center"/>
          </w:tcPr>
          <w:p>
            <w:pPr>
              <w:jc w:val="right"/>
            </w:pPr>
            <w:r>
              <w:rPr>
                <w:color w:val="000000"/>
                <w:sz w:val="24"/>
              </w:rPr>
              <w:t>20,506,000.00</w:t>
            </w:r>
          </w:p>
        </w:tc>
        <w:tc>
          <w:tcPr>
            <w:vAlign w:val="center"/>
          </w:tcPr>
          <w:p>
            <w:pPr>
              <w:jc w:val="right"/>
            </w:pPr>
            <w:r>
              <w:rPr>
                <w:color w:val="000000"/>
                <w:sz w:val="24"/>
              </w:rPr>
              <w:t>6.16</w:t>
            </w:r>
          </w:p>
        </w:tc>
      </w:tr>
      <w:tr>
        <w:tc>
          <w:tcPr>
            <w:vAlign w:val="center"/>
          </w:tcPr>
          <w:p>
            <w:pPr>
              <w:jc w:val="center"/>
            </w:pPr>
            <w:r>
              <w:rPr>
                <w:color w:val="000000"/>
                <w:sz w:val="24"/>
              </w:rPr>
              <w:t>5</w:t>
            </w:r>
          </w:p>
        </w:tc>
        <w:tc>
          <w:tcPr>
            <w:vAlign w:val="center"/>
          </w:tcPr>
          <w:p>
            <w:pPr>
              <w:jc w:val="center"/>
            </w:pPr>
            <w:r>
              <w:rPr>
                <w:color w:val="000000"/>
                <w:sz w:val="24"/>
              </w:rPr>
              <w:t>101900433</w:t>
            </w:r>
          </w:p>
        </w:tc>
        <w:tc>
          <w:tcPr>
            <w:vAlign w:val="center"/>
          </w:tcPr>
          <w:p>
            <w:pPr>
              <w:jc w:val="center"/>
            </w:pPr>
            <w:r>
              <w:rPr>
                <w:color w:val="000000"/>
                <w:sz w:val="24"/>
              </w:rPr>
              <w:t>19淮安国投MTN002</w:t>
            </w:r>
          </w:p>
        </w:tc>
        <w:tc>
          <w:tcPr>
            <w:vAlign w:val="center"/>
          </w:tcPr>
          <w:p>
            <w:pPr>
              <w:jc w:val="right"/>
            </w:pPr>
            <w:r>
              <w:rPr>
                <w:color w:val="000000"/>
                <w:sz w:val="24"/>
              </w:rPr>
              <w:t>200,000</w:t>
            </w:r>
          </w:p>
        </w:tc>
        <w:tc>
          <w:tcPr>
            <w:vAlign w:val="center"/>
          </w:tcPr>
          <w:p>
            <w:pPr>
              <w:jc w:val="right"/>
            </w:pPr>
            <w:r>
              <w:rPr>
                <w:color w:val="000000"/>
                <w:sz w:val="24"/>
              </w:rPr>
              <w:t>20,504,000.00</w:t>
            </w:r>
          </w:p>
        </w:tc>
        <w:tc>
          <w:tcPr>
            <w:vAlign w:val="center"/>
          </w:tcPr>
          <w:p>
            <w:pPr>
              <w:jc w:val="right"/>
            </w:pPr>
            <w:r>
              <w:rPr>
                <w:color w:val="000000"/>
                <w:sz w:val="24"/>
              </w:rPr>
              <w:t>6.16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9,837.45</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6,564,058.45</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42,148.00</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6,616,043.90</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交银稳利中短债债券A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交银稳利中短债债券C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293,013,648.73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105,060,614.94</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146,977,595.88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1,336,725.43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166,883,931.04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54,445,773.94</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273,107,313.57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51,951,566.43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2020/4/1-2020/6/30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48,760,483.71</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48,760,483.71</w:t>
            </w:r>
          </w:p>
        </w:tc>
        <w:tc>
          <w:tcPr>
            <w:vAlign w:val="center"/>
          </w:tcPr>
          <w:p>
            <w:pPr>
              <w:jc w:val="center"/>
            </w:pPr>
            <w:r>
              <w:rPr>
                <w:rFonts w:ascii="宋体" w:hAnsi="宋体" w:hint="eastAsia"/>
                <w:color w:val="000000"/>
                <w:kern w:val="0"/>
                <w:szCs w:val="21"/>
              </w:rPr>
              <w:t>15.00%</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2020/4/1-2020/6/30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97,760,289.37</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97,760,289.37</w:t>
            </w:r>
          </w:p>
        </w:tc>
        <w:tc>
          <w:tcPr>
            <w:vAlign w:val="center"/>
          </w:tcPr>
          <w:p>
            <w:pPr>
              <w:jc w:val="center"/>
            </w:pPr>
            <w:r>
              <w:rPr>
                <w:rFonts w:ascii="宋体" w:hAnsi="宋体" w:hint="eastAsia"/>
                <w:color w:val="000000"/>
                <w:kern w:val="0"/>
                <w:szCs w:val="21"/>
              </w:rPr>
              <w:t>30.07%</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1、中国证监会准予交银施罗德稳利中短债债券型证券投资基金募集注册的文件；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2、《交银施罗德稳利中短债债券型证券投资基金基金合同》；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3、《交银施罗德稳利中短债债券型证券投资基金招募说明书》；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4、《交银施罗德稳利中短债债券型证券投资基金托管协议》；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5、关于申请募集注册交银施罗德稳利中短债债券型证券投资基金的法律意见书；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8、报告期内交银施罗德稳利中短债债券型证券投资基金在指定报刊上各项公告的原稿。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交银施罗德稳利中短债债券型证券投资基金2020年第2季度报告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