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7C14DF" w:rsidR="009A2283" w:rsidRDefault="009A2283" w:rsidRPr="007F52FA">
      <w:pPr>
        <w:autoSpaceDE w:val="0"/>
        <w:autoSpaceDN w:val="0"/>
        <w:adjustRightInd w:val="0"/>
        <w:spacing w:before="29" w:line="288" w:lineRule="auto"/>
        <w:jc w:val="left"/>
        <w:rPr>
          <w:rFonts w:eastAsiaTheme="minorEastAsia"/>
          <w:color w:val="000000"/>
          <w:kern w:val="0"/>
          <w:sz w:val="24"/>
        </w:rPr>
      </w:pPr>
    </w:p>
    <w:p w:rsidP="007C14DF" w:rsidR="009A2283" w:rsidRDefault="009A2283" w:rsidRPr="007F52FA">
      <w:pPr>
        <w:autoSpaceDE w:val="0"/>
        <w:autoSpaceDN w:val="0"/>
        <w:adjustRightInd w:val="0"/>
        <w:spacing w:before="29" w:line="288" w:lineRule="auto"/>
        <w:jc w:val="left"/>
        <w:rPr>
          <w:rFonts w:eastAsiaTheme="minorEastAsia"/>
          <w:color w:val="000000"/>
          <w:kern w:val="0"/>
          <w:sz w:val="24"/>
        </w:rPr>
      </w:pPr>
    </w:p>
    <w:p w:rsidP="007C14DF" w:rsidR="00FC7F43" w:rsidRDefault="00FC7F43" w:rsidRPr="007F52FA">
      <w:pPr>
        <w:autoSpaceDE w:val="0"/>
        <w:autoSpaceDN w:val="0"/>
        <w:adjustRightInd w:val="0"/>
        <w:spacing w:before="29" w:line="288" w:lineRule="auto"/>
        <w:jc w:val="left"/>
        <w:rPr>
          <w:rFonts w:eastAsiaTheme="minorEastAsia"/>
          <w:color w:val="000000"/>
          <w:kern w:val="0"/>
          <w:sz w:val="24"/>
        </w:rPr>
      </w:pPr>
    </w:p>
    <w:p w:rsidP="007C14DF" w:rsidR="009A2283" w:rsidRDefault="009A2283" w:rsidRPr="007F52FA">
      <w:pPr>
        <w:autoSpaceDE w:val="0"/>
        <w:autoSpaceDN w:val="0"/>
        <w:adjustRightInd w:val="0"/>
        <w:spacing w:before="29" w:line="288" w:lineRule="auto"/>
        <w:jc w:val="left"/>
        <w:rPr>
          <w:rFonts w:eastAsiaTheme="minorEastAsia"/>
          <w:color w:val="000000"/>
          <w:kern w:val="0"/>
          <w:sz w:val="24"/>
        </w:rPr>
      </w:pPr>
    </w:p>
    <w:p w:rsidP="007C14DF" w:rsidR="009A2283" w:rsidRDefault="009A2283" w:rsidRPr="007F52FA">
      <w:pPr>
        <w:autoSpaceDE w:val="0"/>
        <w:autoSpaceDN w:val="0"/>
        <w:adjustRightInd w:val="0"/>
        <w:spacing w:before="29" w:line="288" w:lineRule="auto"/>
        <w:jc w:val="left"/>
        <w:rPr>
          <w:rFonts w:eastAsiaTheme="minorEastAsia"/>
          <w:color w:val="000000"/>
          <w:kern w:val="0"/>
          <w:sz w:val="24"/>
        </w:rPr>
      </w:pPr>
    </w:p>
    <w:p w:rsidP="007C14DF" w:rsidR="009A2283" w:rsidRDefault="002D2A00" w:rsidRPr="005858C2">
      <w:pPr>
        <w:spacing w:before="29" w:line="288" w:lineRule="auto"/>
        <w:jc w:val="center"/>
        <w:rPr>
          <w:rFonts w:eastAsiaTheme="minorEastAsia"/>
          <w:b/>
          <w:sz w:val="36"/>
          <w:szCs w:val="36"/>
        </w:rPr>
      </w:pPr>
      <w:r w:rsidRPr="005858C2">
        <w:rPr>
          <w:rFonts w:eastAsiaTheme="minorEastAsia"/>
          <w:b/>
          <w:sz w:val="36"/>
          <w:szCs w:val="36"/>
        </w:rPr>
        <w:t>交银施罗德稳利中短债债券型证券投资基金</w:t>
      </w:r>
    </w:p>
    <w:p w:rsidP="007C14DF" w:rsidR="002D2A00" w:rsidRDefault="002D2A00" w:rsidRPr="005858C2">
      <w:pPr>
        <w:spacing w:before="29" w:line="288" w:lineRule="auto"/>
        <w:jc w:val="center"/>
        <w:rPr>
          <w:rFonts w:eastAsiaTheme="minorEastAsia"/>
          <w:b/>
          <w:sz w:val="36"/>
          <w:szCs w:val="36"/>
        </w:rPr>
      </w:pPr>
      <w:r w:rsidRPr="005858C2">
        <w:rPr>
          <w:rFonts w:eastAsiaTheme="minorEastAsia"/>
          <w:b/>
          <w:sz w:val="36"/>
          <w:szCs w:val="36"/>
        </w:rPr>
        <w:t>2020年第2季度报告</w:t>
      </w:r>
    </w:p>
    <w:p w:rsidP="007C14DF" w:rsidR="009A2283" w:rsidRDefault="00577209" w:rsidRPr="005858C2">
      <w:pPr>
        <w:spacing w:before="29" w:line="288" w:lineRule="auto"/>
        <w:jc w:val="center"/>
        <w:rPr>
          <w:b/>
          <w:sz w:val="36"/>
          <w:szCs w:val="36"/>
        </w:rPr>
      </w:pPr>
      <w:r w:rsidRPr="005858C2">
        <w:rPr>
          <w:b/>
          <w:sz w:val="36"/>
          <w:szCs w:val="36"/>
        </w:rPr>
        <w:t/>
      </w:r>
      <w:r w:rsidR="00121533" w:rsidRPr="005858C2">
        <w:rPr>
          <w:b/>
          <w:sz w:val="36"/>
          <w:szCs w:val="36"/>
        </w:rPr>
        <w:t>2020年6月30日</w:t>
      </w: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657487">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E27360" w:rsidRDefault="00E27360"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rPr>
          <w:color w:val="000000"/>
          <w:sz w:val="24"/>
        </w:rPr>
      </w:pPr>
    </w:p>
    <w:p w:rsidP="007C14DF" w:rsidR="00BD1A02" w:rsidRDefault="009A2283" w:rsidRPr="005858C2">
      <w:pPr>
        <w:spacing w:before="29" w:line="288" w:lineRule="auto"/>
        <w:ind w:firstLine="2168" w:firstLineChars="900"/>
        <w:rPr>
          <w:b/>
          <w:color w:val="000000"/>
          <w:sz w:val="24"/>
        </w:rPr>
      </w:pPr>
      <w:r w:rsidRPr="005858C2">
        <w:rPr>
          <w:b/>
          <w:color w:val="000000"/>
          <w:sz w:val="24"/>
        </w:rPr>
        <w:t>基金管理人：</w:t>
      </w:r>
      <w:r w:rsidR="00BF377F" w:rsidRPr="005858C2">
        <w:rPr>
          <w:b/>
          <w:color w:val="000000"/>
          <w:sz w:val="24"/>
        </w:rPr>
        <w:t>交银施罗德基金管理有限公司</w:t>
      </w:r>
    </w:p>
    <w:p w:rsidP="007C14DF" w:rsidR="00BD1A02" w:rsidRDefault="009A2283" w:rsidRPr="005858C2">
      <w:pPr>
        <w:spacing w:before="29" w:line="288" w:lineRule="auto"/>
        <w:ind w:firstLine="2168" w:firstLineChars="900"/>
        <w:rPr>
          <w:b/>
          <w:color w:val="000000"/>
          <w:sz w:val="24"/>
        </w:rPr>
      </w:pPr>
      <w:r w:rsidRPr="005858C2">
        <w:rPr>
          <w:b/>
          <w:color w:val="000000"/>
          <w:sz w:val="24"/>
        </w:rPr>
        <w:t>基金托管人：</w:t>
      </w:r>
      <w:r w:rsidR="00BF377F" w:rsidRPr="005858C2">
        <w:rPr>
          <w:b/>
          <w:color w:val="000000"/>
          <w:sz w:val="24"/>
        </w:rPr>
        <w:t>中信银行股份有限公司</w:t>
      </w:r>
    </w:p>
    <w:p w:rsidP="007C14DF" w:rsidR="009A2283" w:rsidRDefault="009A2283" w:rsidRPr="005858C2">
      <w:pPr>
        <w:spacing w:before="29" w:line="288" w:lineRule="auto"/>
        <w:ind w:firstLine="2168" w:firstLineChars="900"/>
        <w:rPr>
          <w:b/>
          <w:sz w:val="24"/>
        </w:rPr>
        <w:sectPr w:rsidR="009A2283" w:rsidRPr="005858C2" w:rsidSect="00D3445F">
          <w:headerReference r:id="rId8" w:type="even"/>
          <w:headerReference r:id="rId9" w:type="default"/>
          <w:footerReference r:id="rId10" w:type="even"/>
          <w:footerReference r:id="rId11" w:type="default"/>
          <w:headerReference r:id="rId12" w:type="first"/>
          <w:footerReference r:id="rId13" w:type="first"/>
          <w:pgSz w:h="15840" w:w="11926"/>
          <w:pgMar w:bottom="851" w:footer="992" w:gutter="0" w:header="851" w:left="1440" w:right="1440" w:top="1418"/>
          <w:cols w:space="720"/>
          <w:noEndnote/>
          <w:titlePg/>
          <w:docGrid w:linePitch="286"/>
        </w:sectPr>
      </w:pPr>
      <w:r w:rsidRPr="005858C2">
        <w:rPr>
          <w:b/>
          <w:color w:val="000000"/>
          <w:sz w:val="24"/>
        </w:rPr>
        <w:t>报告送出日期：</w:t>
      </w:r>
      <w:r w:rsidR="00D04410" w:rsidRPr="005858C2">
        <w:rPr>
          <w:b/>
          <w:color w:val="000000"/>
          <w:sz w:val="24"/>
        </w:rPr>
        <w:t>二〇二〇年七月二十一日</w:t>
      </w:r>
    </w:p>
    <w:p w:rsidP="000A2988" w:rsidR="009238DB" w:rsidRDefault="009238DB" w:rsidRPr="007F52FA">
      <w:pPr>
        <w:pStyle w:val="1"/>
        <w:spacing w:after="312" w:afterLines="100" w:before="312" w:beforeLines="100"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pPr>
        <w:spacing w:before="29" w:line="288" w:lineRule="auto"/>
        <w:ind w:firstLine="480" w:firstLineChars="200"/>
        <w:rPr>
          <w:rFonts w:eastAsiaTheme="minorEastAsia"/>
          <w:color w:val="000000"/>
          <w:sz w:val="24"/>
        </w:rPr>
      </w:pPr>
      <w:r>
        <w:rPr>
          <w:rFonts w:eastAsiaTheme="minorEastAsia"/>
          <w:color w:val="000000"/>
          <w:sz w:val="24"/>
        </w:rPr>
        <w:t xml:space="preserve">基金管理人的董事会及董事保证本报告所载资料不存在虚假记载、误导性陈述或重大遗漏，并对其内容的真实性、准确性和完整性承担个别及连带责任。 </w:t>
      </w:r>
    </w:p>
    <w:p>
      <w:pPr>
        <w:spacing w:before="29" w:line="288" w:lineRule="auto"/>
        <w:ind w:firstLine="480" w:firstLineChars="200"/>
        <w:rPr>
          <w:rFonts w:eastAsiaTheme="minorEastAsia"/>
          <w:color w:val="000000"/>
          <w:sz w:val="24"/>
        </w:rPr>
      </w:pPr>
      <w:r>
        <w:rPr>
          <w:rFonts w:eastAsiaTheme="minorEastAsia"/>
          <w:color w:val="000000"/>
          <w:sz w:val="24"/>
        </w:rPr>
        <w:t xml:space="preserve">基金托管人中信银行股份有限公司根据本基金合同规定，于2020年7月20日复核了本报告中的财务指标、净值表现和投资组合报告等内容，保证复核内容不存在虚假记载、误导性陈述或者重大遗漏。 </w:t>
      </w:r>
    </w:p>
    <w:p>
      <w:pPr>
        <w:spacing w:before="29" w:line="288" w:lineRule="auto"/>
        <w:ind w:firstLine="480" w:firstLineChars="200"/>
        <w:rPr>
          <w:rFonts w:eastAsiaTheme="minorEastAsia"/>
          <w:color w:val="000000"/>
          <w:sz w:val="24"/>
        </w:rPr>
      </w:pPr>
      <w:r>
        <w:rPr>
          <w:rFonts w:eastAsiaTheme="minorEastAsia"/>
          <w:color w:val="000000"/>
          <w:sz w:val="24"/>
        </w:rPr>
        <w:t xml:space="preserve">基金管理人承诺以诚实信用、勤勉尽责的原则管理和运用基金资产，但不保证基金一定盈利。 </w:t>
      </w:r>
    </w:p>
    <w:p>
      <w:pPr>
        <w:spacing w:before="29" w:line="288" w:lineRule="auto"/>
        <w:ind w:firstLine="480" w:firstLineChars="200"/>
        <w:rPr>
          <w:rFonts w:eastAsiaTheme="minorEastAsia"/>
          <w:color w:val="000000"/>
          <w:sz w:val="24"/>
        </w:rPr>
      </w:pPr>
      <w:r>
        <w:rPr>
          <w:rFonts w:eastAsiaTheme="minorEastAsia"/>
          <w:color w:val="000000"/>
          <w:sz w:val="24"/>
        </w:rPr>
        <w:t xml:space="preserve">基金的过往业绩并不代表其未来表现。投资有风险，投资者在作出投资决策前应仔细阅读本基金的招募说明书。 </w:t>
      </w:r>
    </w:p>
    <w:p>
      <w:pPr>
        <w:spacing w:before="29" w:line="288" w:lineRule="auto"/>
        <w:ind w:firstLine="480" w:firstLineChars="200"/>
        <w:rPr>
          <w:rFonts w:eastAsiaTheme="minorEastAsia"/>
          <w:color w:val="000000"/>
          <w:sz w:val="24"/>
        </w:rPr>
      </w:pPr>
      <w:r>
        <w:rPr>
          <w:rFonts w:eastAsiaTheme="minorEastAsia"/>
          <w:color w:val="000000"/>
          <w:sz w:val="24"/>
        </w:rPr>
        <w:t>本报告中财务资料未经审计。</w:t>
      </w:r>
    </w:p>
    <w:p w:rsidP="007C14DF" w:rsidR="009238DB" w:rsidRDefault="00267DA9" w:rsidRPr="007F52FA">
      <w:pPr>
        <w:spacing w:before="29" w:line="288" w:lineRule="auto"/>
        <w:ind w:firstLine="480" w:firstLineChars="200"/>
        <w:rPr>
          <w:rFonts w:eastAsiaTheme="minorEastAsia"/>
          <w:color w:val="000000"/>
          <w:sz w:val="24"/>
        </w:rPr>
      </w:pPr>
      <w:r w:rsidRPr="007F52FA">
        <w:rPr>
          <w:rFonts w:eastAsiaTheme="minorEastAsia"/>
          <w:color w:val="000000"/>
          <w:sz w:val="24"/>
        </w:rPr>
        <w:t>本报告期自2020年4月1日起至6月30日止。</w:t>
      </w:r>
    </w:p>
    <w:p w:rsidP="007C14DF" w:rsidR="00740635" w:rsidRDefault="00740635" w:rsidRPr="007F52FA">
      <w:pPr>
        <w:spacing w:before="29" w:line="288" w:lineRule="auto"/>
        <w:ind w:firstLine="480" w:firstLineChars="200"/>
        <w:rPr>
          <w:rFonts w:eastAsiaTheme="minorEastAsia"/>
          <w:color w:val="000000"/>
          <w:sz w:val="24"/>
        </w:rPr>
      </w:pPr>
    </w:p>
    <w:p w:rsidP="000A2988" w:rsidR="009238DB" w:rsidRDefault="009238DB" w:rsidRPr="007F52FA">
      <w:pPr>
        <w:pStyle w:val="1"/>
        <w:spacing w:after="312" w:afterLines="100" w:before="312" w:beforeLines="100"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type="dxa" w:w="8993"/>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023"/>
        <w:gridCol w:w="2922"/>
        <w:gridCol w:w="3048"/>
      </w:tblGrid>
      <w:tr w:rsidR="00A6200E" w:rsidRPr="007F52FA" w:rsidTr="009416C9">
        <w:trPr>
          <w:jc w:val="center"/>
        </w:trPr>
        <w:tc>
          <w:tcPr>
            <w:tcW w:type="dxa" w:w="3023"/>
            <w:vAlign w:val="center"/>
          </w:tcPr>
          <w:p w:rsidP="007C14DF" w:rsidR="00A6200E" w:rsidRDefault="00A6200E" w:rsidRPr="007F52FA">
            <w:pPr>
              <w:adjustRightInd w:val="0"/>
              <w:spacing w:before="29" w:line="288" w:lineRule="auto"/>
              <w:ind w:left="17"/>
              <w:jc w:val="left"/>
              <w:rPr>
                <w:kern w:val="0"/>
                <w:sz w:val="24"/>
              </w:rPr>
            </w:pPr>
            <w:r w:rsidRPr="007F52FA">
              <w:rPr>
                <w:kern w:val="0"/>
                <w:sz w:val="24"/>
              </w:rPr>
              <w:t>基金简称</w:t>
            </w:r>
          </w:p>
        </w:tc>
        <w:tc>
          <w:tcPr>
            <w:tcW w:type="dxa" w:w="5970"/>
            <w:gridSpan w:val="2"/>
            <w:vAlign w:val="center"/>
          </w:tcPr>
          <w:p w:rsidP="007C14DF" w:rsidR="00A6200E" w:rsidRDefault="00A6200E" w:rsidRPr="007F52FA">
            <w:pPr>
              <w:adjustRightInd w:val="0"/>
              <w:spacing w:before="29" w:line="288" w:lineRule="auto"/>
              <w:ind w:left="17"/>
              <w:jc w:val="left"/>
              <w:rPr>
                <w:color w:val="000000"/>
                <w:kern w:val="0"/>
                <w:sz w:val="24"/>
              </w:rPr>
            </w:pPr>
            <w:r w:rsidRPr="007F52FA">
              <w:rPr>
                <w:color w:val="000000"/>
                <w:kern w:val="0"/>
                <w:sz w:val="24"/>
              </w:rPr>
              <w:t>交银稳利中短债债券</w:t>
            </w:r>
          </w:p>
        </w:tc>
      </w:tr>
      <w:tr w:rsidR="00B95753" w:rsidRPr="007F52FA" w:rsidTr="009416C9">
        <w:trPr>
          <w:jc w:val="center"/>
        </w:trPr>
        <w:tc>
          <w:tcPr>
            <w:tcW w:type="dxa" w:w="3023"/>
            <w:vAlign w:val="center"/>
          </w:tcPr>
          <w:p w:rsidP="007C14DF" w:rsidR="00B95753" w:rsidRDefault="00B95753" w:rsidRPr="007F52FA">
            <w:pPr>
              <w:adjustRightInd w:val="0"/>
              <w:spacing w:before="29" w:line="288" w:lineRule="auto"/>
              <w:ind w:left="17"/>
              <w:jc w:val="left"/>
              <w:rPr>
                <w:kern w:val="0"/>
                <w:sz w:val="24"/>
              </w:rPr>
            </w:pPr>
            <w:r w:rsidRPr="007F52FA">
              <w:rPr>
                <w:kern w:val="0"/>
                <w:sz w:val="24"/>
              </w:rPr>
              <w:t>基金主代码</w:t>
            </w:r>
          </w:p>
        </w:tc>
        <w:tc>
          <w:tcPr>
            <w:tcW w:type="dxa" w:w="5970"/>
            <w:gridSpan w:val="2"/>
            <w:tcBorders>
              <w:bottom w:color="auto" w:space="0" w:sz="4" w:val="single"/>
            </w:tcBorders>
            <w:vAlign w:val="center"/>
          </w:tcPr>
          <w:p w:rsidP="007C14DF" w:rsidR="00B95753" w:rsidRDefault="00B95753" w:rsidRPr="007F52FA">
            <w:pPr>
              <w:adjustRightInd w:val="0"/>
              <w:spacing w:before="29" w:line="288" w:lineRule="auto"/>
              <w:ind w:left="17"/>
              <w:jc w:val="left"/>
              <w:rPr>
                <w:color w:val="000000"/>
                <w:kern w:val="0"/>
                <w:sz w:val="24"/>
              </w:rPr>
            </w:pPr>
            <w:r w:rsidRPr="007F52FA">
              <w:rPr>
                <w:color w:val="000000"/>
                <w:kern w:val="0"/>
                <w:sz w:val="24"/>
              </w:rPr>
              <w:t>008204</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基金运作方式</w:t>
            </w:r>
          </w:p>
        </w:tc>
        <w:tc>
          <w:tcPr>
            <w:tcW w:type="dxa" w:w="5970"/>
            <w:gridSpan w:val="2"/>
            <w:tcBorders>
              <w:top w:color="auto" w:space="0" w:sz="4" w:val="single"/>
            </w:tcBorders>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契约型开放式</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基金合同生效日</w:t>
            </w:r>
          </w:p>
        </w:tc>
        <w:tc>
          <w:tcPr>
            <w:tcW w:type="dxa" w:w="5970"/>
            <w:gridSpan w:val="2"/>
            <w:vAlign w:val="center"/>
          </w:tcPr>
          <w:p w:rsidP="007C14DF" w:rsidR="008532F3" w:rsidRDefault="008532F3" w:rsidRPr="007F52FA">
            <w:pPr>
              <w:adjustRightInd w:val="0"/>
              <w:spacing w:before="29" w:line="288" w:lineRule="auto"/>
              <w:ind w:left="17"/>
              <w:jc w:val="left"/>
              <w:rPr>
                <w:color w:val="000000"/>
                <w:kern w:val="0"/>
                <w:sz w:val="24"/>
              </w:rPr>
            </w:pPr>
            <w:r w:rsidRPr="007F52FA">
              <w:rPr>
                <w:color w:val="000000"/>
                <w:kern w:val="0"/>
                <w:sz w:val="24"/>
              </w:rPr>
              <w:t>2019年12月13日</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报告期末基金份额总额</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325,058,880.00</w:t>
            </w:r>
            <w:r w:rsidRPr="007F52FA">
              <w:rPr>
                <w:color w:val="000000"/>
                <w:kern w:val="0"/>
                <w:sz w:val="24"/>
              </w:rPr>
              <w:t>份</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投资目标</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在严格控制风险和保持较高流动性的前提下，力求获得高于业绩比较基准的投资收益。</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投资策略</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投资标的。</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业绩比较基准</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中债总财富（1-3年）指数收益率×80%+一年期定期存款利率（税后）×20%</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风险收益特征</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本基金是一只债券型基金，其预期风险与预期收益高于货币市场基金，低于混合型基金和股票型基金。</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基金管理人</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基金托管人</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中信银行股份有限公司</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kern w:val="0"/>
                <w:sz w:val="24"/>
              </w:rPr>
            </w:pPr>
            <w:r w:rsidRPr="007F52FA">
              <w:rPr>
                <w:color w:val="000000"/>
                <w:sz w:val="24"/>
              </w:rPr>
              <w:t>下属两级基金的基金简称</w:t>
            </w:r>
          </w:p>
        </w:tc>
        <w:tc>
          <w:tcPr>
            <w:tcW w:type="dxa" w:w="2922"/>
            <w:vAlign w:val="center"/>
          </w:tcPr>
          <w:p w:rsidP="007C14DF" w:rsidR="008532F3" w:rsidRDefault="008532F3" w:rsidRPr="007F52FA">
            <w:pPr>
              <w:spacing w:before="29" w:line="288" w:lineRule="auto"/>
              <w:jc w:val="left"/>
              <w:rPr>
                <w:sz w:val="24"/>
              </w:rPr>
            </w:pPr>
            <w:r w:rsidRPr="007F52FA">
              <w:rPr>
                <w:color w:val="000000"/>
                <w:kern w:val="0"/>
                <w:sz w:val="24"/>
              </w:rPr>
              <w:t/>
            </w:r>
            <w:r w:rsidRPr="007F52FA">
              <w:rPr>
                <w:sz w:val="24"/>
              </w:rPr>
              <w:t>交银稳利中短债债券A</w:t>
            </w:r>
          </w:p>
        </w:tc>
        <w:tc>
          <w:tcPr>
            <w:tcW w:type="dxa" w:w="3048"/>
            <w:vAlign w:val="center"/>
          </w:tcPr>
          <w:p w:rsidP="007C14DF" w:rsidR="008532F3" w:rsidRDefault="008532F3" w:rsidRPr="007F52FA">
            <w:pPr>
              <w:spacing w:before="29" w:line="288" w:lineRule="auto"/>
              <w:jc w:val="left"/>
              <w:rPr>
                <w:sz w:val="24"/>
              </w:rPr>
            </w:pPr>
            <w:r w:rsidRPr="007F52FA">
              <w:rPr>
                <w:color w:val="000000"/>
                <w:kern w:val="0"/>
                <w:sz w:val="24"/>
              </w:rPr>
              <w:t/>
            </w:r>
            <w:r w:rsidRPr="007F52FA">
              <w:rPr>
                <w:sz w:val="24"/>
              </w:rPr>
              <w:t>交银稳利中短债债券C</w:t>
            </w:r>
          </w:p>
        </w:tc>
      </w:tr>
      <w:tr w:rsidR="00C23B30" w:rsidRPr="007F52FA" w:rsidTr="009416C9">
        <w:trPr>
          <w:jc w:val="center"/>
        </w:trPr>
        <w:tc>
          <w:tcPr>
            <w:tcW w:type="dxa" w:w="3023"/>
            <w:vAlign w:val="center"/>
          </w:tcPr>
          <w:p w:rsidP="007C14DF" w:rsidR="00C23B30" w:rsidRDefault="007C3DC6">
            <w:pPr>
              <w:adjustRightInd w:val="0"/>
              <w:spacing w:before="29" w:line="288" w:lineRule="auto"/>
              <w:ind w:left="17"/>
              <w:jc w:val="left"/>
              <w:rPr>
                <w:color w:val="000000"/>
                <w:sz w:val="24"/>
              </w:rPr>
            </w:pPr>
            <w:r w:rsidRPr="007F52FA">
              <w:rPr>
                <w:color w:val="000000"/>
                <w:sz w:val="24"/>
              </w:rPr>
              <w:t>下属两级基金的交易代码</w:t>
            </w:r>
          </w:p>
          <w:p w:rsidP="00C01EF2" w:rsidR="00C01EF2" w:rsidRDefault="00C01EF2" w:rsidRPr="007F52FA">
            <w:pPr>
              <w:adjustRightInd w:val="0"/>
              <w:spacing w:before="29" w:line="288" w:lineRule="auto"/>
              <w:ind w:left="17"/>
              <w:jc w:val="left"/>
              <w:rPr>
                <w:color w:val="000000"/>
                <w:sz w:val="24"/>
              </w:rPr>
            </w:pPr>
            <w:r w:rsidRPr="007F52FA">
              <w:rPr>
                <w:color w:themeColor="text1" w:val="000000"/>
                <w:sz w:val="24"/>
              </w:rPr>
              <w:t/>
            </w:r>
            <w:r w:rsidRPr="000E4C40">
              <w:rPr>
                <w:color w:val="000000"/>
                <w:kern w:val="0"/>
                <w:sz w:val="24"/>
              </w:rPr>
              <w:t/>
            </w:r>
            <w:r>
              <w:rPr>
                <w:rFonts w:hint="eastAsia"/>
                <w:color w:val="000000"/>
                <w:kern w:val="0"/>
                <w:sz w:val="24"/>
              </w:rPr>
              <w:t/>
            </w:r>
            <w:r w:rsidRPr="000E4C40">
              <w:rPr>
                <w:sz w:val="24"/>
              </w:rPr>
              <w:t/>
            </w:r>
          </w:p>
        </w:tc>
        <w:tc>
          <w:tcPr>
            <w:tcW w:type="dxa" w:w="2922"/>
            <w:vAlign w:val="center"/>
          </w:tcPr>
          <w:p w:rsidP="007F50FB" w:rsidR="00C23B30" w:rsidRDefault="00C23B30" w:rsidRPr="000E4C40">
            <w:pPr>
              <w:spacing w:before="29" w:line="288" w:lineRule="auto"/>
              <w:jc w:val="left"/>
              <w:rPr>
                <w:sz w:val="24"/>
              </w:rPr>
            </w:pPr>
            <w:r w:rsidRPr="007F52FA">
              <w:rPr>
                <w:color w:themeColor="text1" w:val="000000"/>
                <w:sz w:val="24"/>
              </w:rPr>
              <w:t/>
            </w:r>
            <w:r w:rsidRPr="000E4C40">
              <w:rPr>
                <w:color w:val="000000"/>
                <w:kern w:val="0"/>
                <w:sz w:val="24"/>
              </w:rPr>
              <w:t/>
            </w:r>
            <w:r w:rsidRPr="000E4C40">
              <w:rPr>
                <w:sz w:val="24"/>
              </w:rPr>
              <w:t>008204</w:t>
            </w:r>
          </w:p>
        </w:tc>
        <w:tc>
          <w:tcPr>
            <w:tcW w:type="dxa" w:w="3048"/>
            <w:vAlign w:val="center"/>
          </w:tcPr>
          <w:p w:rsidP="00A52A9E" w:rsidR="00C23B30" w:rsidRDefault="00261F47" w:rsidRPr="000E4C40">
            <w:pPr>
              <w:spacing w:before="29" w:line="288" w:lineRule="auto"/>
              <w:jc w:val="left"/>
              <w:rPr>
                <w:sz w:val="24"/>
              </w:rPr>
            </w:pPr>
            <w:r w:rsidRPr="007F52FA">
              <w:rPr>
                <w:color w:themeColor="text1" w:val="000000"/>
                <w:sz w:val="24"/>
              </w:rPr>
              <w:t/>
            </w:r>
            <w:r w:rsidR="00C23B30" w:rsidRPr="000E4C40">
              <w:rPr>
                <w:color w:val="000000"/>
                <w:kern w:val="0"/>
                <w:sz w:val="24"/>
              </w:rPr>
              <w:t/>
            </w:r>
            <w:r w:rsidR="00C23B30" w:rsidRPr="000E4C40">
              <w:rPr>
                <w:sz w:val="24"/>
              </w:rPr>
              <w:t/>
            </w:r>
            <w:r w:rsidR="00A52A9E">
              <w:rPr>
                <w:sz w:val="24"/>
              </w:rPr>
              <w:t/>
            </w:r>
            <w:r w:rsidR="00C23B30" w:rsidRPr="000E4C40">
              <w:rPr>
                <w:sz w:val="24"/>
              </w:rPr>
              <w:t>008205</w:t>
            </w:r>
          </w:p>
        </w:tc>
      </w:tr>
      <w:tr w:rsidR="00C23B30" w:rsidRPr="007F52FA" w:rsidTr="009416C9">
        <w:trPr>
          <w:jc w:val="center"/>
        </w:trPr>
        <w:tc>
          <w:tcPr>
            <w:tcW w:type="dxa" w:w="3023"/>
            <w:vAlign w:val="center"/>
          </w:tcPr>
          <w:p w:rsidP="007C14DF" w:rsidR="00C23B30" w:rsidRDefault="00C23B30" w:rsidRPr="007F52FA">
            <w:pPr>
              <w:adjustRightInd w:val="0"/>
              <w:spacing w:before="29" w:line="288" w:lineRule="auto"/>
              <w:ind w:left="17"/>
              <w:jc w:val="left"/>
              <w:rPr>
                <w:color w:val="000000"/>
                <w:sz w:val="24"/>
              </w:rPr>
            </w:pPr>
            <w:r w:rsidRPr="007F52FA">
              <w:rPr>
                <w:color w:val="000000"/>
                <w:sz w:val="24"/>
              </w:rPr>
              <w:t>报告期末下属两级基金的</w:t>
            </w:r>
            <w:r w:rsidRPr="007F52FA">
              <w:rPr>
                <w:color w:val="000000"/>
                <w:sz w:val="24"/>
              </w:rPr>
              <w:lastRenderedPageBreak/>
              <w:t>份额总额</w:t>
            </w:r>
          </w:p>
        </w:tc>
        <w:tc>
          <w:tcPr>
            <w:tcW w:type="dxa" w:w="2922"/>
            <w:vAlign w:val="center"/>
          </w:tcPr>
          <w:p w:rsidP="007C14DF" w:rsidR="00C23B30" w:rsidRDefault="00C23B30" w:rsidRPr="007F52FA">
            <w:pPr>
              <w:spacing w:before="29" w:line="288" w:lineRule="auto"/>
              <w:jc w:val="left"/>
              <w:rPr>
                <w:sz w:val="24"/>
              </w:rPr>
            </w:pPr>
            <w:r w:rsidRPr="007F52FA">
              <w:rPr>
                <w:color w:val="000000"/>
                <w:kern w:val="0"/>
                <w:sz w:val="24"/>
              </w:rPr>
              <w:lastRenderedPageBreak/>
              <w:t/>
            </w:r>
            <w:r w:rsidRPr="007F52FA">
              <w:rPr>
                <w:color w:val="000000"/>
                <w:kern w:val="0"/>
                <w:sz w:val="24"/>
              </w:rPr>
              <w:lastRenderedPageBreak/>
              <w:t/>
            </w:r>
            <w:r w:rsidRPr="007F52FA">
              <w:rPr>
                <w:sz w:val="24"/>
              </w:rPr>
              <w:t>273,107,313.57</w:t>
            </w:r>
            <w:r w:rsidRPr="007F52FA">
              <w:rPr>
                <w:color w:val="000000"/>
                <w:kern w:val="0"/>
                <w:sz w:val="24"/>
              </w:rPr>
              <w:t>份</w:t>
            </w:r>
          </w:p>
        </w:tc>
        <w:tc>
          <w:tcPr>
            <w:tcW w:type="dxa" w:w="3048"/>
            <w:vAlign w:val="center"/>
          </w:tcPr>
          <w:p w:rsidP="007C14DF" w:rsidR="00C23B30" w:rsidRDefault="00C23B30" w:rsidRPr="007F52FA">
            <w:pPr>
              <w:spacing w:before="29" w:line="288" w:lineRule="auto"/>
              <w:jc w:val="left"/>
              <w:rPr>
                <w:sz w:val="24"/>
              </w:rPr>
            </w:pPr>
            <w:r w:rsidRPr="007F52FA">
              <w:rPr>
                <w:color w:val="000000"/>
                <w:kern w:val="0"/>
                <w:sz w:val="24"/>
              </w:rPr>
              <w:lastRenderedPageBreak/>
              <w:t/>
            </w:r>
            <w:r w:rsidRPr="007F52FA">
              <w:rPr>
                <w:color w:val="000000"/>
                <w:kern w:val="0"/>
                <w:sz w:val="24"/>
              </w:rPr>
              <w:lastRenderedPageBreak/>
              <w:t/>
            </w:r>
            <w:r w:rsidRPr="007F52FA">
              <w:rPr>
                <w:sz w:val="24"/>
              </w:rPr>
              <w:t>51,951,566.43</w:t>
            </w:r>
            <w:r w:rsidRPr="007F52FA">
              <w:rPr>
                <w:color w:val="000000"/>
                <w:kern w:val="0"/>
                <w:sz w:val="24"/>
              </w:rPr>
              <w:t>份</w:t>
            </w:r>
          </w:p>
        </w:tc>
      </w:tr>
    </w:tbl>
    <w:p w:rsidP="007C14DF" w:rsidR="00740635" w:rsidRDefault="00740635" w:rsidRPr="007F52FA">
      <w:pPr>
        <w:autoSpaceDE w:val="0"/>
        <w:autoSpaceDN w:val="0"/>
        <w:adjustRightInd w:val="0"/>
        <w:spacing w:before="29" w:line="288" w:lineRule="auto"/>
        <w:jc w:val="left"/>
        <w:rPr>
          <w:rFonts w:eastAsiaTheme="minorEastAsia"/>
          <w:color w:val="000000"/>
          <w:sz w:val="24"/>
        </w:rPr>
      </w:pPr>
    </w:p>
    <w:p w:rsidP="000A2988" w:rsidR="009238DB" w:rsidRDefault="009238DB" w:rsidRPr="007F52FA">
      <w:pPr>
        <w:pStyle w:val="1"/>
        <w:spacing w:after="312" w:afterLines="100" w:before="312" w:beforeLines="100"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P="007C14DF" w:rsidR="009238DB" w:rsidRDefault="009238DB" w:rsidRPr="007F52FA">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3606"/>
        <w:gridCol w:w="2631"/>
        <w:gridCol w:w="2631"/>
      </w:tblGrid>
      <w:tr w:rsidR="009E549D" w:rsidRPr="007F52FA" w:rsidTr="007A5233">
        <w:trPr>
          <w:jc w:val="center"/>
        </w:trPr>
        <w:tc>
          <w:tcPr>
            <w:tcW w:type="dxa" w:w="3402"/>
            <w:vMerge w:val="restart"/>
            <w:vAlign w:val="center"/>
          </w:tcPr>
          <w:p w:rsidP="007C14DF" w:rsidR="009E549D" w:rsidRDefault="009E549D" w:rsidRPr="007F52FA">
            <w:pPr>
              <w:adjustRightInd w:val="0"/>
              <w:spacing w:before="29" w:line="288" w:lineRule="auto"/>
              <w:ind w:left="17"/>
              <w:jc w:val="center"/>
              <w:rPr>
                <w:kern w:val="0"/>
                <w:sz w:val="24"/>
              </w:rPr>
            </w:pPr>
            <w:r w:rsidRPr="007F52FA">
              <w:rPr>
                <w:kern w:val="0"/>
                <w:sz w:val="24"/>
              </w:rPr>
              <w:t>主要财务指标</w:t>
            </w:r>
          </w:p>
        </w:tc>
        <w:tc>
          <w:tcPr>
            <w:tcW w:type="dxa" w:w="4962"/>
            <w:gridSpan w:val="2"/>
            <w:vAlign w:val="center"/>
          </w:tcPr>
          <w:p w:rsidP="00BF5A58" w:rsidR="00BF5A58" w:rsidRDefault="00BF5A58" w:rsidRPr="00414345">
            <w:pPr>
              <w:adjustRightInd w:val="0"/>
              <w:spacing w:before="29" w:line="288" w:lineRule="auto"/>
              <w:ind w:left="17"/>
              <w:jc w:val="center"/>
              <w:rPr>
                <w:color w:val="000000"/>
                <w:sz w:val="24"/>
              </w:rPr>
            </w:pPr>
            <w:r w:rsidRPr="00414345">
              <w:rPr>
                <w:color w:val="000000"/>
                <w:sz w:val="24"/>
              </w:rPr>
              <w:t>报告期</w:t>
            </w:r>
          </w:p>
          <w:p w:rsidP="00BF5A58" w:rsidR="009E549D" w:rsidRDefault="00BF5A58" w:rsidRPr="007F52FA">
            <w:pPr>
              <w:adjustRightInd w:val="0"/>
              <w:spacing w:before="29" w:line="288" w:lineRule="auto"/>
              <w:ind w:left="17"/>
              <w:jc w:val="center"/>
              <w:rPr>
                <w:color w:val="000000"/>
                <w:sz w:val="24"/>
              </w:rPr>
            </w:pPr>
            <w:r w:rsidRPr="00414345">
              <w:rPr>
                <w:color w:val="000000"/>
                <w:sz w:val="24"/>
              </w:rPr>
              <w:t>(2020年4月1日-2020年6月30日)</w:t>
            </w:r>
          </w:p>
        </w:tc>
      </w:tr>
      <w:tr w:rsidR="009E549D" w:rsidRPr="007F52FA" w:rsidTr="007A5233">
        <w:trPr>
          <w:jc w:val="center"/>
        </w:trPr>
        <w:tc>
          <w:tcPr>
            <w:tcW w:type="dxa" w:w="3402"/>
            <w:vMerge/>
            <w:vAlign w:val="center"/>
          </w:tcPr>
          <w:p w:rsidP="007C14DF" w:rsidR="009E549D" w:rsidRDefault="009E549D" w:rsidRPr="007F52FA">
            <w:pPr>
              <w:adjustRightInd w:val="0"/>
              <w:spacing w:before="29" w:line="288" w:lineRule="auto"/>
              <w:ind w:left="17"/>
              <w:jc w:val="center"/>
              <w:rPr>
                <w:kern w:val="0"/>
                <w:sz w:val="24"/>
              </w:rPr>
            </w:pPr>
          </w:p>
        </w:tc>
        <w:tc>
          <w:tcPr>
            <w:tcW w:type="dxa" w:w="2481"/>
            <w:vAlign w:val="center"/>
          </w:tcPr>
          <w:p w:rsidP="007C14DF" w:rsidR="009E549D" w:rsidRDefault="009E549D" w:rsidRPr="007F52FA">
            <w:pPr>
              <w:adjustRightInd w:val="0"/>
              <w:spacing w:before="29" w:line="288" w:lineRule="auto"/>
              <w:ind w:left="17"/>
              <w:jc w:val="center"/>
              <w:rPr>
                <w:color w:val="000000"/>
                <w:sz w:val="24"/>
              </w:rPr>
            </w:pPr>
            <w:r w:rsidRPr="007F52FA">
              <w:rPr>
                <w:color w:val="000000"/>
                <w:kern w:val="0"/>
                <w:sz w:val="24"/>
              </w:rPr>
              <w:t/>
            </w:r>
            <w:r w:rsidRPr="007F52FA">
              <w:rPr>
                <w:sz w:val="24"/>
              </w:rPr>
              <w:t>交银稳利中短债债券A</w:t>
            </w:r>
          </w:p>
        </w:tc>
        <w:tc>
          <w:tcPr>
            <w:tcW w:type="dxa" w:w="2481"/>
            <w:vAlign w:val="center"/>
          </w:tcPr>
          <w:p w:rsidP="007C14DF" w:rsidR="009E549D" w:rsidRDefault="009E549D" w:rsidRPr="007F52FA">
            <w:pPr>
              <w:adjustRightInd w:val="0"/>
              <w:spacing w:before="29" w:line="288" w:lineRule="auto"/>
              <w:ind w:left="17"/>
              <w:jc w:val="center"/>
              <w:rPr>
                <w:color w:val="000000"/>
                <w:sz w:val="24"/>
              </w:rPr>
            </w:pPr>
            <w:r w:rsidRPr="007F52FA">
              <w:rPr>
                <w:color w:val="000000"/>
                <w:kern w:val="0"/>
                <w:sz w:val="24"/>
              </w:rPr>
              <w:t/>
            </w:r>
            <w:r w:rsidRPr="007F52FA">
              <w:rPr>
                <w:sz w:val="24"/>
              </w:rPr>
              <w:t/>
            </w:r>
            <w:r w:rsidR="004D614E" w:rsidRPr="007F52FA">
              <w:rPr>
                <w:sz w:val="24"/>
              </w:rPr>
              <w:t/>
            </w:r>
            <w:r w:rsidR="00FE7FBD" w:rsidRPr="007F52FA">
              <w:rPr>
                <w:sz w:val="24"/>
              </w:rPr>
              <w:t>交银稳利中短债债券C</w:t>
            </w:r>
          </w:p>
        </w:tc>
      </w:tr>
      <w:tr w:rsidR="005F293E" w:rsidRPr="007F52FA" w:rsidTr="007A5233">
        <w:trPr>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3,671,283.77</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AD3905" w:rsidRPr="007F52FA">
              <w:rPr>
                <w:color w:val="000000"/>
                <w:sz w:val="24"/>
              </w:rPr>
              <w:t/>
            </w:r>
            <w:r w:rsidR="0037768B" w:rsidRPr="007F52FA">
              <w:rPr>
                <w:color w:val="000000"/>
                <w:sz w:val="24"/>
              </w:rPr>
              <w:t/>
            </w:r>
            <w:r w:rsidRPr="007F52FA">
              <w:rPr>
                <w:color w:val="000000"/>
                <w:sz w:val="24"/>
              </w:rPr>
              <w:t/>
            </w:r>
            <w:r w:rsidR="004D614E" w:rsidRPr="007F52FA">
              <w:rPr>
                <w:color w:val="000000"/>
                <w:sz w:val="24"/>
              </w:rPr>
              <w:t/>
            </w:r>
            <w:r w:rsidR="00FE7FBD" w:rsidRPr="007F52FA">
              <w:rPr>
                <w:color w:val="000000"/>
                <w:sz w:val="24"/>
              </w:rPr>
              <w:t>1,268,637.91</w:t>
            </w:r>
          </w:p>
        </w:tc>
      </w:tr>
      <w:tr w:rsidR="005F293E" w:rsidRPr="007F52FA" w:rsidTr="007A5233">
        <w:trPr>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2.</w:t>
            </w:r>
            <w:r w:rsidRPr="007F52FA">
              <w:rPr>
                <w:kern w:val="0"/>
                <w:sz w:val="24"/>
              </w:rPr>
              <w:t>本期利润</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1,813,142.98</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517,097.45</w:t>
            </w:r>
          </w:p>
        </w:tc>
      </w:tr>
      <w:tr w:rsidR="005F293E" w:rsidRPr="007F52FA" w:rsidTr="007A5233">
        <w:trPr>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0.0080</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0.0062</w:t>
            </w:r>
          </w:p>
        </w:tc>
      </w:tr>
      <w:tr w:rsidR="005F293E" w:rsidRPr="007F52FA" w:rsidTr="007A5233">
        <w:trPr>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279,587,741.98</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53,068,259.42</w:t>
            </w:r>
          </w:p>
        </w:tc>
      </w:tr>
      <w:tr w:rsidR="005F293E" w:rsidRPr="007F52FA" w:rsidTr="007A5233">
        <w:trPr>
          <w:trHeight w:val="158"/>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5.</w:t>
            </w:r>
            <w:r w:rsidRPr="007F52FA">
              <w:rPr>
                <w:kern w:val="0"/>
                <w:sz w:val="24"/>
              </w:rPr>
              <w:t>期末基金份额净值</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1.0237</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1.0215</w:t>
            </w:r>
          </w:p>
        </w:tc>
      </w:tr>
    </w:tbl>
    <w:p>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注：1、上述基金业绩指标不包括持有人认购或交易基金的各项费用，计入费用后的实际收益水平要低于所列数字；</w:t>
      </w:r>
    </w:p>
    <w:p w:rsidP="007C14DF" w:rsidR="005E01A3" w:rsidRDefault="005E01A3" w:rsidRPr="007F52FA">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w:r>
      <w:r w:rsidR="009A529F" w:rsidRPr="007F52FA">
        <w:rPr>
          <w:rFonts w:eastAsiaTheme="minorEastAsia"/>
          <w:color w:val="000000"/>
          <w:sz w:val="24"/>
        </w:rPr>
        <w:t/>
      </w:r>
      <w:r w:rsidR="00FE7FBD" w:rsidRPr="007F52FA">
        <w:rPr>
          <w:rFonts w:eastAsiaTheme="minorEastAsia"/>
          <w:color w:val="000000"/>
          <w:sz w:val="24"/>
        </w:rPr>
        <w:t/>
      </w:r>
      <w:r w:rsidRPr="007F52FA">
        <w:rPr>
          <w:rFonts w:eastAsiaTheme="minorEastAsia"/>
          <w:color w:val="000000"/>
          <w:sz w:val="24"/>
        </w:rPr>
        <w:t>2、本期已实现收益指基金本期利息收入、投资收益、其他收入（不含公允价值变动收益）扣除相关费用后的余额，本期利润为本期已实现收益加上本期公允价值变动收益。</w:t>
      </w:r>
    </w:p>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P="007C14DF" w:rsidR="009238DB" w:rsidRDefault="009238DB" w:rsidRPr="007F52FA">
      <w:pPr>
        <w:autoSpaceDE w:val="0"/>
        <w:autoSpaceDN w:val="0"/>
        <w:adjustRightInd w:val="0"/>
        <w:spacing w:before="29" w:line="288" w:lineRule="auto"/>
        <w:jc w:val="left"/>
        <w:rPr>
          <w:b/>
          <w:color w:val="000000"/>
          <w:kern w:val="0"/>
          <w:sz w:val="24"/>
        </w:rPr>
      </w:pPr>
      <w:smartTag w:element="chsdate" w:uri="urn:schemas-microsoft-com:office:smarttags">
        <w:smartTagPr>
          <w:attr w:name="IsROCDate" w:val="False"/>
          <w:attr w:name="IsLunarDate" w:val="False"/>
          <w:attr w:name="Day" w:val="30"/>
          <w:attr w:name="Month" w:val="12"/>
          <w:attr w:name="Year" w:val="1899"/>
        </w:smartTagPr>
        <w:r w:rsidRPr="007F52FA">
          <w:rPr>
            <w:b/>
            <w:color w:val="000000"/>
            <w:kern w:val="0"/>
            <w:sz w:val="24"/>
          </w:rPr>
          <w:t>3.2.1</w:t>
        </w:r>
      </w:smartTag>
      <w:r w:rsidRPr="007F52FA">
        <w:rPr>
          <w:b/>
          <w:color w:val="000000"/>
          <w:kern w:val="0"/>
          <w:sz w:val="24"/>
        </w:rPr>
        <w:t>本报告期基金份额净值增长率及其与同期业绩比较基准收益率的比较</w:t>
      </w:r>
    </w:p>
    <w:p w:rsidP="007C14DF" w:rsidR="009238DB" w:rsidRDefault="009238DB" w:rsidRPr="007F52FA">
      <w:pPr>
        <w:spacing w:before="29" w:line="288" w:lineRule="auto"/>
        <w:rPr>
          <w:b/>
          <w:sz w:val="24"/>
        </w:rPr>
      </w:pPr>
      <w:r w:rsidRPr="007F52FA">
        <w:rPr>
          <w:b/>
          <w:sz w:val="24"/>
        </w:rPr>
        <w:t>1</w:t>
      </w:r>
      <w:r w:rsidRPr="007F52FA">
        <w:rPr>
          <w:b/>
          <w:sz w:val="24"/>
        </w:rPr>
        <w:t>、</w:t>
      </w:r>
      <w:r w:rsidR="00A5643A" w:rsidRPr="007F52FA">
        <w:rPr>
          <w:b/>
          <w:color w:val="000000"/>
          <w:kern w:val="0"/>
          <w:sz w:val="24"/>
        </w:rPr>
        <w:t/>
      </w:r>
      <w:r w:rsidR="0042785F" w:rsidRPr="007F52FA">
        <w:rPr>
          <w:b/>
          <w:color w:val="000000"/>
          <w:kern w:val="0"/>
          <w:sz w:val="24"/>
        </w:rPr>
        <w:t/>
      </w:r>
      <w:r w:rsidR="00A5643A" w:rsidRPr="007F52FA">
        <w:rPr>
          <w:b/>
          <w:color w:val="000000"/>
          <w:kern w:val="0"/>
          <w:sz w:val="24"/>
        </w:rPr>
        <w:t>交银稳利中短债债券A</w:t>
      </w:r>
      <w:r w:rsidRPr="007F52FA">
        <w:rPr>
          <w:b/>
          <w:sz w:val="24"/>
        </w:rPr>
        <w:t>：</w:t>
      </w:r>
    </w:p>
    <w:tbl>
      <w:tblPr>
        <w:tblStyle w:val="af2"/>
        <w:tblW w:type="dxa" w:w="8868"/>
        <w:jc w:val="center"/>
        <w:tblLayout w:type="fixed"/>
        <w:tblCellMar>
          <w:top w:type="dxa" w:w="57"/>
          <w:bottom w:type="dxa" w:w="57"/>
        </w:tblCellMar>
        <w:tblLook w:firstColumn="1" w:firstRow="1" w:lastColumn="0" w:lastRow="0" w:noHBand="0" w:noVBand="1" w:val="04A0"/>
      </w:tblPr>
      <w:tblGrid>
        <w:gridCol w:w="1266"/>
        <w:gridCol w:w="1267"/>
        <w:gridCol w:w="1267"/>
        <w:gridCol w:w="1267"/>
        <w:gridCol w:w="1267"/>
        <w:gridCol w:w="1267"/>
        <w:gridCol w:w="1267"/>
      </w:tblGrid>
      <w:tr w:rsidR="00685FFC" w:rsidRPr="007F52FA" w:rsidTr="00054F34">
        <w:trPr>
          <w:jc w:val="center"/>
        </w:trPr>
        <w:tc>
          <w:tcPr>
            <w:tcW w:type="dxa" w:w="1290"/>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阶段</w:t>
            </w:r>
            <w:r w:rsidR="000D4DE9" w:rsidRPr="007F52FA">
              <w:rPr>
                <w:color w:val="000000"/>
                <w:sz w:val="24"/>
              </w:rPr>
              <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t>②</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tc>
          <w:tcPr>
            <w:vAlign w:val="center"/>
          </w:tcPr>
          <w:p>
            <w:pPr>
              <w:jc w:val="left"/>
            </w:pPr>
            <w:r>
              <w:rPr>
                <w:color w:val="000000"/>
                <w:sz w:val="24"/>
              </w:rPr>
              <w:t>过去三个月</w:t>
            </w:r>
          </w:p>
        </w:tc>
        <w:tc>
          <w:tcPr>
            <w:vAlign w:val="center"/>
          </w:tcPr>
          <w:p>
            <w:pPr>
              <w:jc w:val="center"/>
            </w:pPr>
            <w:r>
              <w:rPr>
                <w:color w:val="000000"/>
                <w:sz w:val="24"/>
              </w:rPr>
              <w:t>0.38%</w:t>
            </w:r>
          </w:p>
        </w:tc>
        <w:tc>
          <w:tcPr>
            <w:vAlign w:val="center"/>
          </w:tcPr>
          <w:p>
            <w:pPr>
              <w:jc w:val="center"/>
            </w:pPr>
            <w:r>
              <w:rPr>
                <w:color w:val="000000"/>
                <w:sz w:val="24"/>
              </w:rPr>
              <w:t>0.09%</w:t>
            </w:r>
          </w:p>
        </w:tc>
        <w:tc>
          <w:tcPr>
            <w:vAlign w:val="center"/>
          </w:tcPr>
          <w:p>
            <w:pPr>
              <w:jc w:val="center"/>
            </w:pPr>
            <w:r>
              <w:rPr>
                <w:color w:val="000000"/>
                <w:sz w:val="24"/>
              </w:rPr>
              <w:t>0.01%</w:t>
            </w:r>
          </w:p>
        </w:tc>
        <w:tc>
          <w:tcPr>
            <w:vAlign w:val="center"/>
          </w:tcPr>
          <w:p>
            <w:pPr>
              <w:jc w:val="center"/>
            </w:pPr>
            <w:r>
              <w:rPr>
                <w:color w:val="000000"/>
                <w:sz w:val="24"/>
              </w:rPr>
              <w:t>0.09%</w:t>
            </w:r>
          </w:p>
        </w:tc>
        <w:tc>
          <w:tcPr>
            <w:vAlign w:val="center"/>
          </w:tcPr>
          <w:p>
            <w:pPr>
              <w:jc w:val="center"/>
            </w:pPr>
            <w:r>
              <w:rPr>
                <w:color w:val="000000"/>
                <w:sz w:val="24"/>
              </w:rPr>
              <w:t>0.37%</w:t>
            </w:r>
          </w:p>
        </w:tc>
        <w:tc>
          <w:tcPr>
            <w:vAlign w:val="center"/>
          </w:tcPr>
          <w:p>
            <w:pPr>
              <w:jc w:val="center"/>
            </w:pPr>
            <w:r>
              <w:rPr>
                <w:color w:val="000000"/>
                <w:sz w:val="24"/>
              </w:rPr>
              <w:t>0.00%</w:t>
            </w:r>
          </w:p>
        </w:tc>
      </w:tr>
      <w:tr>
        <w:tc>
          <w:tcPr>
            <w:vAlign w:val="center"/>
          </w:tcPr>
          <w:p>
            <w:pPr>
              <w:jc w:val="left"/>
            </w:pPr>
            <w:r>
              <w:rPr>
                <w:color w:val="000000"/>
                <w:sz w:val="24"/>
              </w:rPr>
              <w:t>过去六个月</w:t>
            </w:r>
          </w:p>
        </w:tc>
        <w:tc>
          <w:tcPr>
            <w:vAlign w:val="center"/>
          </w:tcPr>
          <w:p>
            <w:pPr>
              <w:jc w:val="center"/>
            </w:pPr>
            <w:r>
              <w:rPr>
                <w:color w:val="000000"/>
                <w:sz w:val="24"/>
              </w:rPr>
              <w:t>2.27%</w:t>
            </w:r>
          </w:p>
        </w:tc>
        <w:tc>
          <w:tcPr>
            <w:vAlign w:val="center"/>
          </w:tcPr>
          <w:p>
            <w:pPr>
              <w:jc w:val="center"/>
            </w:pPr>
            <w:r>
              <w:rPr>
                <w:color w:val="000000"/>
                <w:sz w:val="24"/>
              </w:rPr>
              <w:t>0.08%</w:t>
            </w:r>
          </w:p>
        </w:tc>
        <w:tc>
          <w:tcPr>
            <w:vAlign w:val="center"/>
          </w:tcPr>
          <w:p>
            <w:pPr>
              <w:jc w:val="center"/>
            </w:pPr>
            <w:r>
              <w:rPr>
                <w:color w:val="000000"/>
                <w:sz w:val="24"/>
              </w:rPr>
              <w:t>1.53%</w:t>
            </w:r>
          </w:p>
        </w:tc>
        <w:tc>
          <w:tcPr>
            <w:vAlign w:val="center"/>
          </w:tcPr>
          <w:p>
            <w:pPr>
              <w:jc w:val="center"/>
            </w:pPr>
            <w:r>
              <w:rPr>
                <w:color w:val="000000"/>
                <w:sz w:val="24"/>
              </w:rPr>
              <w:t>0.07%</w:t>
            </w:r>
          </w:p>
        </w:tc>
        <w:tc>
          <w:tcPr>
            <w:vAlign w:val="center"/>
          </w:tcPr>
          <w:p>
            <w:pPr>
              <w:jc w:val="center"/>
            </w:pPr>
            <w:r>
              <w:rPr>
                <w:color w:val="000000"/>
                <w:sz w:val="24"/>
              </w:rPr>
              <w:t>0.74%</w:t>
            </w:r>
          </w:p>
        </w:tc>
        <w:tc>
          <w:tcPr>
            <w:vAlign w:val="center"/>
          </w:tcPr>
          <w:p>
            <w:pPr>
              <w:jc w:val="center"/>
            </w:pPr>
            <w:r>
              <w:rPr>
                <w:color w:val="000000"/>
                <w:sz w:val="24"/>
              </w:rPr>
              <w:t>0.01%</w:t>
            </w:r>
          </w:p>
        </w:tc>
      </w:tr>
      <w:tr>
        <w:tc>
          <w:tcPr>
            <w:vAlign w:val="center"/>
          </w:tcPr>
          <w:p>
            <w:pPr>
              <w:jc w:val="left"/>
            </w:pPr>
            <w:r>
              <w:rPr>
                <w:color w:val="000000"/>
                <w:sz w:val="24"/>
              </w:rPr>
              <w:t>自基金合同生效起至今</w:t>
            </w:r>
          </w:p>
        </w:tc>
        <w:tc>
          <w:tcPr>
            <w:vAlign w:val="center"/>
          </w:tcPr>
          <w:p>
            <w:pPr>
              <w:jc w:val="center"/>
            </w:pPr>
            <w:r>
              <w:rPr>
                <w:color w:val="000000"/>
                <w:sz w:val="24"/>
              </w:rPr>
              <w:t>2.37%</w:t>
            </w:r>
          </w:p>
        </w:tc>
        <w:tc>
          <w:tcPr>
            <w:vAlign w:val="center"/>
          </w:tcPr>
          <w:p>
            <w:pPr>
              <w:jc w:val="center"/>
            </w:pPr>
            <w:r>
              <w:rPr>
                <w:color w:val="000000"/>
                <w:sz w:val="24"/>
              </w:rPr>
              <w:t>0.08%</w:t>
            </w:r>
          </w:p>
        </w:tc>
        <w:tc>
          <w:tcPr>
            <w:vAlign w:val="center"/>
          </w:tcPr>
          <w:p>
            <w:pPr>
              <w:jc w:val="center"/>
            </w:pPr>
            <w:r>
              <w:rPr>
                <w:color w:val="000000"/>
                <w:sz w:val="24"/>
              </w:rPr>
              <w:t>1.93%</w:t>
            </w:r>
          </w:p>
        </w:tc>
        <w:tc>
          <w:tcPr>
            <w:vAlign w:val="center"/>
          </w:tcPr>
          <w:p>
            <w:pPr>
              <w:jc w:val="center"/>
            </w:pPr>
            <w:r>
              <w:rPr>
                <w:color w:val="000000"/>
                <w:sz w:val="24"/>
              </w:rPr>
              <w:t>0.07%</w:t>
            </w:r>
          </w:p>
        </w:tc>
        <w:tc>
          <w:tcPr>
            <w:vAlign w:val="center"/>
          </w:tcPr>
          <w:p>
            <w:pPr>
              <w:jc w:val="center"/>
            </w:pPr>
            <w:r>
              <w:rPr>
                <w:color w:val="000000"/>
                <w:sz w:val="24"/>
              </w:rPr>
              <w:t>0.44%</w:t>
            </w:r>
          </w:p>
        </w:tc>
        <w:tc>
          <w:tcPr>
            <w:vAlign w:val="center"/>
          </w:tcPr>
          <w:p>
            <w:pPr>
              <w:jc w:val="center"/>
            </w:pPr>
            <w:r>
              <w:rPr>
                <w:color w:val="000000"/>
                <w:sz w:val="24"/>
              </w:rPr>
              <w:t>0.01%</w:t>
            </w:r>
          </w:p>
        </w:tc>
      </w:tr>
    </w:tbl>
    <w:p w:rsidP="007C14DF" w:rsidR="004425E8" w:rsidRDefault="004425E8" w:rsidRPr="007F52FA">
      <w:pPr>
        <w:pStyle w:val="20"/>
        <w:spacing w:before="29" w:line="288" w:lineRule="auto"/>
        <w:ind w:firstLine="0" w:firstLineChars="0"/>
        <w:rPr>
          <w:rFonts w:ascii="Times New Roman" w:eastAsiaTheme="minorEastAsia" w:hAnsi="Times New Roman"/>
          <w:color w:val="000000"/>
        </w:rPr>
      </w:pPr>
    </w:p>
    <w:p w:rsidP="007C14DF" w:rsidR="009238DB" w:rsidRDefault="009238DB" w:rsidRPr="007F52FA">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A5643A" w:rsidRPr="007F52FA">
        <w:rPr>
          <w:b/>
          <w:color w:val="000000"/>
          <w:kern w:val="0"/>
          <w:sz w:val="24"/>
        </w:rPr>
        <w:t/>
      </w:r>
      <w:r w:rsidR="004D614E" w:rsidRPr="007F52FA">
        <w:rPr>
          <w:b/>
          <w:color w:val="000000"/>
          <w:kern w:val="0"/>
          <w:sz w:val="24"/>
        </w:rPr>
        <w:t/>
      </w:r>
      <w:r w:rsidR="00FE7FBD" w:rsidRPr="007F52FA">
        <w:rPr>
          <w:b/>
          <w:color w:val="000000"/>
          <w:kern w:val="0"/>
          <w:sz w:val="24"/>
        </w:rPr>
        <w:t>交银稳利中短债债券C</w:t>
      </w:r>
      <w:r w:rsidRPr="007F52FA">
        <w:rPr>
          <w:b/>
          <w:color w:val="000000"/>
          <w:kern w:val="0"/>
          <w:sz w:val="24"/>
        </w:rPr>
        <w:t>：</w:t>
      </w:r>
    </w:p>
    <w:tbl>
      <w:tblPr>
        <w:tblStyle w:val="af2"/>
        <w:tblW w:type="dxa" w:w="8868"/>
        <w:jc w:val="center"/>
        <w:tblLayout w:type="fixed"/>
        <w:tblCellMar>
          <w:top w:type="dxa" w:w="57"/>
          <w:bottom w:type="dxa" w:w="57"/>
        </w:tblCellMar>
        <w:tblLook w:firstColumn="1" w:firstRow="1" w:lastColumn="0" w:lastRow="0" w:noHBand="0" w:noVBand="1" w:val="04A0"/>
      </w:tblPr>
      <w:tblGrid>
        <w:gridCol w:w="1266"/>
        <w:gridCol w:w="1267"/>
        <w:gridCol w:w="1267"/>
        <w:gridCol w:w="1267"/>
        <w:gridCol w:w="1267"/>
        <w:gridCol w:w="1267"/>
        <w:gridCol w:w="1267"/>
      </w:tblGrid>
      <w:tr w:rsidR="00685FFC" w:rsidRPr="007F52FA" w:rsidTr="00054F34">
        <w:trPr>
          <w:jc w:val="center"/>
        </w:trPr>
        <w:tc>
          <w:tcPr>
            <w:tcW w:type="dxa" w:w="1290"/>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阶段</w:t>
            </w:r>
            <w:r w:rsidR="000D4DE9" w:rsidRPr="007F52FA">
              <w:rPr>
                <w:color w:val="000000"/>
                <w:sz w:val="24"/>
              </w:rPr>
              <w:t/>
            </w:r>
          </w:p>
        </w:tc>
        <w:tc>
          <w:tcPr>
            <w:tcW w:type="dxa" w:w="1291"/>
            <w:vAlign w:val="center"/>
          </w:tcPr>
          <w:p w:rsidP="007C14DF" w:rsidR="00685FFC" w:rsidRDefault="00685FFC" w:rsidRPr="007F52FA">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type="dxa" w:w="1291"/>
            <w:vAlign w:val="center"/>
          </w:tcPr>
          <w:p w:rsidP="007C14DF" w:rsidR="00685FFC" w:rsidRDefault="00685FFC" w:rsidRPr="007F52FA">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tc>
          <w:tcPr>
            <w:vAlign w:val="center"/>
          </w:tcPr>
          <w:p>
            <w:pPr>
              <w:jc w:val="left"/>
            </w:pPr>
            <w:r>
              <w:rPr>
                <w:color w:val="000000"/>
                <w:sz w:val="24"/>
              </w:rPr>
              <w:t>过去三个月</w:t>
            </w:r>
          </w:p>
        </w:tc>
        <w:tc>
          <w:tcPr>
            <w:vAlign w:val="center"/>
          </w:tcPr>
          <w:p>
            <w:pPr>
              <w:jc w:val="center"/>
            </w:pPr>
            <w:r>
              <w:rPr>
                <w:color w:val="000000"/>
                <w:sz w:val="24"/>
              </w:rPr>
              <w:t>0.28%</w:t>
            </w:r>
          </w:p>
        </w:tc>
        <w:tc>
          <w:tcPr>
            <w:vAlign w:val="center"/>
          </w:tcPr>
          <w:p>
            <w:pPr>
              <w:jc w:val="center"/>
            </w:pPr>
            <w:r>
              <w:rPr>
                <w:color w:val="000000"/>
                <w:sz w:val="24"/>
              </w:rPr>
              <w:t>0.09%</w:t>
            </w:r>
          </w:p>
        </w:tc>
        <w:tc>
          <w:tcPr>
            <w:vAlign w:val="center"/>
          </w:tcPr>
          <w:p>
            <w:pPr>
              <w:jc w:val="center"/>
            </w:pPr>
            <w:r>
              <w:rPr>
                <w:color w:val="000000"/>
                <w:sz w:val="24"/>
              </w:rPr>
              <w:t>0.01%</w:t>
            </w:r>
          </w:p>
        </w:tc>
        <w:tc>
          <w:tcPr>
            <w:vAlign w:val="center"/>
          </w:tcPr>
          <w:p>
            <w:pPr>
              <w:jc w:val="center"/>
            </w:pPr>
            <w:r>
              <w:rPr>
                <w:color w:val="000000"/>
                <w:sz w:val="24"/>
              </w:rPr>
              <w:t>0.09%</w:t>
            </w:r>
          </w:p>
        </w:tc>
        <w:tc>
          <w:tcPr>
            <w:vAlign w:val="center"/>
          </w:tcPr>
          <w:p>
            <w:pPr>
              <w:jc w:val="center"/>
            </w:pPr>
            <w:r>
              <w:rPr>
                <w:color w:val="000000"/>
                <w:sz w:val="24"/>
              </w:rPr>
              <w:t>0.27%</w:t>
            </w:r>
          </w:p>
        </w:tc>
        <w:tc>
          <w:tcPr>
            <w:vAlign w:val="center"/>
          </w:tcPr>
          <w:p>
            <w:pPr>
              <w:jc w:val="center"/>
            </w:pPr>
            <w:r>
              <w:rPr>
                <w:color w:val="000000"/>
                <w:sz w:val="24"/>
              </w:rPr>
              <w:t>0.00%</w:t>
            </w:r>
          </w:p>
        </w:tc>
      </w:tr>
      <w:tr>
        <w:tc>
          <w:tcPr>
            <w:vAlign w:val="center"/>
          </w:tcPr>
          <w:p>
            <w:pPr>
              <w:jc w:val="left"/>
            </w:pPr>
            <w:r>
              <w:rPr>
                <w:color w:val="000000"/>
                <w:sz w:val="24"/>
              </w:rPr>
              <w:t>过去六个月</w:t>
            </w:r>
          </w:p>
        </w:tc>
        <w:tc>
          <w:tcPr>
            <w:vAlign w:val="center"/>
          </w:tcPr>
          <w:p>
            <w:pPr>
              <w:jc w:val="center"/>
            </w:pPr>
            <w:r>
              <w:rPr>
                <w:color w:val="000000"/>
                <w:sz w:val="24"/>
              </w:rPr>
              <w:t>2.07%</w:t>
            </w:r>
          </w:p>
        </w:tc>
        <w:tc>
          <w:tcPr>
            <w:vAlign w:val="center"/>
          </w:tcPr>
          <w:p>
            <w:pPr>
              <w:jc w:val="center"/>
            </w:pPr>
            <w:r>
              <w:rPr>
                <w:color w:val="000000"/>
                <w:sz w:val="24"/>
              </w:rPr>
              <w:t>0.08%</w:t>
            </w:r>
          </w:p>
        </w:tc>
        <w:tc>
          <w:tcPr>
            <w:vAlign w:val="center"/>
          </w:tcPr>
          <w:p>
            <w:pPr>
              <w:jc w:val="center"/>
            </w:pPr>
            <w:r>
              <w:rPr>
                <w:color w:val="000000"/>
                <w:sz w:val="24"/>
              </w:rPr>
              <w:t>1.53%</w:t>
            </w:r>
          </w:p>
        </w:tc>
        <w:tc>
          <w:tcPr>
            <w:vAlign w:val="center"/>
          </w:tcPr>
          <w:p>
            <w:pPr>
              <w:jc w:val="center"/>
            </w:pPr>
            <w:r>
              <w:rPr>
                <w:color w:val="000000"/>
                <w:sz w:val="24"/>
              </w:rPr>
              <w:t>0.07%</w:t>
            </w:r>
          </w:p>
        </w:tc>
        <w:tc>
          <w:tcPr>
            <w:vAlign w:val="center"/>
          </w:tcPr>
          <w:p>
            <w:pPr>
              <w:jc w:val="center"/>
            </w:pPr>
            <w:r>
              <w:rPr>
                <w:color w:val="000000"/>
                <w:sz w:val="24"/>
              </w:rPr>
              <w:t>0.54%</w:t>
            </w:r>
          </w:p>
        </w:tc>
        <w:tc>
          <w:tcPr>
            <w:vAlign w:val="center"/>
          </w:tcPr>
          <w:p>
            <w:pPr>
              <w:jc w:val="center"/>
            </w:pPr>
            <w:r>
              <w:rPr>
                <w:color w:val="000000"/>
                <w:sz w:val="24"/>
              </w:rPr>
              <w:t>0.01%</w:t>
            </w:r>
          </w:p>
        </w:tc>
      </w:tr>
      <w:tr>
        <w:tc>
          <w:tcPr>
            <w:vAlign w:val="center"/>
          </w:tcPr>
          <w:p>
            <w:pPr>
              <w:jc w:val="left"/>
            </w:pPr>
            <w:r>
              <w:rPr>
                <w:color w:val="000000"/>
                <w:sz w:val="24"/>
              </w:rPr>
              <w:t>自基金合同生效起至今</w:t>
            </w:r>
          </w:p>
        </w:tc>
        <w:tc>
          <w:tcPr>
            <w:vAlign w:val="center"/>
          </w:tcPr>
          <w:p>
            <w:pPr>
              <w:jc w:val="center"/>
            </w:pPr>
            <w:r>
              <w:rPr>
                <w:color w:val="000000"/>
                <w:sz w:val="24"/>
              </w:rPr>
              <w:t>2.15%</w:t>
            </w:r>
          </w:p>
        </w:tc>
        <w:tc>
          <w:tcPr>
            <w:vAlign w:val="center"/>
          </w:tcPr>
          <w:p>
            <w:pPr>
              <w:jc w:val="center"/>
            </w:pPr>
            <w:r>
              <w:rPr>
                <w:color w:val="000000"/>
                <w:sz w:val="24"/>
              </w:rPr>
              <w:t>0.08%</w:t>
            </w:r>
          </w:p>
        </w:tc>
        <w:tc>
          <w:tcPr>
            <w:vAlign w:val="center"/>
          </w:tcPr>
          <w:p>
            <w:pPr>
              <w:jc w:val="center"/>
            </w:pPr>
            <w:r>
              <w:rPr>
                <w:color w:val="000000"/>
                <w:sz w:val="24"/>
              </w:rPr>
              <w:t>1.93%</w:t>
            </w:r>
          </w:p>
        </w:tc>
        <w:tc>
          <w:tcPr>
            <w:vAlign w:val="center"/>
          </w:tcPr>
          <w:p>
            <w:pPr>
              <w:jc w:val="center"/>
            </w:pPr>
            <w:r>
              <w:rPr>
                <w:color w:val="000000"/>
                <w:sz w:val="24"/>
              </w:rPr>
              <w:t>0.07%</w:t>
            </w:r>
          </w:p>
        </w:tc>
        <w:tc>
          <w:tcPr>
            <w:vAlign w:val="center"/>
          </w:tcPr>
          <w:p>
            <w:pPr>
              <w:jc w:val="center"/>
            </w:pPr>
            <w:r>
              <w:rPr>
                <w:color w:val="000000"/>
                <w:sz w:val="24"/>
              </w:rPr>
              <w:t>0.22%</w:t>
            </w:r>
          </w:p>
        </w:tc>
        <w:tc>
          <w:tcPr>
            <w:vAlign w:val="center"/>
          </w:tcPr>
          <w:p>
            <w:pPr>
              <w:jc w:val="center"/>
            </w:pPr>
            <w:r>
              <w:rPr>
                <w:color w:val="000000"/>
                <w:sz w:val="24"/>
              </w:rPr>
              <w:t>0.01%</w:t>
            </w:r>
          </w:p>
        </w:tc>
      </w:tr>
    </w:tbl>
    <w:p w:rsidP="007C14DF" w:rsidR="009238DB" w:rsidRDefault="009238DB" w:rsidRPr="007F52FA">
      <w:pPr>
        <w:autoSpaceDE w:val="0"/>
        <w:autoSpaceDN w:val="0"/>
        <w:adjustRightInd w:val="0"/>
        <w:spacing w:before="29" w:line="288" w:lineRule="auto"/>
        <w:ind w:left="15"/>
        <w:jc w:val="left"/>
        <w:rPr>
          <w:rFonts w:eastAsiaTheme="minorEastAsia"/>
          <w:b/>
          <w:color w:val="000000"/>
          <w:kern w:val="0"/>
          <w:sz w:val="24"/>
        </w:rPr>
      </w:pPr>
    </w:p>
    <w:p w:rsidP="007C14DF" w:rsidR="009238DB" w:rsidRDefault="009238DB" w:rsidRPr="007F52FA">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P="007C14DF" w:rsidR="009A045B" w:rsidRDefault="009A045B" w:rsidRPr="007F52FA">
      <w:pPr>
        <w:spacing w:before="29" w:line="288" w:lineRule="auto"/>
        <w:jc w:val="center"/>
        <w:rPr>
          <w:color w:val="000000"/>
          <w:sz w:val="24"/>
        </w:rPr>
      </w:pPr>
      <w:r w:rsidRPr="007F52FA">
        <w:rPr>
          <w:rFonts w:eastAsiaTheme="minorEastAsia"/>
          <w:color w:val="000000"/>
          <w:sz w:val="24"/>
        </w:rPr>
        <w:t/>
      </w:r>
      <w:r w:rsidRPr="007F52FA">
        <w:rPr>
          <w:color w:val="000000"/>
          <w:sz w:val="24"/>
        </w:rPr>
        <w:t>交银施罗德稳利中短债债券型证券投资基金</w:t>
      </w:r>
    </w:p>
    <w:p w:rsidP="007C14DF" w:rsidR="00022396" w:rsidRDefault="0001164A" w:rsidRPr="007F52FA">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P="007C14DF" w:rsidR="009A045B" w:rsidRDefault="00CC1636" w:rsidRPr="007F52FA">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2019年12月13日</w:t>
      </w:r>
      <w:r w:rsidR="009A045B" w:rsidRPr="007F52FA">
        <w:rPr>
          <w:rFonts w:ascii="Times New Roman" w:hAnsi="Times New Roman"/>
          <w:sz w:val="24"/>
          <w:szCs w:val="24"/>
        </w:rPr>
        <w:t>至</w:t>
      </w:r>
      <w:r w:rsidRPr="007F52FA">
        <w:rPr>
          <w:rFonts w:ascii="Times New Roman" w:hAnsi="Times New Roman"/>
          <w:sz w:val="24"/>
          <w:szCs w:val="24"/>
        </w:rPr>
        <w:t>2020年6月30日</w:t>
      </w:r>
      <w:r w:rsidRPr="007F52FA">
        <w:rPr>
          <w:rFonts w:ascii="Times New Roman" w:hAnsi="Times New Roman"/>
          <w:sz w:val="24"/>
          <w:szCs w:val="24"/>
        </w:rPr>
        <w:t>）</w:t>
      </w:r>
    </w:p>
    <w:p w:rsidP="007C14DF" w:rsidR="009238DB" w:rsidRDefault="009238DB" w:rsidRPr="007F52FA">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交银稳利中短债债券A</w:t>
      </w:r>
    </w:p>
    <w:p w:rsidP="007C14DF" w:rsidR="00807B81" w:rsidRDefault="00562709" w:rsidRPr="007F52FA">
      <w:pPr>
        <w:pStyle w:val="20"/>
        <w:spacing w:before="29" w:line="288" w:lineRule="auto"/>
        <w:ind w:firstLine="0" w:firstLineChars="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B="0" distL="0" distR="0" distT="0">
            <wp:extent cx="5731510" cy="3356610"/>
            <wp:effectExtent b="0" l="19050" r="2540" t="0"/>
            <wp:docPr descr="走势图1.jpg"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cstate="print" r:embed="rId14"/>
                    <a:stretch>
                      <a:fillRect/>
                    </a:stretch>
                  </pic:blipFill>
                  <pic:spPr>
                    <a:xfrm>
                      <a:off x="0" y="0"/>
                      <a:ext cx="5731510" cy="3356610"/>
                    </a:xfrm>
                    <a:prstGeom prst="rect">
                      <a:avLst/>
                    </a:prstGeom>
                  </pic:spPr>
                </pic:pic>
              </a:graphicData>
            </a:graphic>
          </wp:inline>
        </w:drawing>
      </w:r>
    </w:p>
    <w:p w:rsidP="007C14DF" w:rsidR="009238DB" w:rsidRDefault="0042785F" w:rsidRPr="007F52FA">
      <w:pPr>
        <w:spacing w:before="29" w:line="288" w:lineRule="auto"/>
        <w:ind w:firstLine="480" w:firstLineChars="200"/>
        <w:rPr>
          <w:color w:val="000000"/>
          <w:sz w:val="24"/>
        </w:rPr>
      </w:pPr>
      <w:r w:rsidRPr="007F52FA">
        <w:rPr>
          <w:color w:val="000000"/>
          <w:sz w:val="24"/>
        </w:rPr>
        <w:t/>
      </w:r>
      <w:r w:rsidR="00973B57" w:rsidRPr="007F52FA">
        <w:rPr>
          <w:color w:val="000000"/>
          <w:sz w:val="24"/>
        </w:rPr>
        <w:t/>
      </w:r>
      <w:r w:rsidRPr="007F52FA">
        <w:rPr>
          <w:color w:val="000000"/>
          <w:sz w:val="24"/>
        </w:rPr>
        <w:t>注：本基金基金合同生效日为2019年12月13日，基金合同生效日至报告期期末，本基金运作时间未满一年。本基金建仓期为自基金合同生效日起的6个月。截至建仓期结束，本基金各项资产配置比例符合基金合同及招募说明书有关投资比例的约定。</w:t>
      </w:r>
    </w:p>
    <w:p w:rsidP="007C14DF" w:rsidR="0042785F" w:rsidRDefault="0042785F" w:rsidRPr="007F52FA">
      <w:pPr>
        <w:pStyle w:val="20"/>
        <w:spacing w:before="29" w:line="288" w:lineRule="auto"/>
        <w:ind w:firstLine="0" w:firstLineChars="0"/>
        <w:rPr>
          <w:rFonts w:ascii="Times New Roman" w:hAnsi="Times New Roman"/>
          <w:color w:val="000000"/>
        </w:rPr>
      </w:pPr>
    </w:p>
    <w:p w:rsidP="007C14DF" w:rsidR="009238DB" w:rsidRDefault="009238DB" w:rsidRPr="007F52FA">
      <w:pPr>
        <w:snapToGrid w:val="0"/>
        <w:spacing w:before="29" w:line="288" w:lineRule="auto"/>
        <w:rPr>
          <w:color w:val="000000"/>
          <w:sz w:val="24"/>
        </w:rPr>
      </w:pPr>
      <w:r w:rsidRPr="007F52FA">
        <w:rPr>
          <w:color w:val="000000"/>
          <w:sz w:val="24"/>
        </w:rPr>
        <w:t>2</w:t>
      </w:r>
      <w:r w:rsidRPr="007F52FA">
        <w:rPr>
          <w:color w:val="000000"/>
          <w:sz w:val="24"/>
        </w:rPr>
        <w:t>．</w:t>
      </w:r>
      <w:r w:rsidR="0042785F" w:rsidRPr="007F52FA">
        <w:rPr>
          <w:color w:val="000000"/>
          <w:sz w:val="24"/>
        </w:rPr>
        <w:t/>
      </w:r>
      <w:r w:rsidR="004D614E" w:rsidRPr="007F52FA">
        <w:rPr>
          <w:color w:val="000000"/>
          <w:sz w:val="24"/>
        </w:rPr>
        <w:t/>
      </w:r>
      <w:r w:rsidR="00FE7FBD" w:rsidRPr="007F52FA">
        <w:rPr>
          <w:color w:val="000000"/>
          <w:sz w:val="24"/>
        </w:rPr>
        <w:t>交银稳利中短债债券C</w:t>
      </w:r>
    </w:p>
    <w:p w:rsidP="007C14DF" w:rsidR="00D12D04" w:rsidRDefault="00562709" w:rsidRPr="007F52FA">
      <w:pPr>
        <w:pStyle w:val="20"/>
        <w:spacing w:before="29" w:line="288" w:lineRule="auto"/>
        <w:ind w:firstLine="0" w:firstLineChars="0"/>
        <w:jc w:val="center"/>
        <w:rPr>
          <w:rFonts w:ascii="Times New Roman" w:eastAsiaTheme="minorEastAsia" w:hAnsi="Times New Roman"/>
          <w:color w:val="000000"/>
        </w:rPr>
      </w:pPr>
      <w:r w:rsidRPr="007F52FA">
        <w:rPr>
          <w:rFonts w:ascii="Times New Roman" w:eastAsiaTheme="minorEastAsia" w:hAnsi="Times New Roman"/>
          <w:noProof/>
          <w:color w:val="000000"/>
        </w:rPr>
        <w:lastRenderedPageBreak/>
        <w:drawing>
          <wp:inline distB="0" distL="0" distR="0" distT="0">
            <wp:extent cx="5731510" cy="3356610"/>
            <wp:effectExtent b="0" l="19050" r="2540" t="0"/>
            <wp:docPr descr="走势图2.jpg"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cstate="print" r:embed="rId15"/>
                    <a:stretch>
                      <a:fillRect/>
                    </a:stretch>
                  </pic:blipFill>
                  <pic:spPr>
                    <a:xfrm>
                      <a:off x="0" y="0"/>
                      <a:ext cx="5731510" cy="3356610"/>
                    </a:xfrm>
                    <a:prstGeom prst="rect">
                      <a:avLst/>
                    </a:prstGeom>
                  </pic:spPr>
                </pic:pic>
              </a:graphicData>
            </a:graphic>
          </wp:inline>
        </w:drawing>
      </w:r>
    </w:p>
    <w:p w:rsidP="007C14DF" w:rsidR="0042785F" w:rsidRDefault="0042785F" w:rsidRPr="007F52FA">
      <w:pPr>
        <w:spacing w:before="29" w:line="288" w:lineRule="auto"/>
        <w:ind w:firstLine="480" w:firstLineChars="200"/>
        <w:rPr>
          <w:color w:val="000000"/>
          <w:sz w:val="24"/>
        </w:rPr>
      </w:pPr>
      <w:r w:rsidRPr="007F52FA">
        <w:rPr>
          <w:color w:val="000000"/>
          <w:sz w:val="24"/>
        </w:rPr>
        <w:t/>
      </w:r>
      <w:r w:rsidR="00973B57" w:rsidRPr="007F52FA">
        <w:rPr>
          <w:color w:val="000000"/>
          <w:sz w:val="24"/>
        </w:rPr>
        <w:t/>
      </w:r>
      <w:r w:rsidRPr="007F52FA">
        <w:rPr>
          <w:color w:val="000000"/>
          <w:sz w:val="24"/>
        </w:rPr>
        <w:t/>
      </w:r>
      <w:r w:rsidR="004D614E" w:rsidRPr="007F52FA">
        <w:rPr>
          <w:color w:val="000000"/>
          <w:sz w:val="24"/>
        </w:rPr>
        <w:t/>
      </w:r>
      <w:r w:rsidR="00FE7FBD" w:rsidRPr="007F52FA">
        <w:rPr>
          <w:color w:val="000000"/>
          <w:sz w:val="24"/>
        </w:rPr>
        <w:t>注：本基金基金合同生效日为2019年12月13日，基金合同生效日至报告期期末，本基金运作时间未满一年。本基金建仓期为自基金合同生效日起的6个月。截至建仓期结束，本基金各项资产配置比例符合基金合同及招募说明书有关投资比例的约定。</w:t>
      </w:r>
    </w:p>
    <w:p w:rsidP="007C14DF" w:rsidR="00757FD7" w:rsidRDefault="00757FD7" w:rsidRPr="007F52FA">
      <w:pPr>
        <w:spacing w:before="29" w:line="288" w:lineRule="auto"/>
        <w:ind w:firstLine="480" w:firstLineChars="200"/>
        <w:rPr>
          <w:color w:val="000000"/>
          <w:sz w:val="24"/>
        </w:rPr>
      </w:pPr>
      <w:r w:rsidRPr="007F52FA">
        <w:rPr>
          <w:color w:val="000000"/>
          <w:sz w:val="24"/>
        </w:rPr>
        <w:t/>
      </w:r>
      <w:r w:rsidR="00FE7FBD" w:rsidRPr="007F52FA">
        <w:rPr>
          <w:color w:val="000000"/>
          <w:sz w:val="24"/>
        </w:rPr>
        <w:t/>
      </w:r>
      <w:r w:rsidRPr="007F52FA">
        <w:rPr>
          <w:color w:val="000000"/>
          <w:sz w:val="24"/>
        </w:rPr>
        <w:t/>
      </w:r>
    </w:p>
    <w:p w:rsidP="007C14DF" w:rsidR="00973B57" w:rsidRDefault="00973B57" w:rsidRPr="007F52FA">
      <w:pPr>
        <w:pStyle w:val="20"/>
        <w:spacing w:before="29" w:line="288" w:lineRule="auto"/>
        <w:ind w:firstLine="0" w:firstLineChars="0"/>
        <w:jc w:val="left"/>
        <w:rPr>
          <w:rFonts w:ascii="Times New Roman" w:eastAsiaTheme="minorEastAsia" w:hAnsi="Times New Roman"/>
          <w:color w:val="000000"/>
        </w:rPr>
      </w:pPr>
    </w:p>
    <w:p w:rsidP="007C14DF" w:rsidR="006C5BC9" w:rsidRDefault="006C5BC9" w:rsidRPr="007F52FA">
      <w:pPr>
        <w:tabs>
          <w:tab w:pos="1800" w:val="left"/>
        </w:tabs>
        <w:spacing w:before="29" w:line="288" w:lineRule="auto"/>
        <w:rPr>
          <w:rFonts w:eastAsiaTheme="minorEastAsia"/>
          <w:color w:val="000000"/>
          <w:sz w:val="24"/>
        </w:rPr>
      </w:pPr>
    </w:p>
    <w:p w:rsidP="000A2988" w:rsidR="009238DB" w:rsidRDefault="009238DB" w:rsidRPr="007F52FA">
      <w:pPr>
        <w:pStyle w:val="1"/>
        <w:spacing w:after="312" w:afterLines="100" w:before="312" w:beforeLines="100"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57"/>
          <w:bottom w:type="dxa" w:w="57"/>
        </w:tblCellMar>
        <w:tblLook w:firstColumn="1" w:firstRow="1" w:lastColumn="0" w:lastRow="0" w:noHBand="0" w:noVBand="1" w:val="04A0"/>
      </w:tblPr>
      <w:tblGrid>
        <w:gridCol w:w="946"/>
        <w:gridCol w:w="924"/>
        <w:gridCol w:w="1202"/>
        <w:gridCol w:w="1300"/>
        <w:gridCol w:w="1245"/>
        <w:gridCol w:w="3251"/>
      </w:tblGrid>
      <w:tr w:rsidR="00C41617" w:rsidRPr="007F52FA" w:rsidTr="00370FE2">
        <w:trPr>
          <w:jc w:val="center"/>
        </w:trPr>
        <w:tc>
          <w:tcPr>
            <w:tcW w:type="dxa" w:w="952"/>
            <w:vMerge w:val="restart"/>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type="dxa" w:w="930"/>
            <w:vMerge w:val="restart"/>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type="dxa" w:w="2519"/>
            <w:gridSpan w:val="2"/>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w:t>
            </w:r>
            <w:r w:rsidRPr="007F52FA">
              <w:rPr>
                <w:color w:val="000000"/>
                <w:kern w:val="0"/>
                <w:sz w:val="24"/>
              </w:rPr>
              <w:lastRenderedPageBreak/>
              <w:t>期限</w:t>
            </w:r>
          </w:p>
        </w:tc>
        <w:tc>
          <w:tcPr>
            <w:tcW w:type="dxa" w:w="1254"/>
            <w:vMerge w:val="restart"/>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lastRenderedPageBreak/>
              <w:t>证券从业</w:t>
            </w:r>
            <w:r w:rsidRPr="007F52FA">
              <w:rPr>
                <w:color w:val="000000"/>
                <w:kern w:val="0"/>
                <w:sz w:val="24"/>
              </w:rPr>
              <w:lastRenderedPageBreak/>
              <w:t>年限</w:t>
            </w:r>
          </w:p>
        </w:tc>
        <w:tc>
          <w:tcPr>
            <w:tcW w:type="dxa" w:w="3276"/>
            <w:vMerge w:val="restart"/>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lastRenderedPageBreak/>
              <w:t>说明</w:t>
            </w:r>
          </w:p>
        </w:tc>
      </w:tr>
      <w:tr w:rsidR="00C41617" w:rsidRPr="007F52FA" w:rsidTr="00370FE2">
        <w:trPr>
          <w:jc w:val="center"/>
        </w:trPr>
        <w:tc>
          <w:tcPr>
            <w:tcW w:type="dxa" w:w="952"/>
            <w:vMerge/>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p>
        </w:tc>
        <w:tc>
          <w:tcPr>
            <w:tcW w:type="dxa" w:w="930"/>
            <w:vMerge/>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p>
        </w:tc>
        <w:tc>
          <w:tcPr>
            <w:tcW w:type="dxa" w:w="1210"/>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type="dxa" w:w="1309"/>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type="dxa" w:w="1254"/>
            <w:vMerge/>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p>
        </w:tc>
        <w:tc>
          <w:tcPr>
            <w:tcW w:type="dxa" w:w="3276"/>
            <w:vMerge/>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p>
        </w:tc>
      </w:tr>
      <w:tr>
        <w:tc>
          <w:tcPr>
            <w:vAlign w:val="center"/>
          </w:tcPr>
          <w:p>
            <w:pPr>
              <w:jc w:val="center"/>
            </w:pPr>
            <w:r>
              <w:rPr>
                <w:color w:val="000000"/>
                <w:sz w:val="24"/>
              </w:rPr>
              <w:t>黄莹洁</w:t>
            </w:r>
          </w:p>
        </w:tc>
        <w:tc>
          <w:tcPr>
            <w:vAlign w:val="center"/>
          </w:tcPr>
          <w:p>
            <w:pPr>
              <w:jc w:val="center"/>
            </w:pPr>
            <w:r>
              <w:rPr>
                <w:color w:val="000000"/>
                <w:sz w:val="24"/>
              </w:rPr>
              <w:t>交银理财21天债券、交银丰享收益债券、交银活期通货币、交银天利宝货币、交银裕隆纯债债券、交银天益宝货币、交银境尚收益债券、交银稳鑫短债债券、交银稳利中短债债券的基金经理</w:t>
            </w:r>
          </w:p>
        </w:tc>
        <w:tc>
          <w:tcPr>
            <w:vAlign w:val="center"/>
          </w:tcPr>
          <w:p>
            <w:pPr>
              <w:jc w:val="center"/>
            </w:pPr>
            <w:r>
              <w:rPr>
                <w:color w:val="000000"/>
                <w:sz w:val="24"/>
              </w:rPr>
              <w:t>2019-12-13</w:t>
            </w:r>
          </w:p>
        </w:tc>
        <w:tc>
          <w:tcPr>
            <w:vAlign w:val="center"/>
          </w:tcPr>
          <w:p>
            <w:pPr>
              <w:jc w:val="center"/>
            </w:pPr>
            <w:r>
              <w:rPr>
                <w:color w:val="000000"/>
                <w:sz w:val="24"/>
              </w:rPr>
              <w:t>-</w:t>
            </w:r>
          </w:p>
        </w:tc>
        <w:tc>
          <w:tcPr>
            <w:vAlign w:val="center"/>
          </w:tcPr>
          <w:p>
            <w:pPr>
              <w:jc w:val="center"/>
            </w:pPr>
            <w:r>
              <w:rPr>
                <w:color w:val="000000"/>
                <w:sz w:val="24"/>
              </w:rPr>
              <w:t>12年</w:t>
            </w:r>
          </w:p>
        </w:tc>
        <w:tc>
          <w:tcPr>
            <w:vAlign w:val="center"/>
          </w:tcPr>
          <w:p>
            <w:pPr>
              <w:jc w:val="both"/>
            </w:pPr>
            <w:r>
              <w:rPr>
                <w:color w:val="000000"/>
                <w:sz w:val="24"/>
              </w:rPr>
              <w:t>黄莹洁女士，香港大学工商管理硕士、北京大学经济学、管理学双学士。历任中海基金管理有限公司交易员。2012年加入交银施罗德基金管理有限公司，历任中央交易室交易员。2015年7月25日至2018年3月18日担任交银施罗德丰泽收益债券型证券投资基金的基金经理。2015年5月27日至2019年8月2日担任交银施罗德货币市场证券投资基金、交银施罗德现金宝货币市场基金的基金经理。2016年12月7日至2019年8月2日担任交银施罗德天鑫宝货币市场基金的基金经理。2015年12月29日至2019年10月23日担任交银施罗德裕通纯债债券型证券投资基金的基金经理。</w:t>
            </w:r>
          </w:p>
        </w:tc>
      </w:tr>
    </w:tbl>
    <w:p w:rsidP="007C14DF" w:rsidR="009238DB" w:rsidRDefault="00062E1F" w:rsidRPr="007F52FA">
      <w:pPr>
        <w:autoSpaceDE w:val="0"/>
        <w:autoSpaceDN w:val="0"/>
        <w:adjustRightInd w:val="0"/>
        <w:spacing w:before="29" w:line="288" w:lineRule="auto"/>
        <w:jc w:val="left"/>
        <w:rPr>
          <w:color w:val="000000"/>
          <w:sz w:val="24"/>
        </w:rPr>
      </w:pPr>
      <w:r w:rsidRPr="007F52FA">
        <w:rPr>
          <w:color w:val="000000"/>
          <w:sz w:val="24"/>
        </w:rPr>
        <w:t>注：基金经理（或基金经理小组）期后变动（如有）敬请关注基金管理人发布的相关公告。</w:t>
      </w:r>
    </w:p>
    <w:p w:rsidP="007C14DF" w:rsidR="005C7D00" w:rsidRDefault="005C7D00" w:rsidRPr="007F52FA">
      <w:pPr>
        <w:pStyle w:val="20"/>
        <w:spacing w:before="29" w:line="288" w:lineRule="auto"/>
        <w:ind w:firstLine="0" w:firstLineChars="0"/>
        <w:rPr>
          <w:rFonts w:ascii="Times New Roman" w:eastAsiaTheme="minorEastAsia" w:hAnsi="Times New Roman"/>
          <w:color w:val="auto"/>
        </w:rPr>
      </w:pP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4.2</w:t>
      </w:r>
      <w:r w:rsidR="00FA7737" w:rsidRPr="007F52FA">
        <w:rPr>
          <w:b/>
          <w:color w:val="000000"/>
          <w:kern w:val="0"/>
          <w:sz w:val="24"/>
        </w:rPr>
        <w:t>管理人对报告期内本基金运作遵规守信情况的说明</w:t>
      </w:r>
    </w:p>
    <w:p w:rsidP="007C14DF" w:rsidR="009238DB" w:rsidRDefault="00323F25" w:rsidRPr="007F52FA">
      <w:pPr>
        <w:spacing w:before="29" w:line="288" w:lineRule="auto"/>
        <w:ind w:firstLine="480" w:firstLineChars="20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P="007C14DF" w:rsidR="009238DB" w:rsidRDefault="009238DB" w:rsidRPr="007F52FA">
      <w:pPr>
        <w:autoSpaceDE w:val="0"/>
        <w:autoSpaceDN w:val="0"/>
        <w:adjustRightInd w:val="0"/>
        <w:spacing w:before="29" w:line="288" w:lineRule="auto"/>
        <w:jc w:val="left"/>
        <w:rPr>
          <w:color w:val="000000"/>
          <w:kern w:val="0"/>
          <w:sz w:val="24"/>
        </w:rPr>
      </w:pP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P="007C14DF" w:rsidR="00D15733" w:rsidRDefault="00D15733" w:rsidRPr="007F52FA">
      <w:pPr>
        <w:spacing w:before="29" w:line="288" w:lineRule="auto"/>
        <w:rPr>
          <w:sz w:val="24"/>
        </w:rPr>
      </w:pPr>
      <w:smartTag w:element="chsdate" w:uri="urn:schemas-microsoft-com:office:smarttags">
        <w:smartTagPr>
          <w:attr w:name="Year" w:val="1899"/>
          <w:attr w:name="Month" w:val="12"/>
          <w:attr w:name="Day" w:val="30"/>
          <w:attr w:name="IsLunarDate" w:val="False"/>
          <w:attr w:name="IsROCDate" w:val="False"/>
        </w:smartTagPr>
        <w:r w:rsidRPr="007F52FA">
          <w:rPr>
            <w:sz w:val="24"/>
          </w:rPr>
          <w:t>4.3.1</w:t>
        </w:r>
      </w:smartTag>
      <w:r w:rsidRPr="007F52FA">
        <w:rPr>
          <w:sz w:val="24"/>
        </w:rPr>
        <w:t>公平交易制度的执行情况</w:t>
      </w:r>
    </w:p>
    <w:p>
      <w:pPr>
        <w:spacing w:before="29" w:line="288" w:lineRule="auto"/>
        <w:ind w:firstLine="480" w:firstLineChars="20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pPr>
        <w:spacing w:before="29" w:line="288" w:lineRule="auto"/>
        <w:ind w:firstLine="480" w:firstLineChars="20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480" w:firstLineChars="20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7C14DF" w:rsidR="00D15733" w:rsidRDefault="00323F25" w:rsidRPr="007F52FA">
      <w:pPr>
        <w:spacing w:before="29" w:line="288" w:lineRule="auto"/>
        <w:ind w:firstLine="480" w:firstLineChars="200"/>
        <w:rPr>
          <w:color w:val="000000"/>
          <w:sz w:val="24"/>
        </w:rPr>
      </w:pPr>
      <w:r w:rsidRPr="007F52FA">
        <w:rPr>
          <w:color w:val="000000"/>
          <w:sz w:val="24"/>
        </w:rPr>
        <w:t>报告期内本公司严格执行公平交易制度，公平对待旗下各投资组合，未发现任何违反公平交易的行为。</w:t>
      </w:r>
    </w:p>
    <w:p w:rsidP="007C14DF" w:rsidR="00D15733" w:rsidRDefault="00D15733" w:rsidRPr="007F52FA">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P="007C14DF" w:rsidR="00D15733" w:rsidRDefault="00323F25" w:rsidRPr="007F52FA">
      <w:pPr>
        <w:spacing w:before="29" w:line="288" w:lineRule="auto"/>
        <w:ind w:firstLine="480" w:firstLineChars="200"/>
        <w:rPr>
          <w:color w:val="000000"/>
          <w:sz w:val="24"/>
        </w:rPr>
      </w:pPr>
      <w:r w:rsidRPr="007F52FA">
        <w:rPr>
          <w:color w:val="000000"/>
          <w:sz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rsidP="007C14DF" w:rsidR="009238DB" w:rsidRDefault="009238DB" w:rsidRPr="007F52FA">
      <w:pPr>
        <w:autoSpaceDE w:val="0"/>
        <w:autoSpaceDN w:val="0"/>
        <w:adjustRightInd w:val="0"/>
        <w:spacing w:before="29" w:line="288" w:lineRule="auto"/>
        <w:jc w:val="left"/>
        <w:rPr>
          <w:color w:val="000000"/>
          <w:kern w:val="0"/>
          <w:sz w:val="24"/>
        </w:rPr>
      </w:pPr>
    </w:p>
    <w:p w:rsidP="007C14DF" w:rsidR="00130395" w:rsidRDefault="00130395" w:rsidRPr="007F52FA">
      <w:pPr>
        <w:spacing w:before="29" w:line="288" w:lineRule="auto"/>
        <w:rPr>
          <w:b/>
          <w:color w:val="000000"/>
          <w:kern w:val="0"/>
          <w:sz w:val="24"/>
        </w:rPr>
      </w:pPr>
      <w:r w:rsidRPr="007F52FA">
        <w:rPr>
          <w:b/>
          <w:color w:val="000000"/>
          <w:kern w:val="0"/>
          <w:sz w:val="24"/>
        </w:rPr>
        <w:t>4.4</w:t>
      </w:r>
      <w:r w:rsidRPr="007F52FA">
        <w:rPr>
          <w:rFonts w:hAnsi="宋体"/>
          <w:b/>
          <w:bCs/>
          <w:color w:val="000000"/>
          <w:sz w:val="24"/>
        </w:rPr>
        <w:t>报告期内基金的投资策略和运作分析</w:t>
      </w:r>
    </w:p>
    <w:p>
      <w:pPr>
        <w:spacing w:before="29" w:line="288" w:lineRule="auto"/>
        <w:ind w:firstLine="480" w:firstLineChars="200"/>
        <w:rPr>
          <w:color w:val="000000"/>
          <w:sz w:val="24"/>
        </w:rPr>
      </w:pPr>
      <w:r>
        <w:rPr>
          <w:color w:val="000000"/>
          <w:sz w:val="24"/>
        </w:rPr>
        <w:t>本报告期内，受到经济回升预期、地方债和特别国债的供给放量冲击、对货币政策进一步大幅放松预期的落空等几方面因素的影响，债券收益率呈上行走势。由于短端资金价格中枢的明显上移，使得债券短端收益率上行幅度更大，收益率曲线呈现熊平态势。截止6月30日，一年国债和十年国债分别收于2.18%和2.82%，较一季度末分别上行49bp和23bp。</w:t>
      </w:r>
    </w:p>
    <w:p>
      <w:pPr>
        <w:spacing w:before="29" w:line="288" w:lineRule="auto"/>
        <w:ind w:firstLine="480" w:firstLineChars="200"/>
        <w:rPr>
          <w:color w:val="000000"/>
          <w:sz w:val="24"/>
        </w:rPr>
      </w:pPr>
      <w:r>
        <w:rPr>
          <w:color w:val="000000"/>
          <w:sz w:val="24"/>
        </w:rPr>
        <w:t>基金操作方面，本基金仍然是以信用债票息策略为主，适当降低了组合的久期。具体配置方面仍以1-3年中高等级信用债为底仓，同时配置了部分4-5年的高收益信用债，提高组合静态收益。由于资金成本相对较低，本基金适度运用杠杆操作增厚组合收益。</w:t>
      </w:r>
    </w:p>
    <w:p>
      <w:pPr>
        <w:spacing w:before="29" w:line="288" w:lineRule="auto"/>
        <w:ind w:firstLine="480" w:firstLineChars="200"/>
        <w:rPr>
          <w:color w:val="000000"/>
          <w:sz w:val="24"/>
        </w:rPr>
      </w:pPr>
      <w:r>
        <w:rPr>
          <w:color w:val="000000"/>
          <w:sz w:val="24"/>
        </w:rPr>
        <w:t>展望2020年三季度，在服务消费的带动下经济增速有望逐步回升，但近期观测到的工业增加值不及预期，显示经济复苏的基础并不牢固，在全球经济受疫情影响时间拉长、程度加深的背景下，经济更可能是一个弱复苏的态势。资金面方面，我们认为经过最近的调整，资金利率已经回归到了政策利率附近，考虑货币政策整体并未转向，国务院常务会议要求引导贷款与债券利率下行，资金利率继续上行的空间已经有限。</w:t>
      </w:r>
    </w:p>
    <w:p w:rsidP="007C14DF" w:rsidR="00952A72" w:rsidRDefault="00323F25" w:rsidRPr="007F52FA">
      <w:pPr>
        <w:spacing w:before="29" w:line="288" w:lineRule="auto"/>
        <w:ind w:firstLine="480" w:firstLineChars="200"/>
        <w:rPr>
          <w:color w:val="000000"/>
          <w:sz w:val="24"/>
        </w:rPr>
      </w:pPr>
      <w:r w:rsidRPr="007F52FA">
        <w:rPr>
          <w:color w:val="000000"/>
          <w:sz w:val="24"/>
        </w:rPr>
        <w:t>在此背景下，我们认为债券收益率继续大幅上行的空间相对有限，债券大概率维持震荡格局。组合操作方面，我们将会控制整体组合久期，采取票息策略为主的思路，在严控信用风险的基础上，对各类债券品种精耕细作，加强收益挖掘。同时，鉴于短端资金和资产收益利差空间仍然较为显著，我们会辅以合理杠杆水平以期增厚组合收益。</w:t>
      </w:r>
    </w:p>
    <w:p w:rsidP="007C14DF" w:rsidR="00EC41BC" w:rsidRDefault="00EC41BC" w:rsidRPr="007F52FA">
      <w:pPr>
        <w:spacing w:before="29" w:line="288" w:lineRule="auto"/>
        <w:ind w:firstLine="480" w:firstLineChars="200"/>
        <w:rPr>
          <w:color w:val="000000"/>
          <w:sz w:val="24"/>
        </w:rPr>
      </w:pPr>
    </w:p>
    <w:p w:rsidP="007C14DF" w:rsidR="00130395" w:rsidRDefault="00130395" w:rsidRPr="007F52FA">
      <w:pPr>
        <w:spacing w:before="29" w:line="288" w:lineRule="auto"/>
        <w:rPr>
          <w:b/>
          <w:color w:val="000000"/>
          <w:kern w:val="0"/>
          <w:sz w:val="24"/>
        </w:rPr>
      </w:pPr>
      <w:r w:rsidRPr="007F52FA">
        <w:rPr>
          <w:b/>
          <w:color w:val="000000"/>
          <w:kern w:val="0"/>
          <w:sz w:val="24"/>
        </w:rPr>
        <w:t>4.5</w:t>
      </w:r>
      <w:r w:rsidRPr="007F52FA">
        <w:rPr>
          <w:b/>
          <w:color w:val="000000"/>
          <w:kern w:val="0"/>
          <w:sz w:val="24"/>
        </w:rPr>
        <w:t>报告期内基金的业绩表现</w:t>
      </w:r>
    </w:p>
    <w:p w:rsidP="007C14DF" w:rsidR="00952A72" w:rsidRDefault="00323F25" w:rsidRPr="007F52FA">
      <w:pPr>
        <w:spacing w:before="29" w:line="288" w:lineRule="auto"/>
        <w:ind w:firstLine="480" w:firstLineChars="200"/>
        <w:rPr>
          <w:color w:val="000000"/>
          <w:sz w:val="24"/>
        </w:rPr>
      </w:pPr>
      <w:r w:rsidRPr="007F52FA">
        <w:rPr>
          <w:color w:val="000000"/>
          <w:sz w:val="24"/>
        </w:rPr>
        <w:t>本基金（各类）份额净值及业绩表现请见“3.1主要财务指标” 及“3.2.1 本报告期基金份额净值增长率及其与同期业绩比较基准收益率的比较”部分披露。</w:t>
      </w:r>
    </w:p>
    <w:p w:rsidP="007C14DF" w:rsidR="00400FA6" w:rsidRDefault="00400FA6" w:rsidRPr="007F52FA">
      <w:pPr>
        <w:spacing w:before="29" w:line="288" w:lineRule="auto"/>
        <w:ind w:firstLine="480" w:firstLineChars="200"/>
        <w:rPr>
          <w:color w:val="000000"/>
          <w:sz w:val="24"/>
        </w:rPr>
      </w:pPr>
    </w:p>
    <w:p w:rsidP="00274444" w:rsidR="00274444" w:rsidRDefault="00274444" w:rsidRPr="002070B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P="00274444" w:rsidR="00274444" w:rsidRDefault="00274444">
      <w:pPr>
        <w:spacing w:before="29" w:line="288" w:lineRule="auto"/>
        <w:ind w:firstLine="480" w:firstLineChars="200"/>
        <w:rPr>
          <w:color w:val="000000"/>
          <w:sz w:val="24"/>
        </w:rPr>
      </w:pPr>
      <w:r w:rsidRPr="002070B4">
        <w:rPr>
          <w:color w:val="000000"/>
          <w:sz w:val="24"/>
        </w:rPr>
        <w:t>本基金本报告期内无需预警说明。</w:t>
      </w:r>
    </w:p>
    <w:p w:rsidP="007C14DF" w:rsidR="00400FA6" w:rsidRDefault="00400FA6" w:rsidRPr="007F52FA">
      <w:pPr>
        <w:spacing w:before="29" w:line="288" w:lineRule="auto"/>
        <w:ind w:firstLine="480" w:firstLineChars="200"/>
        <w:rPr>
          <w:color w:val="000000"/>
          <w:sz w:val="24"/>
        </w:rPr>
      </w:pPr>
    </w:p>
    <w:p w:rsidP="000A2988" w:rsidR="009238DB" w:rsidRDefault="009238DB" w:rsidRPr="007C6127">
      <w:pPr>
        <w:pStyle w:val="1"/>
        <w:spacing w:after="312" w:afterLines="100" w:before="312" w:beforeLines="100" w:line="288" w:lineRule="auto"/>
        <w:jc w:val="center"/>
        <w:rPr>
          <w:rFonts w:eastAsiaTheme="minorEastAsia"/>
          <w:color w:val="000000"/>
          <w:kern w:val="0"/>
          <w:sz w:val="24"/>
          <w:szCs w:val="24"/>
        </w:rPr>
      </w:pPr>
      <w:r w:rsidRPr="007C6127">
        <w:rPr>
          <w:rFonts w:eastAsiaTheme="minorEastAsia"/>
          <w:color w:val="000000"/>
          <w:kern w:val="0"/>
          <w:sz w:val="24"/>
          <w:szCs w:val="24"/>
        </w:rPr>
        <w:lastRenderedPageBreak/>
        <w:t xml:space="preserve">§5  </w:t>
      </w:r>
      <w:r w:rsidRPr="007C6127">
        <w:rPr>
          <w:rFonts w:eastAsiaTheme="minorEastAsia"/>
          <w:color w:val="000000"/>
          <w:kern w:val="0"/>
          <w:sz w:val="24"/>
          <w:szCs w:val="24"/>
        </w:rPr>
        <w:t>投资组合报告</w:t>
      </w:r>
    </w:p>
    <w:p w:rsidP="00C51B4E" w:rsidR="00C51B4E" w:rsidRDefault="00C51B4E">
      <w:pPr>
        <w:autoSpaceDE w:val="0"/>
        <w:autoSpaceDN w:val="0"/>
        <w:adjustRightInd w:val="0"/>
        <w:spacing w:line="360" w:lineRule="auto"/>
        <w:jc w:val="left"/>
        <w:rPr>
          <w:rFonts w:eastAsiaTheme="minorEastAsia"/>
          <w:b/>
          <w:color w:themeColor="text1" w:val="000000"/>
          <w:kern w:val="0"/>
          <w:sz w:val="24"/>
        </w:rPr>
      </w:pPr>
      <w:r w:rsidRPr="0028293E">
        <w:rPr>
          <w:rFonts w:eastAsiaTheme="minorEastAsia"/>
          <w:b/>
          <w:color w:themeColor="text1" w:val="000000"/>
          <w:kern w:val="0"/>
          <w:sz w:val="24"/>
        </w:rPr>
        <w:t xml:space="preserve">5.1 </w:t>
      </w:r>
      <w:r w:rsidRPr="0028293E">
        <w:rPr>
          <w:rFonts w:eastAsiaTheme="minorEastAsia"/>
          <w:b/>
          <w:color w:themeColor="text1" w:val="000000"/>
          <w:kern w:val="0"/>
          <w:sz w:val="24"/>
        </w:rPr>
        <w:t>报告期末基金资产组合情况</w:t>
      </w:r>
    </w:p>
    <w:p w:rsidP="001A5E45" w:rsidR="00610880" w:rsidRDefault="001A5E45" w:rsidRPr="0028293E">
      <w:pPr>
        <w:autoSpaceDE w:val="0"/>
        <w:autoSpaceDN w:val="0"/>
        <w:adjustRightInd w:val="0"/>
        <w:spacing w:line="360" w:lineRule="auto"/>
        <w:jc w:val="right"/>
        <w:rPr>
          <w:rFonts w:eastAsiaTheme="minorEastAsia"/>
          <w:b/>
          <w:color w:themeColor="text1" w:val="000000"/>
          <w:kern w:val="0"/>
          <w:sz w:val="24"/>
        </w:rPr>
      </w:pPr>
      <w:r w:rsidRPr="001A5E45">
        <w:rPr>
          <w:rFonts w:hint="eastAsia"/>
          <w:color w:val="000000"/>
          <w:kern w:val="0"/>
        </w:rPr>
        <w:t/>
      </w:r>
      <w:r w:rsidRPr="001A5E45">
        <w:rPr>
          <w:rFonts w:hint="eastAsia"/>
          <w:color w:val="000000"/>
          <w:kern w:val="0"/>
        </w:rPr>
        <w:t>金额单位：人民币元</w:t>
      </w:r>
    </w:p>
    <w:tbl>
      <w:tblPr>
        <w:tblStyle w:val="af2"/>
        <w:tblW w:type="dxa" w:w="8897"/>
        <w:tblInd w:type="dxa" w:w="108"/>
        <w:tblLayout w:type="fixed"/>
        <w:tblLook w:firstColumn="1" w:firstRow="1" w:lastColumn="0" w:lastRow="0" w:noHBand="0" w:noVBand="1" w:val="04A0"/>
      </w:tblPr>
      <w:tblGrid>
        <w:gridCol w:w="720"/>
        <w:gridCol w:w="2824"/>
        <w:gridCol w:w="2552"/>
        <w:gridCol w:w="2801"/>
      </w:tblGrid>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序号</w:t>
            </w:r>
          </w:p>
        </w:tc>
        <w:tc>
          <w:tcPr>
            <w:tcW w:type="dxa" w:w="2824"/>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项目</w:t>
            </w:r>
          </w:p>
        </w:tc>
        <w:tc>
          <w:tcPr>
            <w:tcW w:type="dxa" w:w="2552"/>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金额</w:t>
            </w:r>
          </w:p>
        </w:tc>
        <w:tc>
          <w:tcPr>
            <w:tcW w:type="dxa" w:w="2801"/>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占基金总资产的比例</w:t>
            </w:r>
            <w:r w:rsidR="005D2D89">
              <w:rPr>
                <w:rFonts w:eastAsiaTheme="minorEastAsia" w:hint="eastAsia"/>
                <w:color w:themeColor="text1" w:val="000000"/>
                <w:sz w:val="24"/>
              </w:rPr>
              <w:t>（</w:t>
            </w:r>
            <w:r w:rsidR="005D2D89">
              <w:rPr>
                <w:rFonts w:eastAsiaTheme="minorEastAsia" w:hint="eastAsia"/>
                <w:color w:themeColor="text1" w:val="000000"/>
                <w:sz w:val="24"/>
              </w:rPr>
              <w:t>%</w:t>
            </w:r>
            <w:r w:rsidR="005D2D89">
              <w:rPr>
                <w:rFonts w:eastAsiaTheme="minorEastAsia" w:hint="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1</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权益投资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其中：股票</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2</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ascii="宋体" w:hAnsi="宋体" w:hint="eastAsia"/>
                <w:sz w:val="24"/>
              </w:rPr>
              <w:t>基金投资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hint="eastAsia"/>
                <w:color w:themeColor="text1" w:val="000000"/>
                <w:sz w:val="24"/>
              </w:rPr>
              <w:t/>
            </w:r>
            <w:r w:rsidRPr="0028293E">
              <w:rPr>
                <w:rFonts w:eastAsiaTheme="minorEastAsia"/>
                <w:color w:themeColor="text1" w:val="000000"/>
                <w:sz w:val="24"/>
              </w:rPr>
              <w:t/>
            </w:r>
            <w:r w:rsidRPr="0028293E">
              <w:rPr>
                <w:rFonts w:eastAsiaTheme="minorEastAsia" w:hint="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hint="eastAsia"/>
                <w:color w:themeColor="text1" w:val="000000"/>
                <w:sz w:val="24"/>
              </w:rPr>
              <w:t/>
            </w:r>
            <w:r w:rsidRPr="0028293E">
              <w:rPr>
                <w:rFonts w:eastAsiaTheme="minorEastAsia"/>
                <w:color w:themeColor="text1" w:val="000000"/>
                <w:sz w:val="24"/>
              </w:rPr>
              <w:t/>
            </w:r>
            <w:r w:rsidRPr="0028293E">
              <w:rPr>
                <w:rFonts w:eastAsiaTheme="minorEastAsia" w:hint="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3</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固定收益投资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338,730,300.00</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97.92</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其中：债券</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338,730,300.00</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97.92</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p>
        </w:tc>
        <w:tc>
          <w:tcPr>
            <w:tcW w:type="dxa" w:w="2824"/>
            <w:vAlign w:val="center"/>
          </w:tcPr>
          <w:p w:rsidP="0028293E" w:rsidR="00C51B4E" w:rsidRDefault="00C51B4E" w:rsidRPr="0028293E">
            <w:pPr>
              <w:autoSpaceDE w:val="0"/>
              <w:autoSpaceDN w:val="0"/>
              <w:adjustRightInd w:val="0"/>
              <w:spacing w:before="29" w:line="360" w:lineRule="auto"/>
              <w:ind w:firstLine="720" w:firstLineChars="300" w:left="17"/>
              <w:jc w:val="left"/>
              <w:rPr>
                <w:rFonts w:eastAsiaTheme="minorEastAsia"/>
                <w:color w:themeColor="text1" w:val="000000"/>
                <w:sz w:val="24"/>
              </w:rPr>
            </w:pPr>
            <w:r w:rsidRPr="0028293E">
              <w:rPr>
                <w:rFonts w:eastAsiaTheme="minorEastAsia"/>
                <w:color w:themeColor="text1" w:val="000000"/>
                <w:sz w:val="24"/>
              </w:rPr>
              <w:t>资产支持证券</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4</w:t>
            </w:r>
          </w:p>
        </w:tc>
        <w:tc>
          <w:tcPr>
            <w:tcW w:type="dxa" w:w="2824"/>
            <w:vAlign w:val="center"/>
          </w:tcPr>
          <w:p w:rsidP="002D2971" w:rsidR="00C51B4E" w:rsidRDefault="00C51B4E" w:rsidRPr="0028293E">
            <w:pPr>
              <w:spacing w:before="29" w:line="360" w:lineRule="auto"/>
              <w:ind w:left="105" w:leftChars="50"/>
              <w:rPr>
                <w:rFonts w:eastAsiaTheme="minorEastAsia"/>
                <w:color w:themeColor="text1" w:val="000000"/>
                <w:sz w:val="24"/>
              </w:rPr>
            </w:pPr>
            <w:r w:rsidRPr="0028293E">
              <w:rPr>
                <w:rFonts w:eastAsiaTheme="minorEastAsia"/>
                <w:color w:themeColor="text1" w:val="000000"/>
                <w:sz w:val="24"/>
              </w:rPr>
              <w:t>贵金属投资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
            </w:r>
            <w:r w:rsidRPr="0028293E">
              <w:rPr>
                <w:rFonts w:eastAsiaTheme="minorEastAsia"/>
                <w:color w:themeColor="text1" w:val="000000"/>
                <w:sz w:val="24"/>
              </w:rPr>
              <w:lastRenderedPageBreak/>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lastRenderedPageBreak/>
              <w:t/>
            </w:r>
            <w:r w:rsidRPr="0028293E">
              <w:rPr>
                <w:rFonts w:eastAsiaTheme="minorEastAsia"/>
                <w:color w:themeColor="text1" w:val="000000"/>
                <w:sz w:val="24"/>
              </w:rPr>
              <w:lastRenderedPageBreak/>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lastRenderedPageBreak/>
              <w:t>5</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金融衍生品投资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6</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买入返售金融资产</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其中：买断式回购的买入返售金融资产</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7</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银行存款和结算备付金合计</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585,064.18</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0.17</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
            </w:r>
            <w:r w:rsidRPr="0028293E">
              <w:rPr>
                <w:rFonts w:eastAsiaTheme="minorEastAsia" w:hint="eastAsia"/>
                <w:color w:themeColor="text1" w:val="000000"/>
                <w:sz w:val="24"/>
              </w:rPr>
              <w:t/>
            </w:r>
            <w:r w:rsidRPr="0028293E">
              <w:rPr>
                <w:rFonts w:eastAsiaTheme="minorEastAsia"/>
                <w:color w:themeColor="text1" w:val="000000"/>
                <w:sz w:val="24"/>
              </w:rPr>
              <w:t>8</w:t>
            </w:r>
          </w:p>
        </w:tc>
        <w:tc>
          <w:tcPr>
            <w:tcW w:type="dxa" w:w="2824"/>
            <w:vAlign w:val="center"/>
          </w:tcPr>
          <w:p w:rsidP="002D2971" w:rsidR="00C51B4E" w:rsidRDefault="00C51B4E" w:rsidRPr="0028293E">
            <w:pPr>
              <w:spacing w:line="360" w:lineRule="auto"/>
              <w:rPr>
                <w:rFonts w:eastAsiaTheme="minorEastAsia"/>
                <w:color w:themeColor="text1" w:val="000000"/>
                <w:sz w:val="24"/>
              </w:rPr>
            </w:pPr>
            <w:r w:rsidRPr="0028293E">
              <w:rPr>
                <w:rFonts w:eastAsiaTheme="minorEastAsia"/>
                <w:color w:themeColor="text1" w:val="000000"/>
                <w:sz w:val="24"/>
              </w:rPr>
              <w:t>其他各项资产</w:t>
            </w:r>
          </w:p>
        </w:tc>
        <w:tc>
          <w:tcPr>
            <w:tcW w:type="dxa" w:w="2552"/>
            <w:vAlign w:val="center"/>
          </w:tcPr>
          <w:p w:rsidP="002D2971" w:rsidR="00C51B4E" w:rsidRDefault="00C51B4E" w:rsidRPr="0028293E">
            <w:pPr>
              <w:spacing w:line="360" w:lineRule="auto"/>
              <w:jc w:val="right"/>
              <w:rPr>
                <w:rFonts w:eastAsiaTheme="minorEastAsia"/>
                <w:color w:themeColor="text1" w:val="000000"/>
                <w:sz w:val="24"/>
              </w:rPr>
            </w:pPr>
            <w:r w:rsidRPr="0028293E">
              <w:rPr>
                <w:rFonts w:eastAsiaTheme="minorEastAsia"/>
                <w:color w:themeColor="text1" w:val="000000"/>
                <w:sz w:val="24"/>
              </w:rPr>
              <w:t>6,616,043.90</w:t>
            </w:r>
          </w:p>
        </w:tc>
        <w:tc>
          <w:tcPr>
            <w:tcW w:type="dxa" w:w="2801"/>
            <w:vAlign w:val="center"/>
          </w:tcPr>
          <w:p w:rsidP="002D2971" w:rsidR="00C51B4E" w:rsidRDefault="00C51B4E" w:rsidRPr="0028293E">
            <w:pPr>
              <w:spacing w:line="360" w:lineRule="auto"/>
              <w:jc w:val="right"/>
              <w:rPr>
                <w:rFonts w:eastAsiaTheme="minorEastAsia"/>
                <w:color w:themeColor="text1" w:val="000000"/>
                <w:sz w:val="24"/>
              </w:rPr>
            </w:pPr>
            <w:r w:rsidRPr="0028293E">
              <w:rPr>
                <w:rFonts w:eastAsiaTheme="minorEastAsia"/>
                <w:color w:themeColor="text1" w:val="000000"/>
                <w:sz w:val="24"/>
              </w:rPr>
              <w:t>1.91</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
            </w:r>
            <w:r w:rsidRPr="0028293E">
              <w:rPr>
                <w:rFonts w:eastAsiaTheme="minorEastAsia" w:hint="eastAsia"/>
                <w:color w:themeColor="text1" w:val="000000"/>
                <w:sz w:val="24"/>
              </w:rPr>
              <w:t/>
            </w:r>
            <w:r w:rsidRPr="0028293E">
              <w:rPr>
                <w:rFonts w:eastAsiaTheme="minorEastAsia"/>
                <w:color w:themeColor="text1" w:val="000000"/>
                <w:sz w:val="24"/>
              </w:rPr>
              <w:t>9</w:t>
            </w:r>
          </w:p>
        </w:tc>
        <w:tc>
          <w:tcPr>
            <w:tcW w:type="dxa" w:w="2824"/>
            <w:vAlign w:val="center"/>
          </w:tcPr>
          <w:p w:rsidP="002D2971" w:rsidR="00C51B4E" w:rsidRDefault="00C51B4E" w:rsidRPr="0028293E">
            <w:pPr>
              <w:spacing w:line="360" w:lineRule="auto"/>
              <w:rPr>
                <w:rFonts w:eastAsiaTheme="minorEastAsia"/>
                <w:color w:themeColor="text1" w:val="000000"/>
                <w:sz w:val="24"/>
              </w:rPr>
            </w:pPr>
            <w:r w:rsidRPr="0028293E">
              <w:rPr>
                <w:rFonts w:eastAsiaTheme="minorEastAsia"/>
                <w:color w:themeColor="text1" w:val="000000"/>
                <w:sz w:val="24"/>
              </w:rPr>
              <w:t>合计</w:t>
            </w:r>
          </w:p>
        </w:tc>
        <w:tc>
          <w:tcPr>
            <w:tcW w:type="dxa" w:w="2552"/>
            <w:vAlign w:val="center"/>
          </w:tcPr>
          <w:p w:rsidP="002D2971" w:rsidR="00C51B4E" w:rsidRDefault="00C51B4E" w:rsidRPr="0028293E">
            <w:pPr>
              <w:spacing w:line="360" w:lineRule="auto"/>
              <w:jc w:val="right"/>
              <w:rPr>
                <w:rFonts w:eastAsiaTheme="minorEastAsia"/>
                <w:color w:themeColor="text1" w:val="000000"/>
                <w:sz w:val="24"/>
              </w:rPr>
            </w:pPr>
            <w:r w:rsidRPr="0028293E">
              <w:rPr>
                <w:rFonts w:eastAsiaTheme="minorEastAsia"/>
                <w:color w:themeColor="text1" w:val="000000"/>
                <w:sz w:val="24"/>
              </w:rPr>
              <w:t>345,931,408.08</w:t>
            </w:r>
          </w:p>
        </w:tc>
        <w:tc>
          <w:tcPr>
            <w:tcW w:type="dxa" w:w="2801"/>
            <w:vAlign w:val="center"/>
          </w:tcPr>
          <w:p w:rsidP="002D2971" w:rsidR="00C51B4E" w:rsidRDefault="00C51B4E" w:rsidRPr="0028293E">
            <w:pPr>
              <w:spacing w:line="360" w:lineRule="auto"/>
              <w:jc w:val="right"/>
              <w:rPr>
                <w:rFonts w:eastAsiaTheme="minorEastAsia"/>
                <w:color w:themeColor="text1" w:val="000000"/>
                <w:sz w:val="24"/>
              </w:rPr>
            </w:pPr>
            <w:r w:rsidRPr="0028293E">
              <w:rPr>
                <w:rFonts w:eastAsiaTheme="minorEastAsia"/>
                <w:color w:themeColor="text1" w:val="000000"/>
                <w:sz w:val="24"/>
              </w:rPr>
              <w:t>100.00</w:t>
            </w:r>
          </w:p>
        </w:tc>
      </w:tr>
    </w:tbl>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P="001A5D39" w:rsidR="001A5D39" w:rsidRDefault="001A5D39">
      <w:pPr>
        <w:rPr>
          <w:rFonts w:eastAsiaTheme="minorEastAsia"/>
          <w:b/>
          <w:color w:themeColor="text1" w:val="000000"/>
          <w:kern w:val="0"/>
          <w:sz w:val="24"/>
        </w:rPr>
      </w:pPr>
      <w:r w:rsidRPr="004A3846">
        <w:rPr>
          <w:b/>
          <w:color w:themeColor="text1" w:val="000000"/>
          <w:sz w:val="24"/>
        </w:rPr>
        <w:t/>
      </w:r>
      <w:r w:rsidRPr="004A3846">
        <w:rPr>
          <w:rFonts w:eastAsiaTheme="minorEastAsia" w:hint="eastAsia"/>
          <w:b/>
          <w:color w:themeColor="text1" w:val="000000"/>
          <w:kern w:val="0"/>
          <w:sz w:val="24"/>
        </w:rPr>
        <w:t>5.2.1</w:t>
      </w:r>
      <w:r w:rsidRPr="004A3846">
        <w:rPr>
          <w:rFonts w:eastAsiaTheme="minorEastAsia" w:hint="eastAsia"/>
          <w:b/>
          <w:color w:themeColor="text1" w:val="000000"/>
          <w:kern w:val="0"/>
          <w:sz w:val="24"/>
        </w:rPr>
        <w:t>报告期末按行业分类的境内股票投资组合</w:t>
      </w:r>
    </w:p>
    <w:p w:rsidP="007C14DF" w:rsidR="009238DB" w:rsidRDefault="000871DB" w:rsidRPr="007F52FA">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P="001A5D39" w:rsidR="001A5D39" w:rsidRDefault="001A5D39" w:rsidRPr="008A409E">
      <w:pPr>
        <w:jc w:val="left"/>
        <w:rPr>
          <w:rFonts w:asciiTheme="minorEastAsia" w:eastAsiaTheme="minorEastAsia" w:hAnsiTheme="minorEastAsia"/>
          <w:b/>
          <w:bCs/>
          <w:color w:themeColor="text1" w:val="000000"/>
          <w:kern w:val="0"/>
          <w:sz w:val="24"/>
        </w:rPr>
      </w:pPr>
      <w:r w:rsidRPr="008A409E">
        <w:rPr>
          <w:rFonts w:asciiTheme="minorEastAsia" w:eastAsiaTheme="minorEastAsia" w:hAnsiTheme="minorEastAsia"/>
          <w:b/>
          <w:bCs/>
          <w:color w:themeColor="text1" w:val="000000"/>
          <w:kern w:val="0"/>
          <w:sz w:val="24"/>
        </w:rPr>
        <w:t/>
      </w:r>
      <w:r w:rsidRPr="008A409E">
        <w:rPr>
          <w:rFonts w:asciiTheme="minorEastAsia" w:eastAsiaTheme="minorEastAsia" w:hAnsiTheme="minorEastAsia" w:hint="eastAsia"/>
          <w:b/>
          <w:bCs/>
          <w:color w:themeColor="text1" w:val="000000"/>
          <w:kern w:val="0"/>
          <w:sz w:val="24"/>
        </w:rPr>
        <w:t>5.2.2报告期末按行业分类的</w:t>
      </w:r>
      <w:r w:rsidR="00BE251D">
        <w:rPr>
          <w:rFonts w:asciiTheme="minorEastAsia" w:eastAsiaTheme="minorEastAsia" w:hAnsiTheme="minorEastAsia" w:hint="eastAsia"/>
          <w:b/>
          <w:bCs/>
          <w:color w:themeColor="text1" w:val="000000"/>
          <w:kern w:val="0"/>
          <w:sz w:val="24"/>
        </w:rPr>
        <w:t>港股通</w:t>
      </w:r>
      <w:r w:rsidRPr="008A409E">
        <w:rPr>
          <w:rFonts w:asciiTheme="minorEastAsia" w:eastAsiaTheme="minorEastAsia" w:hAnsiTheme="minorEastAsia" w:hint="eastAsia"/>
          <w:b/>
          <w:bCs/>
          <w:color w:themeColor="text1" w:val="000000"/>
          <w:kern w:val="0"/>
          <w:sz w:val="24"/>
        </w:rPr>
        <w:t>投资股票投资组合</w:t>
      </w:r>
    </w:p>
    <w:p w:rsidP="001A5D39" w:rsidR="001A5D39" w:rsidRDefault="001A5D39">
      <w:pPr>
        <w:spacing w:before="29" w:line="360" w:lineRule="auto"/>
        <w:ind w:left="17"/>
        <w:rPr>
          <w:color w:val="000000"/>
          <w:sz w:val="24"/>
        </w:rPr>
      </w:pPr>
      <w:r w:rsidRPr="00FF0BBF">
        <w:rPr>
          <w:color w:val="000000"/>
          <w:sz w:val="24"/>
        </w:rPr>
        <w:t>本基金本报告期末未持有通过港股通投资的股票。</w:t>
      </w:r>
    </w:p>
    <w:p w:rsidP="007C14DF" w:rsidR="009238DB" w:rsidRDefault="009238DB" w:rsidRPr="001A5D39">
      <w:pPr>
        <w:autoSpaceDE w:val="0"/>
        <w:autoSpaceDN w:val="0"/>
        <w:adjustRightInd w:val="0"/>
        <w:spacing w:before="29" w:line="288" w:lineRule="auto"/>
        <w:jc w:val="left"/>
        <w:rPr>
          <w:rFonts w:eastAsiaTheme="minorEastAsia"/>
          <w:color w:val="000000"/>
          <w:kern w:val="0"/>
          <w:sz w:val="24"/>
        </w:rPr>
      </w:pP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p w:rsidP="007C14DF" w:rsidR="009238DB" w:rsidRDefault="000871DB" w:rsidRPr="007F52FA">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p w:rsidP="001A5E45" w:rsidR="008220BF" w:rsidRDefault="001A5E45" w:rsidRPr="008220BF">
      <w:pPr>
        <w:autoSpaceDE w:val="0"/>
        <w:autoSpaceDN w:val="0"/>
        <w:adjustRightInd w:val="0"/>
        <w:spacing w:before="29" w:line="288" w:lineRule="auto"/>
        <w:jc w:val="right"/>
        <w:rPr>
          <w:color w:val="000000"/>
          <w:kern w:val="0"/>
          <w:sz w:val="24"/>
        </w:rPr>
      </w:pPr>
      <w:r w:rsidRPr="001A5E45">
        <w:rPr>
          <w:rFonts w:hint="eastAsia"/>
          <w:color w:val="000000"/>
          <w:kern w:val="0"/>
          <w:sz w:val="24"/>
        </w:rPr>
        <w:t/>
      </w:r>
      <w:r w:rsidRPr="001A5E45">
        <w:rPr>
          <w:rFonts w:hint="eastAsia"/>
          <w:color w:val="000000"/>
          <w:kern w:val="0"/>
          <w:sz w:val="24"/>
        </w:rPr>
        <w:t>金额单位：人民币元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50"/>
        <w:gridCol w:w="3390"/>
        <w:gridCol w:w="2948"/>
        <w:gridCol w:w="1680"/>
      </w:tblGrid>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序号</w:t>
            </w:r>
          </w:p>
        </w:tc>
        <w:tc>
          <w:tcPr>
            <w:tcW w:type="dxa" w:w="3260"/>
            <w:vAlign w:val="center"/>
          </w:tcPr>
          <w:p w:rsidP="007C14DF" w:rsidR="00296E4A" w:rsidRDefault="00296E4A" w:rsidRPr="007F52FA">
            <w:pPr>
              <w:spacing w:before="29" w:line="288" w:lineRule="auto"/>
              <w:ind w:left="17"/>
              <w:jc w:val="center"/>
              <w:rPr>
                <w:color w:val="000000"/>
                <w:sz w:val="24"/>
              </w:rPr>
            </w:pPr>
            <w:r w:rsidRPr="007F52FA">
              <w:rPr>
                <w:color w:val="000000"/>
                <w:sz w:val="24"/>
              </w:rPr>
              <w:t>债券品种</w:t>
            </w:r>
            <w:r w:rsidR="00EB58F5" w:rsidRPr="007F52FA">
              <w:rPr>
                <w:color w:val="000000"/>
                <w:sz w:val="24"/>
              </w:rPr>
              <w:t/>
            </w:r>
          </w:p>
        </w:tc>
        <w:tc>
          <w:tcPr>
            <w:tcW w:type="dxa" w:w="2835"/>
            <w:vAlign w:val="center"/>
          </w:tcPr>
          <w:p w:rsidP="007C14DF" w:rsidR="00296E4A" w:rsidRDefault="00296E4A" w:rsidRPr="007F52FA">
            <w:pPr>
              <w:spacing w:before="29" w:line="288" w:lineRule="auto"/>
              <w:ind w:left="17"/>
              <w:jc w:val="center"/>
              <w:rPr>
                <w:color w:val="000000"/>
                <w:sz w:val="24"/>
              </w:rPr>
            </w:pPr>
            <w:r w:rsidRPr="007F52FA">
              <w:rPr>
                <w:color w:val="000000"/>
                <w:sz w:val="24"/>
              </w:rPr>
              <w:t>公允价值</w:t>
            </w:r>
          </w:p>
        </w:tc>
        <w:tc>
          <w:tcPr>
            <w:tcW w:type="dxa" w:w="1616"/>
            <w:vAlign w:val="center"/>
          </w:tcPr>
          <w:p w:rsidP="007C14DF" w:rsidR="00296E4A" w:rsidRDefault="00296E4A" w:rsidRPr="007F52FA">
            <w:pPr>
              <w:spacing w:before="29" w:line="288" w:lineRule="auto"/>
              <w:ind w:left="17"/>
              <w:jc w:val="center"/>
              <w:rPr>
                <w:color w:val="000000"/>
                <w:sz w:val="24"/>
              </w:rPr>
            </w:pPr>
            <w:r w:rsidRPr="007F52FA">
              <w:rPr>
                <w:color w:val="000000"/>
                <w:sz w:val="24"/>
              </w:rPr>
              <w:t>占基金资产净值比例</w:t>
            </w:r>
            <w:r w:rsidR="00B44260" w:rsidRPr="007F52FA">
              <w:rPr>
                <w:sz w:val="24"/>
              </w:rPr>
              <w:t>（</w:t>
            </w:r>
            <w:r w:rsidRPr="007F52FA">
              <w:rPr>
                <w:color w:val="000000"/>
                <w:sz w:val="24"/>
              </w:rPr>
              <w:t>％</w:t>
            </w:r>
            <w:r w:rsidR="00B44260" w:rsidRPr="007F52FA">
              <w:rPr>
                <w:sz w:val="24"/>
              </w:rPr>
              <w:t>）</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1</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国家债券</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
            </w:r>
            <w:r w:rsidRPr="007F52FA">
              <w:rPr>
                <w:color w:val="000000"/>
                <w:sz w:val="24"/>
              </w:rPr>
              <w:lastRenderedPageBreak/>
              <w:t>-</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lastRenderedPageBreak/>
              <w:t/>
            </w:r>
            <w:r w:rsidRPr="007F52FA">
              <w:rPr>
                <w:color w:val="000000"/>
                <w:sz w:val="24"/>
              </w:rPr>
              <w:lastRenderedPageBreak/>
              <w:t>-</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lastRenderedPageBreak/>
              <w:t>2</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央行票据</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3</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金融债券</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20,999,300.00</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6.31</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其中：政策性金融债</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20,999,300.00</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6.31</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4</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企业债券</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5</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企业短期融资</w:t>
            </w:r>
            <w:r w:rsidR="00FA786F" w:rsidRPr="007F52FA">
              <w:rPr>
                <w:color w:val="000000"/>
                <w:sz w:val="24"/>
              </w:rPr>
              <w:t>券</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10,054,000.00</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
            </w:r>
            <w:r w:rsidRPr="007F52FA">
              <w:rPr>
                <w:color w:val="000000"/>
                <w:sz w:val="24"/>
              </w:rPr>
              <w:lastRenderedPageBreak/>
              <w:t>3.02</w:t>
            </w:r>
          </w:p>
        </w:tc>
      </w:tr>
      <w:tr w:rsidR="00686943" w:rsidRPr="007F52FA" w:rsidTr="000F7468">
        <w:trPr>
          <w:jc w:val="center"/>
        </w:trPr>
        <w:tc>
          <w:tcPr>
            <w:tcW w:type="dxa" w:w="817"/>
            <w:vAlign w:val="center"/>
          </w:tcPr>
          <w:p w:rsidP="007C14DF" w:rsidR="00686943" w:rsidRDefault="00686943" w:rsidRPr="007F52FA">
            <w:pPr>
              <w:spacing w:before="29" w:line="288" w:lineRule="auto"/>
              <w:ind w:left="17"/>
              <w:jc w:val="center"/>
              <w:rPr>
                <w:color w:val="000000"/>
                <w:sz w:val="24"/>
              </w:rPr>
            </w:pPr>
            <w:r w:rsidRPr="007F52FA">
              <w:rPr>
                <w:color w:val="000000"/>
                <w:sz w:val="24"/>
              </w:rPr>
              <w:lastRenderedPageBreak/>
              <w:t>6</w:t>
            </w:r>
          </w:p>
        </w:tc>
        <w:tc>
          <w:tcPr>
            <w:tcW w:type="dxa" w:w="3260"/>
            <w:vAlign w:val="center"/>
          </w:tcPr>
          <w:p w:rsidP="007C14DF" w:rsidR="00686943" w:rsidRDefault="00686943" w:rsidRPr="007F52FA">
            <w:pPr>
              <w:spacing w:before="29" w:line="288" w:lineRule="auto"/>
              <w:ind w:left="17"/>
              <w:jc w:val="left"/>
              <w:rPr>
                <w:color w:val="000000"/>
                <w:sz w:val="24"/>
              </w:rPr>
            </w:pPr>
            <w:r w:rsidRPr="007F52FA">
              <w:rPr>
                <w:color w:val="000000"/>
                <w:sz w:val="24"/>
              </w:rPr>
              <w:t>中期票据</w:t>
            </w:r>
          </w:p>
        </w:tc>
        <w:tc>
          <w:tcPr>
            <w:tcW w:type="dxa" w:w="2835"/>
            <w:vAlign w:val="center"/>
          </w:tcPr>
          <w:p w:rsidP="007C14DF" w:rsidR="00686943" w:rsidRDefault="00686943" w:rsidRPr="007F52FA">
            <w:pPr>
              <w:spacing w:before="29" w:line="288" w:lineRule="auto"/>
              <w:ind w:left="17"/>
              <w:jc w:val="right"/>
              <w:rPr>
                <w:color w:val="000000"/>
                <w:sz w:val="24"/>
              </w:rPr>
            </w:pPr>
            <w:r w:rsidRPr="007F52FA">
              <w:rPr>
                <w:color w:val="000000"/>
                <w:sz w:val="24"/>
              </w:rPr>
              <w:t>307,677,000.00</w:t>
            </w:r>
          </w:p>
        </w:tc>
        <w:tc>
          <w:tcPr>
            <w:tcW w:type="dxa" w:w="1616"/>
            <w:vAlign w:val="center"/>
          </w:tcPr>
          <w:p w:rsidP="007C14DF" w:rsidR="00686943" w:rsidRDefault="00686943" w:rsidRPr="007F52FA">
            <w:pPr>
              <w:spacing w:before="29" w:line="288" w:lineRule="auto"/>
              <w:ind w:left="17"/>
              <w:jc w:val="right"/>
              <w:rPr>
                <w:color w:val="000000"/>
                <w:sz w:val="24"/>
              </w:rPr>
            </w:pPr>
            <w:r w:rsidRPr="007F52FA">
              <w:rPr>
                <w:color w:val="000000"/>
                <w:sz w:val="24"/>
              </w:rPr>
              <w:t>92.49</w:t>
            </w:r>
          </w:p>
        </w:tc>
      </w:tr>
      <w:tr w:rsidR="00686943" w:rsidRPr="007F52FA" w:rsidTr="000F7468">
        <w:trPr>
          <w:jc w:val="center"/>
        </w:trPr>
        <w:tc>
          <w:tcPr>
            <w:tcW w:type="dxa" w:w="817"/>
            <w:vAlign w:val="center"/>
          </w:tcPr>
          <w:p w:rsidP="007C14DF" w:rsidR="00686943" w:rsidRDefault="00686943" w:rsidRPr="007F52FA">
            <w:pPr>
              <w:spacing w:before="29" w:line="288" w:lineRule="auto"/>
              <w:ind w:left="17"/>
              <w:jc w:val="center"/>
              <w:rPr>
                <w:color w:val="000000"/>
                <w:sz w:val="24"/>
              </w:rPr>
            </w:pPr>
            <w:r w:rsidRPr="007F52FA">
              <w:rPr>
                <w:color w:val="000000"/>
                <w:sz w:val="24"/>
              </w:rPr>
              <w:t>7</w:t>
            </w:r>
          </w:p>
        </w:tc>
        <w:tc>
          <w:tcPr>
            <w:tcW w:type="dxa" w:w="3260"/>
            <w:vAlign w:val="center"/>
          </w:tcPr>
          <w:p w:rsidP="007F50FB" w:rsidR="00686943" w:rsidRDefault="00686943" w:rsidRPr="007F52FA">
            <w:pPr>
              <w:spacing w:before="29" w:line="288" w:lineRule="auto"/>
              <w:ind w:left="17"/>
              <w:jc w:val="left"/>
              <w:rPr>
                <w:color w:val="000000"/>
                <w:sz w:val="24"/>
              </w:rPr>
            </w:pPr>
            <w:r w:rsidRPr="007F52FA">
              <w:rPr>
                <w:color w:val="000000"/>
                <w:sz w:val="24"/>
              </w:rPr>
              <w:t>可转债</w:t>
            </w:r>
            <w:r w:rsidR="007F50FB" w:rsidRPr="007F52FA">
              <w:rPr>
                <w:sz w:val="24"/>
              </w:rPr>
              <w:t>（</w:t>
            </w:r>
            <w:r w:rsidR="007F50FB">
              <w:rPr>
                <w:rFonts w:hint="eastAsia"/>
                <w:sz w:val="24"/>
              </w:rPr>
              <w:t>可交换债</w:t>
            </w:r>
            <w:r w:rsidR="007F50FB" w:rsidRPr="007F52FA">
              <w:rPr>
                <w:sz w:val="24"/>
              </w:rPr>
              <w:t>）</w:t>
            </w:r>
          </w:p>
        </w:tc>
        <w:tc>
          <w:tcPr>
            <w:tcW w:type="dxa" w:w="2835"/>
            <w:vAlign w:val="center"/>
          </w:tcPr>
          <w:p w:rsidP="007C14DF" w:rsidR="00686943" w:rsidRDefault="00686943" w:rsidRPr="007F52FA">
            <w:pPr>
              <w:spacing w:before="29" w:line="288" w:lineRule="auto"/>
              <w:ind w:left="17"/>
              <w:jc w:val="right"/>
              <w:rPr>
                <w:color w:val="000000"/>
                <w:sz w:val="24"/>
              </w:rPr>
            </w:pPr>
            <w:r w:rsidRPr="007F52FA">
              <w:rPr>
                <w:color w:val="000000"/>
                <w:sz w:val="24"/>
              </w:rPr>
              <w:t>-</w:t>
            </w:r>
          </w:p>
        </w:tc>
        <w:tc>
          <w:tcPr>
            <w:tcW w:type="dxa" w:w="1616"/>
            <w:vAlign w:val="center"/>
          </w:tcPr>
          <w:p w:rsidP="007C14DF" w:rsidR="00686943" w:rsidRDefault="00686943" w:rsidRPr="007F52FA">
            <w:pPr>
              <w:spacing w:before="29" w:line="288" w:lineRule="auto"/>
              <w:ind w:left="17"/>
              <w:jc w:val="right"/>
              <w:rPr>
                <w:color w:val="000000"/>
                <w:sz w:val="24"/>
              </w:rPr>
            </w:pPr>
            <w:r w:rsidRPr="007F52FA">
              <w:rPr>
                <w:color w:val="000000"/>
                <w:sz w:val="24"/>
              </w:rPr>
              <w:t>-</w:t>
            </w:r>
          </w:p>
        </w:tc>
      </w:tr>
      <w:tr w:rsidR="00514118" w:rsidRPr="007F52FA" w:rsidTr="000F7468">
        <w:trPr>
          <w:jc w:val="center"/>
        </w:trPr>
        <w:tc>
          <w:tcPr>
            <w:tcW w:type="dxa" w:w="817"/>
            <w:vAlign w:val="center"/>
          </w:tcPr>
          <w:p w:rsidP="007C14DF" w:rsidR="00514118" w:rsidRDefault="00514118" w:rsidRPr="007F52FA">
            <w:pPr>
              <w:spacing w:before="29" w:line="288" w:lineRule="auto"/>
              <w:ind w:left="17"/>
              <w:jc w:val="center"/>
              <w:rPr>
                <w:color w:val="000000"/>
                <w:sz w:val="24"/>
              </w:rPr>
            </w:pPr>
            <w:r>
              <w:rPr>
                <w:rFonts w:hint="eastAsia"/>
                <w:color w:val="000000"/>
                <w:sz w:val="24"/>
              </w:rPr>
              <w:t>8</w:t>
            </w:r>
          </w:p>
        </w:tc>
        <w:tc>
          <w:tcPr>
            <w:tcW w:type="dxa" w:w="3260"/>
            <w:vAlign w:val="center"/>
          </w:tcPr>
          <w:p w:rsidP="007C14DF" w:rsidR="00514118" w:rsidRDefault="00B279B6" w:rsidRPr="007F52FA">
            <w:pPr>
              <w:spacing w:before="29" w:line="288" w:lineRule="auto"/>
              <w:ind w:left="17"/>
              <w:jc w:val="left"/>
              <w:rPr>
                <w:color w:val="000000"/>
                <w:sz w:val="24"/>
              </w:rPr>
            </w:pPr>
            <w:r w:rsidRPr="00AF0CAB">
              <w:rPr>
                <w:rFonts w:hint="eastAsia"/>
                <w:color w:val="000000"/>
                <w:sz w:val="24"/>
              </w:rPr>
              <w:t>同业存单</w:t>
            </w:r>
          </w:p>
        </w:tc>
        <w:tc>
          <w:tcPr>
            <w:tcW w:type="dxa" w:w="2835"/>
            <w:vAlign w:val="center"/>
          </w:tcPr>
          <w:p w:rsidP="007C14DF" w:rsidR="00514118" w:rsidRDefault="001936D7" w:rsidRPr="007F52FA">
            <w:pPr>
              <w:spacing w:before="29" w:line="288" w:lineRule="auto"/>
              <w:ind w:left="17"/>
              <w:jc w:val="right"/>
              <w:rPr>
                <w:color w:val="000000"/>
                <w:sz w:val="24"/>
              </w:rPr>
            </w:pPr>
            <w:r w:rsidRPr="00AF0CAB">
              <w:rPr>
                <w:rFonts w:hint="eastAsia"/>
                <w:color w:val="000000"/>
                <w:sz w:val="24"/>
              </w:rPr>
              <w:t/>
            </w:r>
            <w:r w:rsidRPr="00AF0CAB">
              <w:rPr>
                <w:color w:val="000000"/>
                <w:sz w:val="24"/>
              </w:rPr>
              <w:t/>
            </w:r>
            <w:r w:rsidRPr="00AF0CAB">
              <w:rPr>
                <w:rFonts w:hint="eastAsia"/>
                <w:color w:val="000000"/>
                <w:sz w:val="24"/>
              </w:rPr>
              <w:t>-</w:t>
            </w:r>
          </w:p>
        </w:tc>
        <w:tc>
          <w:tcPr>
            <w:tcW w:type="dxa" w:w="1616"/>
            <w:vAlign w:val="center"/>
          </w:tcPr>
          <w:p w:rsidP="007C14DF" w:rsidR="00514118" w:rsidRDefault="00FC6F53" w:rsidRPr="007F52FA">
            <w:pPr>
              <w:spacing w:before="29" w:line="288" w:lineRule="auto"/>
              <w:ind w:left="17"/>
              <w:jc w:val="right"/>
              <w:rPr>
                <w:color w:val="000000"/>
                <w:sz w:val="24"/>
              </w:rPr>
            </w:pPr>
            <w:r w:rsidRPr="00AF0CAB">
              <w:rPr>
                <w:rFonts w:hint="eastAsia"/>
                <w:color w:val="000000"/>
                <w:sz w:val="24"/>
              </w:rPr>
              <w:t/>
            </w:r>
            <w:r w:rsidRPr="00AF0CAB">
              <w:rPr>
                <w:color w:val="000000"/>
                <w:sz w:val="24"/>
              </w:rPr>
              <w:t/>
            </w:r>
            <w:r w:rsidRPr="00AF0CAB">
              <w:rPr>
                <w:rFonts w:hint="eastAsia"/>
                <w:color w:val="000000"/>
                <w:sz w:val="24"/>
              </w:rPr>
              <w:t>-</w:t>
            </w:r>
          </w:p>
        </w:tc>
      </w:tr>
      <w:tr w:rsidR="00686943" w:rsidRPr="007F52FA" w:rsidTr="000F7468">
        <w:trPr>
          <w:jc w:val="center"/>
        </w:trPr>
        <w:tc>
          <w:tcPr>
            <w:tcW w:type="dxa" w:w="817"/>
            <w:vAlign w:val="center"/>
          </w:tcPr>
          <w:p w:rsidP="00CB375E" w:rsidR="00686943" w:rsidRDefault="00686943" w:rsidRPr="007F52FA">
            <w:pPr>
              <w:spacing w:before="29" w:line="288" w:lineRule="auto"/>
              <w:ind w:left="17"/>
              <w:jc w:val="center"/>
              <w:rPr>
                <w:color w:val="000000"/>
                <w:sz w:val="24"/>
              </w:rPr>
            </w:pPr>
            <w:r w:rsidRPr="007F52FA">
              <w:rPr>
                <w:color w:val="000000"/>
                <w:sz w:val="24"/>
              </w:rPr>
              <w:t/>
            </w:r>
            <w:r w:rsidR="00CB375E">
              <w:rPr>
                <w:rFonts w:hint="eastAsia"/>
                <w:color w:val="000000"/>
                <w:sz w:val="24"/>
              </w:rPr>
              <w:t/>
            </w:r>
            <w:r w:rsidRPr="007F52FA">
              <w:rPr>
                <w:color w:val="000000"/>
                <w:sz w:val="24"/>
              </w:rPr>
              <w:t>9</w:t>
            </w:r>
          </w:p>
        </w:tc>
        <w:tc>
          <w:tcPr>
            <w:tcW w:type="dxa" w:w="3260"/>
            <w:vAlign w:val="center"/>
          </w:tcPr>
          <w:p w:rsidP="007C14DF" w:rsidR="00686943" w:rsidRDefault="00686943" w:rsidRPr="007F52FA">
            <w:pPr>
              <w:spacing w:before="29" w:line="288" w:lineRule="auto"/>
              <w:ind w:left="17"/>
              <w:jc w:val="left"/>
              <w:rPr>
                <w:color w:val="000000"/>
                <w:sz w:val="24"/>
              </w:rPr>
            </w:pPr>
            <w:r w:rsidRPr="007F52FA">
              <w:rPr>
                <w:color w:val="000000"/>
                <w:sz w:val="24"/>
              </w:rPr>
              <w:t>其他</w:t>
            </w:r>
          </w:p>
        </w:tc>
        <w:tc>
          <w:tcPr>
            <w:tcW w:type="dxa" w:w="2835"/>
            <w:vAlign w:val="center"/>
          </w:tcPr>
          <w:p w:rsidP="007C14DF" w:rsidR="00686943" w:rsidRDefault="00686943" w:rsidRPr="007F52FA">
            <w:pPr>
              <w:spacing w:before="29" w:line="288" w:lineRule="auto"/>
              <w:ind w:left="17"/>
              <w:jc w:val="right"/>
              <w:rPr>
                <w:color w:val="000000"/>
                <w:sz w:val="24"/>
              </w:rPr>
            </w:pPr>
            <w:r w:rsidRPr="007F52FA">
              <w:rPr>
                <w:color w:val="000000"/>
                <w:sz w:val="24"/>
              </w:rPr>
              <w:t>-</w:t>
            </w:r>
          </w:p>
        </w:tc>
        <w:tc>
          <w:tcPr>
            <w:tcW w:type="dxa" w:w="1616"/>
            <w:vAlign w:val="center"/>
          </w:tcPr>
          <w:p w:rsidP="007C14DF" w:rsidR="00686943" w:rsidRDefault="00686943" w:rsidRPr="007F52FA">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type="dxa" w:w="817"/>
            <w:vAlign w:val="center"/>
          </w:tcPr>
          <w:p w:rsidP="00CB375E" w:rsidR="00686943" w:rsidRDefault="00686943" w:rsidRPr="007F52FA">
            <w:pPr>
              <w:spacing w:before="29" w:line="288" w:lineRule="auto"/>
              <w:ind w:left="17"/>
              <w:jc w:val="center"/>
              <w:rPr>
                <w:color w:val="000000"/>
                <w:sz w:val="24"/>
              </w:rPr>
            </w:pPr>
            <w:r w:rsidRPr="007F52FA">
              <w:rPr>
                <w:color w:val="000000"/>
                <w:sz w:val="24"/>
              </w:rPr>
              <w:t/>
            </w:r>
            <w:r w:rsidR="00CB375E">
              <w:rPr>
                <w:rFonts w:hint="eastAsia"/>
                <w:color w:val="000000"/>
                <w:sz w:val="24"/>
              </w:rPr>
              <w:t/>
            </w:r>
            <w:r w:rsidRPr="007F52FA">
              <w:rPr>
                <w:color w:val="000000"/>
                <w:sz w:val="24"/>
              </w:rPr>
              <w:t>10</w:t>
            </w:r>
          </w:p>
        </w:tc>
        <w:tc>
          <w:tcPr>
            <w:tcW w:type="dxa" w:w="3260"/>
            <w:vAlign w:val="center"/>
          </w:tcPr>
          <w:p w:rsidP="007C14DF" w:rsidR="00686943" w:rsidRDefault="00686943" w:rsidRPr="007F52FA">
            <w:pPr>
              <w:spacing w:before="29" w:line="288" w:lineRule="auto"/>
              <w:ind w:left="17"/>
              <w:jc w:val="left"/>
              <w:rPr>
                <w:color w:val="000000"/>
                <w:sz w:val="24"/>
              </w:rPr>
            </w:pPr>
            <w:r w:rsidRPr="007F52FA">
              <w:rPr>
                <w:color w:val="000000"/>
                <w:sz w:val="24"/>
              </w:rPr>
              <w:t>合计</w:t>
            </w:r>
          </w:p>
        </w:tc>
        <w:tc>
          <w:tcPr>
            <w:tcW w:type="dxa" w:w="2835"/>
            <w:vAlign w:val="center"/>
          </w:tcPr>
          <w:p w:rsidP="007C14DF" w:rsidR="00686943" w:rsidRDefault="00686943" w:rsidRPr="007F52FA">
            <w:pPr>
              <w:spacing w:before="29" w:line="288" w:lineRule="auto"/>
              <w:ind w:left="17"/>
              <w:jc w:val="right"/>
              <w:rPr>
                <w:color w:val="000000"/>
                <w:sz w:val="24"/>
              </w:rPr>
            </w:pPr>
            <w:r w:rsidRPr="007F52FA">
              <w:rPr>
                <w:color w:val="000000"/>
                <w:sz w:val="24"/>
              </w:rPr>
              <w:t>338,730,300.00</w:t>
            </w:r>
          </w:p>
        </w:tc>
        <w:tc>
          <w:tcPr>
            <w:tcW w:type="dxa" w:w="1616"/>
            <w:vAlign w:val="center"/>
          </w:tcPr>
          <w:p w:rsidP="007C14DF" w:rsidR="00686943" w:rsidRDefault="00686943" w:rsidRPr="007F52FA">
            <w:pPr>
              <w:spacing w:before="29" w:line="288" w:lineRule="auto"/>
              <w:ind w:left="17"/>
              <w:jc w:val="right"/>
              <w:rPr>
                <w:color w:val="000000"/>
                <w:sz w:val="24"/>
              </w:rPr>
            </w:pPr>
            <w:r w:rsidRPr="007F52FA">
              <w:rPr>
                <w:color w:val="000000"/>
                <w:sz w:val="24"/>
              </w:rPr>
              <w:t>101.83</w:t>
            </w:r>
          </w:p>
        </w:tc>
      </w:tr>
    </w:tbl>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p w:rsidP="001A5E45" w:rsidR="00D21CE9" w:rsidRDefault="001A5E45" w:rsidRPr="00D21CE9">
      <w:pPr>
        <w:autoSpaceDE w:val="0"/>
        <w:autoSpaceDN w:val="0"/>
        <w:adjustRightInd w:val="0"/>
        <w:spacing w:before="29" w:line="288" w:lineRule="auto"/>
        <w:jc w:val="right"/>
        <w:rPr>
          <w:color w:val="000000"/>
          <w:kern w:val="0"/>
          <w:sz w:val="24"/>
        </w:rPr>
      </w:pPr>
      <w:r w:rsidRPr="001A5E45">
        <w:rPr>
          <w:rFonts w:hint="eastAsia"/>
          <w:color w:val="000000"/>
          <w:kern w:val="0"/>
          <w:sz w:val="24"/>
        </w:rPr>
        <w:lastRenderedPageBreak/>
        <w:t/>
      </w:r>
      <w:r w:rsidRPr="001A5E45">
        <w:rPr>
          <w:rFonts w:hint="eastAsia"/>
          <w:color w:val="000000"/>
          <w:kern w:val="0"/>
          <w:sz w:val="24"/>
        </w:rPr>
        <w:t>金额单位：人民币元</w:t>
      </w:r>
    </w:p>
    <w:tbl>
      <w:tblPr>
        <w:tblStyle w:val="af2"/>
        <w:tblW w:type="dxa" w:w="8868"/>
        <w:jc w:val="center"/>
        <w:tblLayout w:type="fixed"/>
        <w:tblCellMar>
          <w:top w:type="dxa" w:w="57"/>
          <w:bottom w:type="dxa" w:w="57"/>
        </w:tblCellMar>
        <w:tblLook w:firstColumn="1" w:firstRow="1" w:lastColumn="0" w:lastRow="0" w:noHBand="0" w:noVBand="1" w:val="04A0"/>
      </w:tblPr>
      <w:tblGrid>
        <w:gridCol w:w="1075"/>
        <w:gridCol w:w="1533"/>
        <w:gridCol w:w="1533"/>
        <w:gridCol w:w="1394"/>
        <w:gridCol w:w="1944"/>
        <w:gridCol w:w="1389"/>
      </w:tblGrid>
      <w:tr w:rsidR="00685FFC" w:rsidRPr="007F52FA" w:rsidTr="00B236A5">
        <w:trPr>
          <w:jc w:val="center"/>
        </w:trPr>
        <w:tc>
          <w:tcPr>
            <w:tcW w:type="dxa" w:w="1095"/>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type="dxa" w:w="1562"/>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type="dxa" w:w="1562"/>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type="dxa" w:w="1420"/>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D0316E" w:rsidRPr="007F52FA">
              <w:rPr>
                <w:sz w:val="24"/>
              </w:rPr>
              <w:t>（</w:t>
            </w:r>
            <w:r w:rsidRPr="007F52FA">
              <w:rPr>
                <w:color w:val="000000"/>
                <w:kern w:val="0"/>
                <w:sz w:val="24"/>
              </w:rPr>
              <w:t>张</w:t>
            </w:r>
            <w:r w:rsidR="006314E0" w:rsidRPr="007F52FA">
              <w:rPr>
                <w:color w:val="000000"/>
                <w:kern w:val="0"/>
                <w:sz w:val="24"/>
              </w:rPr>
              <w:t>）</w:t>
            </w:r>
          </w:p>
        </w:tc>
        <w:tc>
          <w:tcPr>
            <w:tcW w:type="dxa" w:w="1982"/>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p>
        </w:tc>
        <w:tc>
          <w:tcPr>
            <w:tcW w:type="dxa" w:w="1415"/>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w:t>
            </w:r>
            <w:r w:rsidR="00334656" w:rsidRPr="007F52FA">
              <w:rPr>
                <w:color w:val="000000"/>
                <w:kern w:val="0"/>
                <w:sz w:val="24"/>
              </w:rPr>
              <w:t>例</w:t>
            </w:r>
            <w:r w:rsidRPr="007F52FA">
              <w:rPr>
                <w:color w:val="000000"/>
                <w:kern w:val="0"/>
                <w:sz w:val="24"/>
              </w:rPr>
              <w:t>（％）</w:t>
            </w:r>
          </w:p>
        </w:tc>
      </w:tr>
      <w:tr>
        <w:tc>
          <w:tcPr>
            <w:vAlign w:val="center"/>
          </w:tcPr>
          <w:p>
            <w:pPr>
              <w:jc w:val="center"/>
            </w:pPr>
            <w:r>
              <w:rPr>
                <w:color w:val="000000"/>
                <w:sz w:val="24"/>
              </w:rPr>
              <w:t>1</w:t>
            </w:r>
          </w:p>
        </w:tc>
        <w:tc>
          <w:tcPr>
            <w:vAlign w:val="center"/>
          </w:tcPr>
          <w:p>
            <w:pPr>
              <w:jc w:val="center"/>
            </w:pPr>
            <w:r>
              <w:rPr>
                <w:color w:val="000000"/>
                <w:sz w:val="24"/>
              </w:rPr>
              <w:t>101900028</w:t>
            </w:r>
          </w:p>
        </w:tc>
        <w:tc>
          <w:tcPr>
            <w:vAlign w:val="center"/>
          </w:tcPr>
          <w:p>
            <w:pPr>
              <w:jc w:val="center"/>
            </w:pPr>
            <w:r>
              <w:rPr>
                <w:color w:val="000000"/>
                <w:sz w:val="24"/>
              </w:rPr>
              <w:t>19惠山经发MTN001</w:t>
            </w:r>
          </w:p>
        </w:tc>
        <w:tc>
          <w:tcPr>
            <w:vAlign w:val="center"/>
          </w:tcPr>
          <w:p>
            <w:pPr>
              <w:jc w:val="right"/>
            </w:pPr>
            <w:r>
              <w:rPr>
                <w:color w:val="000000"/>
                <w:sz w:val="24"/>
              </w:rPr>
              <w:t>200,000</w:t>
            </w:r>
          </w:p>
        </w:tc>
        <w:tc>
          <w:tcPr>
            <w:vAlign w:val="center"/>
          </w:tcPr>
          <w:p>
            <w:pPr>
              <w:jc w:val="right"/>
            </w:pPr>
            <w:r>
              <w:rPr>
                <w:color w:val="000000"/>
                <w:sz w:val="24"/>
              </w:rPr>
              <w:t>20,748,000.00</w:t>
            </w:r>
          </w:p>
        </w:tc>
        <w:tc>
          <w:tcPr>
            <w:vAlign w:val="center"/>
          </w:tcPr>
          <w:p>
            <w:pPr>
              <w:jc w:val="right"/>
            </w:pPr>
            <w:r>
              <w:rPr>
                <w:color w:val="000000"/>
                <w:sz w:val="24"/>
              </w:rPr>
              <w:t>6.24</w:t>
            </w:r>
          </w:p>
        </w:tc>
      </w:tr>
      <w:tr>
        <w:tc>
          <w:tcPr>
            <w:vAlign w:val="center"/>
          </w:tcPr>
          <w:p>
            <w:pPr>
              <w:jc w:val="center"/>
            </w:pPr>
            <w:r>
              <w:rPr>
                <w:color w:val="000000"/>
                <w:sz w:val="24"/>
              </w:rPr>
              <w:t>2</w:t>
            </w:r>
          </w:p>
        </w:tc>
        <w:tc>
          <w:tcPr>
            <w:vAlign w:val="center"/>
          </w:tcPr>
          <w:p>
            <w:pPr>
              <w:jc w:val="center"/>
            </w:pPr>
            <w:r>
              <w:rPr>
                <w:color w:val="000000"/>
                <w:sz w:val="24"/>
              </w:rPr>
              <w:t>101901289</w:t>
            </w:r>
          </w:p>
        </w:tc>
        <w:tc>
          <w:tcPr>
            <w:vAlign w:val="center"/>
          </w:tcPr>
          <w:p>
            <w:pPr>
              <w:jc w:val="center"/>
            </w:pPr>
            <w:r>
              <w:rPr>
                <w:color w:val="000000"/>
                <w:sz w:val="24"/>
              </w:rPr>
              <w:t>19空港兴城MTN001B</w:t>
            </w:r>
          </w:p>
        </w:tc>
        <w:tc>
          <w:tcPr>
            <w:vAlign w:val="center"/>
          </w:tcPr>
          <w:p>
            <w:pPr>
              <w:jc w:val="right"/>
            </w:pPr>
            <w:r>
              <w:rPr>
                <w:color w:val="000000"/>
                <w:sz w:val="24"/>
              </w:rPr>
              <w:t>200,000</w:t>
            </w:r>
          </w:p>
        </w:tc>
        <w:tc>
          <w:tcPr>
            <w:vAlign w:val="center"/>
          </w:tcPr>
          <w:p>
            <w:pPr>
              <w:jc w:val="right"/>
            </w:pPr>
            <w:r>
              <w:rPr>
                <w:color w:val="000000"/>
                <w:sz w:val="24"/>
              </w:rPr>
              <w:t>20,648,000.00</w:t>
            </w:r>
          </w:p>
        </w:tc>
        <w:tc>
          <w:tcPr>
            <w:vAlign w:val="center"/>
          </w:tcPr>
          <w:p>
            <w:pPr>
              <w:jc w:val="right"/>
            </w:pPr>
            <w:r>
              <w:rPr>
                <w:color w:val="000000"/>
                <w:sz w:val="24"/>
              </w:rPr>
              <w:t>6.21</w:t>
            </w:r>
          </w:p>
        </w:tc>
      </w:tr>
      <w:tr>
        <w:tc>
          <w:tcPr>
            <w:vAlign w:val="center"/>
          </w:tcPr>
          <w:p>
            <w:pPr>
              <w:jc w:val="center"/>
            </w:pPr>
            <w:r>
              <w:rPr>
                <w:color w:val="000000"/>
                <w:sz w:val="24"/>
              </w:rPr>
              <w:t>3</w:t>
            </w:r>
          </w:p>
        </w:tc>
        <w:tc>
          <w:tcPr>
            <w:vAlign w:val="center"/>
          </w:tcPr>
          <w:p>
            <w:pPr>
              <w:jc w:val="center"/>
            </w:pPr>
            <w:r>
              <w:rPr>
                <w:color w:val="000000"/>
                <w:sz w:val="24"/>
              </w:rPr>
              <w:t>101773001</w:t>
            </w:r>
          </w:p>
        </w:tc>
        <w:tc>
          <w:tcPr>
            <w:vAlign w:val="center"/>
          </w:tcPr>
          <w:p>
            <w:pPr>
              <w:jc w:val="center"/>
            </w:pPr>
            <w:r>
              <w:rPr>
                <w:color w:val="000000"/>
                <w:sz w:val="24"/>
              </w:rPr>
              <w:t>17安庆城投MTN001</w:t>
            </w:r>
          </w:p>
        </w:tc>
        <w:tc>
          <w:tcPr>
            <w:vAlign w:val="center"/>
          </w:tcPr>
          <w:p>
            <w:pPr>
              <w:jc w:val="right"/>
            </w:pPr>
            <w:r>
              <w:rPr>
                <w:color w:val="000000"/>
                <w:sz w:val="24"/>
              </w:rPr>
              <w:t>200,000</w:t>
            </w:r>
          </w:p>
        </w:tc>
        <w:tc>
          <w:tcPr>
            <w:vAlign w:val="center"/>
          </w:tcPr>
          <w:p>
            <w:pPr>
              <w:jc w:val="right"/>
            </w:pPr>
            <w:r>
              <w:rPr>
                <w:color w:val="000000"/>
                <w:sz w:val="24"/>
              </w:rPr>
              <w:t>20,632,000.00</w:t>
            </w:r>
          </w:p>
        </w:tc>
        <w:tc>
          <w:tcPr>
            <w:vAlign w:val="center"/>
          </w:tcPr>
          <w:p>
            <w:pPr>
              <w:jc w:val="right"/>
            </w:pPr>
            <w:r>
              <w:rPr>
                <w:color w:val="000000"/>
                <w:sz w:val="24"/>
              </w:rPr>
              <w:t>6.20</w:t>
            </w:r>
          </w:p>
        </w:tc>
      </w:tr>
      <w:tr>
        <w:tc>
          <w:tcPr>
            <w:vAlign w:val="center"/>
          </w:tcPr>
          <w:p>
            <w:pPr>
              <w:jc w:val="center"/>
            </w:pPr>
            <w:r>
              <w:rPr>
                <w:color w:val="000000"/>
                <w:sz w:val="24"/>
              </w:rPr>
              <w:t>4</w:t>
            </w:r>
          </w:p>
        </w:tc>
        <w:tc>
          <w:tcPr>
            <w:vAlign w:val="center"/>
          </w:tcPr>
          <w:p>
            <w:pPr>
              <w:jc w:val="center"/>
            </w:pPr>
            <w:r>
              <w:rPr>
                <w:color w:val="000000"/>
                <w:sz w:val="24"/>
              </w:rPr>
              <w:t>101901335</w:t>
            </w:r>
          </w:p>
        </w:tc>
        <w:tc>
          <w:tcPr>
            <w:vAlign w:val="center"/>
          </w:tcPr>
          <w:p>
            <w:pPr>
              <w:jc w:val="center"/>
            </w:pPr>
            <w:r>
              <w:rPr>
                <w:color w:val="000000"/>
                <w:sz w:val="24"/>
              </w:rPr>
              <w:t>19黔铁投MTN002</w:t>
            </w:r>
          </w:p>
        </w:tc>
        <w:tc>
          <w:tcPr>
            <w:vAlign w:val="center"/>
          </w:tcPr>
          <w:p>
            <w:pPr>
              <w:jc w:val="right"/>
            </w:pPr>
            <w:r>
              <w:rPr>
                <w:color w:val="000000"/>
                <w:sz w:val="24"/>
              </w:rPr>
              <w:t>200,000</w:t>
            </w:r>
          </w:p>
        </w:tc>
        <w:tc>
          <w:tcPr>
            <w:vAlign w:val="center"/>
          </w:tcPr>
          <w:p>
            <w:pPr>
              <w:jc w:val="right"/>
            </w:pPr>
            <w:r>
              <w:rPr>
                <w:color w:val="000000"/>
                <w:sz w:val="24"/>
              </w:rPr>
              <w:t>20,506,000.00</w:t>
            </w:r>
          </w:p>
        </w:tc>
        <w:tc>
          <w:tcPr>
            <w:vAlign w:val="center"/>
          </w:tcPr>
          <w:p>
            <w:pPr>
              <w:jc w:val="right"/>
            </w:pPr>
            <w:r>
              <w:rPr>
                <w:color w:val="000000"/>
                <w:sz w:val="24"/>
              </w:rPr>
              <w:t>6.16</w:t>
            </w:r>
          </w:p>
        </w:tc>
      </w:tr>
      <w:tr>
        <w:tc>
          <w:tcPr>
            <w:vAlign w:val="center"/>
          </w:tcPr>
          <w:p>
            <w:pPr>
              <w:jc w:val="center"/>
            </w:pPr>
            <w:r>
              <w:rPr>
                <w:color w:val="000000"/>
                <w:sz w:val="24"/>
              </w:rPr>
              <w:t>5</w:t>
            </w:r>
          </w:p>
        </w:tc>
        <w:tc>
          <w:tcPr>
            <w:vAlign w:val="center"/>
          </w:tcPr>
          <w:p>
            <w:pPr>
              <w:jc w:val="center"/>
            </w:pPr>
            <w:r>
              <w:rPr>
                <w:color w:val="000000"/>
                <w:sz w:val="24"/>
              </w:rPr>
              <w:t>101900433</w:t>
            </w:r>
          </w:p>
        </w:tc>
        <w:tc>
          <w:tcPr>
            <w:vAlign w:val="center"/>
          </w:tcPr>
          <w:p>
            <w:pPr>
              <w:jc w:val="center"/>
            </w:pPr>
            <w:r>
              <w:rPr>
                <w:color w:val="000000"/>
                <w:sz w:val="24"/>
              </w:rPr>
              <w:t>19淮安国投MTN002</w:t>
            </w:r>
          </w:p>
        </w:tc>
        <w:tc>
          <w:tcPr>
            <w:vAlign w:val="center"/>
          </w:tcPr>
          <w:p>
            <w:pPr>
              <w:jc w:val="right"/>
            </w:pPr>
            <w:r>
              <w:rPr>
                <w:color w:val="000000"/>
                <w:sz w:val="24"/>
              </w:rPr>
              <w:t>200,000</w:t>
            </w:r>
          </w:p>
        </w:tc>
        <w:tc>
          <w:tcPr>
            <w:vAlign w:val="center"/>
          </w:tcPr>
          <w:p>
            <w:pPr>
              <w:jc w:val="right"/>
            </w:pPr>
            <w:r>
              <w:rPr>
                <w:color w:val="000000"/>
                <w:sz w:val="24"/>
              </w:rPr>
              <w:t>20,504,000.00</w:t>
            </w:r>
          </w:p>
        </w:tc>
        <w:tc>
          <w:tcPr>
            <w:vAlign w:val="center"/>
          </w:tcPr>
          <w:p>
            <w:pPr>
              <w:jc w:val="right"/>
            </w:pPr>
            <w:r>
              <w:rPr>
                <w:color w:val="000000"/>
                <w:sz w:val="24"/>
              </w:rPr>
              <w:t>6.16</w:t>
            </w:r>
          </w:p>
        </w:tc>
      </w:tr>
    </w:tbl>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P="007C14DF" w:rsidR="009238DB" w:rsidRDefault="00C260A2" w:rsidRPr="007F52FA">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P="007C14DF" w:rsidR="00680BCE" w:rsidRDefault="00680BCE" w:rsidRPr="007F52FA">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P="007C14DF" w:rsidR="00680BCE" w:rsidRDefault="00680BCE" w:rsidRPr="007F52FA">
      <w:pPr>
        <w:autoSpaceDE w:val="0"/>
        <w:autoSpaceDN w:val="0"/>
        <w:adjustRightInd w:val="0"/>
        <w:spacing w:before="29" w:line="288" w:lineRule="auto"/>
        <w:ind w:firstLine="120" w:firstLineChars="50"/>
        <w:jc w:val="left"/>
        <w:rPr>
          <w:sz w:val="24"/>
        </w:rPr>
      </w:pPr>
      <w:r w:rsidRPr="007F52FA">
        <w:rPr>
          <w:sz w:val="24"/>
        </w:rPr>
        <w:t>本基金本报告期末未持有贵金属。</w:t>
      </w:r>
    </w:p>
    <w:p w:rsidP="007C14DF" w:rsidR="00680BCE" w:rsidRDefault="00680BCE"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A621E1" w:rsidRPr="007F52FA">
      <w:pPr>
        <w:autoSpaceDE w:val="0"/>
        <w:autoSpaceDN w:val="0"/>
        <w:adjustRightInd w:val="0"/>
        <w:spacing w:before="29" w:line="288" w:lineRule="auto"/>
        <w:jc w:val="left"/>
        <w:rPr>
          <w:b/>
          <w:color w:val="000000"/>
          <w:kern w:val="0"/>
          <w:sz w:val="24"/>
        </w:rPr>
      </w:pPr>
      <w:r w:rsidRPr="007F52FA">
        <w:rPr>
          <w:b/>
          <w:color w:val="000000"/>
          <w:kern w:val="0"/>
          <w:sz w:val="24"/>
        </w:rPr>
        <w:t/>
      </w:r>
      <w:r w:rsidR="001D5CD0" w:rsidRPr="007F52FA">
        <w:rPr>
          <w:b/>
          <w:color w:val="000000"/>
          <w:kern w:val="0"/>
          <w:sz w:val="24"/>
        </w:rPr>
        <w:t>5</w:t>
      </w:r>
      <w:r w:rsidR="009238DB" w:rsidRPr="007F52FA">
        <w:rPr>
          <w:b/>
          <w:color w:val="000000"/>
          <w:kern w:val="0"/>
          <w:sz w:val="24"/>
        </w:rPr>
        <w:t>.</w:t>
      </w:r>
      <w:r w:rsidR="001D5CD0" w:rsidRPr="007F52FA">
        <w:rPr>
          <w:b/>
          <w:color w:val="000000"/>
          <w:kern w:val="0"/>
          <w:sz w:val="24"/>
        </w:rPr>
        <w:t/>
      </w:r>
      <w:r w:rsidR="00680BCE" w:rsidRPr="007F52FA">
        <w:rPr>
          <w:b/>
          <w:color w:val="000000"/>
          <w:kern w:val="0"/>
          <w:sz w:val="24"/>
        </w:rPr>
        <w:t/>
      </w:r>
      <w:r w:rsidR="001D5CD0" w:rsidRPr="007F52FA">
        <w:rPr>
          <w:b/>
          <w:color w:val="000000"/>
          <w:kern w:val="0"/>
          <w:sz w:val="24"/>
        </w:rPr>
        <w:t>8</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P="007C14DF" w:rsidR="00C260A2" w:rsidRDefault="00C260A2" w:rsidRPr="007F52FA">
      <w:pPr>
        <w:autoSpaceDE w:val="0"/>
        <w:autoSpaceDN w:val="0"/>
        <w:adjustRightInd w:val="0"/>
        <w:spacing w:before="29" w:line="288" w:lineRule="auto"/>
        <w:jc w:val="left"/>
        <w:rPr>
          <w:color w:val="000000"/>
          <w:sz w:val="24"/>
        </w:rPr>
      </w:pPr>
      <w:r w:rsidRPr="007F52FA">
        <w:rPr>
          <w:color w:val="000000"/>
          <w:sz w:val="24"/>
        </w:rPr>
        <w:t/>
      </w:r>
      <w:r w:rsidR="00407F66" w:rsidRPr="007F52FA">
        <w:rPr>
          <w:color w:val="000000"/>
          <w:sz w:val="24"/>
        </w:rPr>
        <w:t/>
      </w:r>
      <w:r w:rsidRPr="007F52FA">
        <w:rPr>
          <w:color w:val="000000"/>
          <w:sz w:val="24"/>
        </w:rPr>
        <w:t>本基金本报告期末未持有权证。</w:t>
      </w:r>
    </w:p>
    <w:p w:rsidP="007C14DF" w:rsidR="001D5CD0" w:rsidRDefault="001D5CD0" w:rsidRPr="007F52FA">
      <w:pPr>
        <w:autoSpaceDE w:val="0"/>
        <w:autoSpaceDN w:val="0"/>
        <w:adjustRightInd w:val="0"/>
        <w:spacing w:before="29" w:line="288" w:lineRule="auto"/>
        <w:jc w:val="left"/>
        <w:rPr>
          <w:rFonts w:eastAsiaTheme="minorEastAsia"/>
          <w:color w:val="000000"/>
          <w:kern w:val="0"/>
          <w:sz w:val="24"/>
        </w:rPr>
      </w:pPr>
    </w:p>
    <w:p w:rsidP="007C14DF" w:rsidR="001D5CD0" w:rsidRDefault="001D5CD0" w:rsidRPr="007F52FA">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P="007C14DF" w:rsidR="001D5CD0" w:rsidRDefault="001D5CD0" w:rsidRPr="007F52FA">
      <w:pPr>
        <w:autoSpaceDE w:val="0"/>
        <w:autoSpaceDN w:val="0"/>
        <w:adjustRightInd w:val="0"/>
        <w:spacing w:before="29" w:line="288" w:lineRule="auto"/>
        <w:jc w:val="left"/>
        <w:rPr>
          <w:sz w:val="24"/>
        </w:rPr>
      </w:pPr>
      <w:r w:rsidRPr="007F52FA">
        <w:rPr>
          <w:sz w:val="24"/>
        </w:rPr>
        <w:t>本基金本报告期末未持有股指期货。</w:t>
      </w:r>
    </w:p>
    <w:p w:rsidP="007C14DF" w:rsidR="001D5CD0" w:rsidRDefault="001D5CD0" w:rsidRPr="007F52FA">
      <w:pPr>
        <w:autoSpaceDE w:val="0"/>
        <w:autoSpaceDN w:val="0"/>
        <w:adjustRightInd w:val="0"/>
        <w:spacing w:before="29" w:line="288" w:lineRule="auto"/>
        <w:jc w:val="left"/>
        <w:rPr>
          <w:b/>
          <w:sz w:val="24"/>
        </w:rPr>
      </w:pPr>
    </w:p>
    <w:p w:rsidP="007C14DF" w:rsidR="00A7062E" w:rsidRDefault="001D5CD0" w:rsidRPr="007F52FA">
      <w:pPr>
        <w:adjustRightInd w:val="0"/>
        <w:snapToGrid w:val="0"/>
        <w:spacing w:before="29" w:line="288" w:lineRule="auto"/>
        <w:rPr>
          <w:b/>
          <w:sz w:val="24"/>
        </w:rPr>
      </w:pPr>
      <w:r w:rsidRPr="007F52FA">
        <w:rPr>
          <w:b/>
          <w:sz w:val="24"/>
        </w:rPr>
        <w:t>5.10</w:t>
      </w:r>
      <w:r w:rsidRPr="007F52FA">
        <w:rPr>
          <w:b/>
          <w:sz w:val="24"/>
        </w:rPr>
        <w:t>报告期末本基金投资的国债期货交易情况说明</w:t>
      </w:r>
    </w:p>
    <w:p w:rsidP="007C14DF" w:rsidR="001D5CD0" w:rsidRDefault="001D5CD0" w:rsidRPr="007F52FA">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P="007C14DF" w:rsidR="00DB56EC" w:rsidRDefault="00DB56EC" w:rsidRPr="007F52FA">
      <w:pPr>
        <w:autoSpaceDE w:val="0"/>
        <w:autoSpaceDN w:val="0"/>
        <w:adjustRightInd w:val="0"/>
        <w:spacing w:before="29" w:line="288" w:lineRule="auto"/>
        <w:jc w:val="left"/>
        <w:rPr>
          <w:rFonts w:eastAsiaTheme="minorEastAsia"/>
          <w:sz w:val="24"/>
        </w:rPr>
      </w:pPr>
    </w:p>
    <w:p w:rsidP="007C14DF" w:rsidR="001D5CD0" w:rsidRDefault="001D5CD0" w:rsidRPr="007F52FA">
      <w:pPr>
        <w:autoSpaceDE w:val="0"/>
        <w:autoSpaceDN w:val="0"/>
        <w:adjustRightInd w:val="0"/>
        <w:spacing w:before="29" w:line="288" w:lineRule="auto"/>
        <w:jc w:val="left"/>
        <w:rPr>
          <w:b/>
          <w:kern w:val="0"/>
          <w:sz w:val="24"/>
        </w:rPr>
      </w:pPr>
      <w:r w:rsidRPr="007F52FA">
        <w:rPr>
          <w:b/>
          <w:kern w:val="0"/>
          <w:sz w:val="24"/>
        </w:rPr>
        <w:t>5.11</w:t>
      </w:r>
      <w:r w:rsidRPr="007F52FA">
        <w:rPr>
          <w:b/>
          <w:kern w:val="0"/>
          <w:sz w:val="24"/>
        </w:rPr>
        <w:t>投资组合报告附注</w:t>
      </w:r>
    </w:p>
    <w:p w:rsidP="00A0678E" w:rsidR="00384E65" w:rsidRDefault="00384E65" w:rsidRPr="00384E65">
      <w:pPr>
        <w:autoSpaceDE w:val="0"/>
        <w:autoSpaceDN w:val="0"/>
        <w:adjustRightInd w:val="0"/>
        <w:spacing w:before="29" w:line="288" w:lineRule="auto"/>
        <w:rPr>
          <w:kern w:val="0"/>
          <w:sz w:val="24"/>
        </w:rPr>
      </w:pPr>
      <w:r w:rsidRPr="00885AD9">
        <w:rPr>
          <w:b/>
          <w:kern w:val="0"/>
          <w:sz w:val="24"/>
        </w:rPr>
        <w:t>5.11.1</w:t>
      </w:r>
      <w:r w:rsidRPr="00384E65">
        <w:rPr>
          <w:kern w:val="0"/>
          <w:sz w:val="24"/>
        </w:rPr>
        <w:t>报告期内本基金投资的前十名证券的发行主体未被监管部门立案调查，在本报告编制日前一年内本基金投资的前十名证券的发行主体未受到公开谴责和处罚。</w:t>
      </w:r>
    </w:p>
    <w:p w:rsidP="00A0678E" w:rsidR="00384E65" w:rsidRDefault="00384E65" w:rsidRPr="00384E65">
      <w:pPr>
        <w:autoSpaceDE w:val="0"/>
        <w:autoSpaceDN w:val="0"/>
        <w:adjustRightInd w:val="0"/>
        <w:spacing w:before="29" w:line="288" w:lineRule="auto"/>
        <w:rPr>
          <w:kern w:val="0"/>
          <w:sz w:val="24"/>
        </w:rPr>
      </w:pPr>
      <w:r w:rsidRPr="00885AD9">
        <w:rPr>
          <w:b/>
          <w:kern w:val="0"/>
          <w:sz w:val="24"/>
        </w:rPr>
        <w:t>5.11.2</w:t>
      </w:r>
      <w:r w:rsidRPr="00384E65">
        <w:rPr>
          <w:kern w:val="0"/>
          <w:sz w:val="24"/>
        </w:rPr>
        <w:t>本基金投资的前十名股票中，没有超出基金合同规定的备选股票库之外的股票。</w:t>
      </w:r>
    </w:p>
    <w:p w:rsidP="007C14DF" w:rsidR="001D5CD0" w:rsidRDefault="001D5CD0">
      <w:pPr>
        <w:autoSpaceDE w:val="0"/>
        <w:autoSpaceDN w:val="0"/>
        <w:adjustRightInd w:val="0"/>
        <w:spacing w:before="29" w:line="288" w:lineRule="auto"/>
        <w:rPr>
          <w:kern w:val="0"/>
          <w:sz w:val="24"/>
        </w:rPr>
      </w:pPr>
      <w:bookmarkStart w:id="2" w:name="_GoBack"/>
      <w:r w:rsidRPr="00885AD9">
        <w:rPr>
          <w:b/>
          <w:kern w:val="0"/>
          <w:sz w:val="24"/>
        </w:rPr>
        <w:t>5.11.3</w:t>
      </w:r>
      <w:bookmarkEnd w:id="2"/>
      <w:r w:rsidR="008F4965">
        <w:rPr>
          <w:rFonts w:hint="eastAsia"/>
          <w:kern w:val="0"/>
          <w:sz w:val="24"/>
        </w:rPr>
        <w:t>期末</w:t>
      </w:r>
      <w:r w:rsidR="00E84F32" w:rsidRPr="007F52FA">
        <w:rPr>
          <w:kern w:val="0"/>
          <w:sz w:val="24"/>
        </w:rPr>
        <w:t>其他</w:t>
      </w:r>
      <w:r w:rsidR="008F4965">
        <w:rPr>
          <w:rFonts w:hint="eastAsia"/>
          <w:kern w:val="0"/>
          <w:sz w:val="24"/>
        </w:rPr>
        <w:t>各项</w:t>
      </w:r>
      <w:r w:rsidRPr="007F52FA">
        <w:rPr>
          <w:kern w:val="0"/>
          <w:sz w:val="24"/>
        </w:rPr>
        <w:t>资产构成</w:t>
      </w:r>
    </w:p>
    <w:p w:rsidP="006B32A4" w:rsidR="006B32A4" w:rsidRDefault="00C33577" w:rsidRPr="007F52FA">
      <w:pPr>
        <w:autoSpaceDE w:val="0"/>
        <w:autoSpaceDN w:val="0"/>
        <w:adjustRightInd w:val="0"/>
        <w:spacing w:before="29" w:line="288" w:lineRule="auto"/>
        <w:jc w:val="right"/>
        <w:rPr>
          <w:kern w:val="0"/>
          <w:sz w:val="24"/>
        </w:rPr>
      </w:pPr>
      <w:r w:rsidRPr="00C33577">
        <w:rPr>
          <w:rFonts w:hint="eastAsia"/>
          <w:kern w:val="0"/>
          <w:sz w:val="24"/>
        </w:rPr>
        <w:t/>
      </w:r>
      <w:r w:rsidRPr="00C33577">
        <w:rPr>
          <w:rFonts w:hint="eastAsia"/>
          <w:kern w:val="0"/>
          <w:sz w:val="24"/>
        </w:rPr>
        <w:t>金额单位：人民币元</w:t>
      </w:r>
    </w:p>
    <w:tbl>
      <w:tblPr>
        <w:tblStyle w:val="af2"/>
        <w:tblW w:type="dxa" w:w="8868"/>
        <w:jc w:val="center"/>
        <w:tblLook w:firstColumn="1" w:firstRow="1" w:lastColumn="0" w:lastRow="0" w:noHBand="0" w:noVBand="1" w:val="04A0"/>
      </w:tblPr>
      <w:tblGrid>
        <w:gridCol w:w="1260"/>
        <w:gridCol w:w="2706"/>
        <w:gridCol w:w="4902"/>
      </w:tblGrid>
      <w:tr w:rsidR="001D5CD0" w:rsidRPr="007F52FA" w:rsidTr="006C3EE0">
        <w:trPr>
          <w:trHeight w:val="499"/>
          <w:jc w:val="center"/>
        </w:trPr>
        <w:tc>
          <w:tcPr>
            <w:tcW w:type="dxa" w:w="1260"/>
            <w:vAlign w:val="center"/>
          </w:tcPr>
          <w:p w:rsidP="007C14DF" w:rsidR="001D5CD0" w:rsidRDefault="001D5CD0" w:rsidRPr="007F52FA">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type="dxa" w:w="2818"/>
            <w:vAlign w:val="center"/>
          </w:tcPr>
          <w:p w:rsidP="007C14DF" w:rsidR="001D5CD0" w:rsidRDefault="001D5CD0" w:rsidRPr="007F52FA">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type="dxa" w:w="4908"/>
            <w:vAlign w:val="center"/>
          </w:tcPr>
          <w:p w:rsidP="007C14DF" w:rsidR="001D5CD0" w:rsidRDefault="001D5CD0" w:rsidRPr="007F52FA">
            <w:pPr>
              <w:autoSpaceDE w:val="0"/>
              <w:autoSpaceDN w:val="0"/>
              <w:adjustRightInd w:val="0"/>
              <w:spacing w:before="29" w:line="288" w:lineRule="auto"/>
              <w:ind w:left="17"/>
              <w:jc w:val="center"/>
              <w:rPr>
                <w:color w:val="000000"/>
                <w:kern w:val="0"/>
                <w:sz w:val="24"/>
              </w:rPr>
            </w:pPr>
            <w:r w:rsidRPr="007F52FA">
              <w:rPr>
                <w:color w:val="000000"/>
                <w:kern w:val="0"/>
                <w:sz w:val="24"/>
              </w:rPr>
              <w:t>金额</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9,837.45</w:t>
            </w:r>
          </w:p>
        </w:tc>
      </w:tr>
      <w:tr w:rsidR="001D5CD0" w:rsidRPr="007F52FA" w:rsidTr="006C3EE0">
        <w:trPr>
          <w:trHeight w:val="531"/>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lastRenderedPageBreak/>
              <w:t>2</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3</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4</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6,564,058.45</w:t>
            </w:r>
          </w:p>
        </w:tc>
      </w:tr>
      <w:tr w:rsidR="001D5CD0" w:rsidRPr="007F52FA" w:rsidTr="006C3EE0">
        <w:trPr>
          <w:trHeight w:val="499"/>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5</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42,148.00</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6</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7</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8</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9</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6,616,043.90</w:t>
            </w:r>
          </w:p>
        </w:tc>
      </w:tr>
    </w:tbl>
    <w:p w:rsidP="007C14DF" w:rsidR="001D5CD0" w:rsidRDefault="001D5CD0" w:rsidRPr="007F52FA">
      <w:pPr>
        <w:autoSpaceDE w:val="0"/>
        <w:autoSpaceDN w:val="0"/>
        <w:adjustRightInd w:val="0"/>
        <w:spacing w:before="29" w:line="288" w:lineRule="auto"/>
        <w:jc w:val="left"/>
        <w:rPr>
          <w:sz w:val="24"/>
        </w:rPr>
      </w:pPr>
    </w:p>
    <w:p w:rsidP="007C14DF" w:rsidR="001D5CD0" w:rsidRDefault="001D5CD0" w:rsidRPr="00143E9C">
      <w:pPr>
        <w:autoSpaceDE w:val="0"/>
        <w:autoSpaceDN w:val="0"/>
        <w:adjustRightInd w:val="0"/>
        <w:spacing w:before="29" w:line="288" w:lineRule="auto"/>
        <w:jc w:val="left"/>
        <w:rPr>
          <w:b/>
          <w:kern w:val="0"/>
          <w:sz w:val="24"/>
        </w:rPr>
      </w:pPr>
      <w:r w:rsidRPr="00143E9C">
        <w:rPr>
          <w:b/>
          <w:kern w:val="0"/>
          <w:sz w:val="24"/>
        </w:rPr>
        <w:t>5.11.4</w:t>
      </w:r>
      <w:r w:rsidRPr="00143E9C">
        <w:rPr>
          <w:b/>
          <w:kern w:val="0"/>
          <w:sz w:val="24"/>
        </w:rPr>
        <w:t>期末持有的处于转股期的可转换债券明细</w:t>
      </w:r>
    </w:p>
    <w:p w:rsidP="007C14DF" w:rsidR="001D5CD0" w:rsidRDefault="001D5CD0" w:rsidRPr="007F52FA">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本基金本报告期末未持有处于转股期的可转换债券。</w:t>
      </w:r>
    </w:p>
    <w:p w:rsidP="007C14DF" w:rsidR="001D5CD0" w:rsidRDefault="001D5CD0" w:rsidRPr="00143E9C">
      <w:pPr>
        <w:autoSpaceDE w:val="0"/>
        <w:autoSpaceDN w:val="0"/>
        <w:adjustRightInd w:val="0"/>
        <w:spacing w:before="29" w:line="288" w:lineRule="auto"/>
        <w:jc w:val="left"/>
        <w:rPr>
          <w:rFonts w:eastAsiaTheme="minorEastAsia"/>
          <w:b/>
          <w:bCs/>
          <w:sz w:val="24"/>
        </w:rPr>
      </w:pPr>
      <w:r w:rsidRPr="00143E9C">
        <w:rPr>
          <w:rFonts w:eastAsiaTheme="minorEastAsia"/>
          <w:b/>
          <w:kern w:val="0"/>
          <w:sz w:val="24"/>
        </w:rPr>
        <w:t>5.11.5</w:t>
      </w:r>
      <w:r w:rsidRPr="00143E9C">
        <w:rPr>
          <w:rFonts w:eastAsiaTheme="minorEastAsia"/>
          <w:b/>
          <w:bCs/>
          <w:sz w:val="24"/>
        </w:rPr>
        <w:t>期末前十名股票中存在流通受限情况的说明</w:t>
      </w:r>
    </w:p>
    <w:p w:rsidP="007C14DF" w:rsidR="001D5CD0" w:rsidRDefault="001D5CD0" w:rsidRPr="007F52FA">
      <w:pPr>
        <w:autoSpaceDE w:val="0"/>
        <w:autoSpaceDN w:val="0"/>
        <w:adjustRightInd w:val="0"/>
        <w:spacing w:before="29" w:line="288" w:lineRule="auto"/>
        <w:jc w:val="left"/>
        <w:rPr>
          <w:rFonts w:eastAsiaTheme="minorEastAsia"/>
          <w:sz w:val="24"/>
        </w:rPr>
      </w:pPr>
      <w:r w:rsidRPr="007F52FA">
        <w:rPr>
          <w:rFonts w:eastAsiaTheme="minorEastAsia"/>
          <w:sz w:val="24"/>
        </w:rPr>
        <w:lastRenderedPageBreak/>
        <w:t>本基金本报告期末未持有股票。</w:t>
      </w:r>
    </w:p>
    <w:p w:rsidP="007C14DF" w:rsidR="001D5CD0" w:rsidRDefault="001D5CD0" w:rsidRPr="00901A22">
      <w:pPr>
        <w:spacing w:before="29" w:line="288" w:lineRule="auto"/>
        <w:rPr>
          <w:rFonts w:eastAsiaTheme="minorEastAsia"/>
          <w:b/>
          <w:color w:val="000000"/>
          <w:kern w:val="0"/>
          <w:sz w:val="24"/>
        </w:rPr>
      </w:pPr>
      <w:r w:rsidRPr="00901A22">
        <w:rPr>
          <w:rFonts w:eastAsiaTheme="minorEastAsia"/>
          <w:b/>
          <w:color w:val="000000"/>
          <w:kern w:val="0"/>
          <w:sz w:val="24"/>
        </w:rPr>
        <w:t/>
      </w:r>
      <w:r w:rsidRPr="00901A22">
        <w:rPr>
          <w:rFonts w:eastAsiaTheme="minorEastAsia"/>
          <w:b/>
          <w:kern w:val="0"/>
          <w:sz w:val="24"/>
        </w:rPr>
        <w:t>5.11.6</w:t>
      </w:r>
      <w:r w:rsidRPr="00901A22">
        <w:rPr>
          <w:rFonts w:eastAsiaTheme="minorEastAsia"/>
          <w:b/>
          <w:color w:val="000000"/>
          <w:kern w:val="0"/>
          <w:sz w:val="24"/>
        </w:rPr>
        <w:t>投资组合报告附注的其他文字描述部分</w:t>
      </w:r>
    </w:p>
    <w:p w:rsidP="00A0678E" w:rsidR="001D5CD0" w:rsidRDefault="001D5CD0" w:rsidRPr="007F52FA">
      <w:pPr>
        <w:spacing w:before="29" w:line="288" w:lineRule="auto"/>
        <w:rPr>
          <w:rFonts w:eastAsiaTheme="minorEastAsia"/>
          <w:color w:val="000000"/>
          <w:sz w:val="24"/>
        </w:rPr>
      </w:pPr>
      <w:r w:rsidRPr="007F52FA">
        <w:rPr>
          <w:rFonts w:eastAsiaTheme="minorEastAsia"/>
          <w:color w:val="000000"/>
          <w:sz w:val="24"/>
        </w:rPr>
        <w:t>由于四舍五入的原因，分项之和与合计项之间可能存在尾差。</w:t>
      </w:r>
    </w:p>
    <w:p w:rsidP="007C14DF" w:rsidR="00EB27DE" w:rsidRDefault="00EB27DE" w:rsidRPr="007F52FA">
      <w:pPr>
        <w:spacing w:before="29" w:line="288" w:lineRule="auto"/>
        <w:rPr>
          <w:rFonts w:eastAsiaTheme="minorEastAsia"/>
          <w:color w:val="000000"/>
          <w:sz w:val="24"/>
        </w:rPr>
      </w:pPr>
    </w:p>
    <w:p w:rsidP="000A2988" w:rsidR="009238DB" w:rsidRDefault="00C51B4E" w:rsidRPr="007F52FA">
      <w:pPr>
        <w:pStyle w:val="1"/>
        <w:spacing w:after="312" w:afterLines="100" w:before="312" w:beforeLines="100" w:line="288" w:lineRule="auto"/>
        <w:jc w:val="center"/>
        <w:rPr>
          <w:rFonts w:eastAsiaTheme="minorEastAsia"/>
          <w:color w:val="000000"/>
          <w:kern w:val="0"/>
          <w:sz w:val="24"/>
          <w:szCs w:val="24"/>
        </w:rPr>
      </w:pPr>
      <w:r w:rsidRPr="00C51B4E">
        <w:rPr>
          <w:rFonts w:eastAsiaTheme="minorEastAsia"/>
          <w:color w:themeColor="text1" w:val="000000"/>
          <w:kern w:val="0"/>
          <w:sz w:val="21"/>
          <w:szCs w:val="21"/>
        </w:rPr>
        <w:t>§6</w:t>
      </w:r>
      <w:r w:rsidRPr="00C51B4E">
        <w:rPr>
          <w:rFonts w:eastAsiaTheme="minorEastAsia" w:hint="eastAsia"/>
          <w:color w:themeColor="text1" w:val="000000"/>
          <w:kern w:val="0"/>
          <w:sz w:val="21"/>
          <w:szCs w:val="21"/>
        </w:rPr>
        <w:t xml:space="preserve"> </w:t>
      </w:r>
      <w:r w:rsidR="009238DB" w:rsidRPr="007F52FA">
        <w:rPr>
          <w:rFonts w:eastAsiaTheme="minorEastAsia"/>
          <w:color w:val="000000"/>
          <w:kern w:val="0"/>
          <w:sz w:val="24"/>
          <w:szCs w:val="24"/>
        </w:rPr>
        <w:t xml:space="preserve"> </w:t>
      </w:r>
      <w:r w:rsidR="009238DB" w:rsidRPr="007F52FA">
        <w:rPr>
          <w:rFonts w:eastAsiaTheme="minorEastAsia"/>
          <w:color w:val="000000"/>
          <w:kern w:val="0"/>
          <w:sz w:val="24"/>
          <w:szCs w:val="24"/>
        </w:rPr>
        <w:t>开放式基金份额变动</w:t>
      </w:r>
    </w:p>
    <w:p w:rsidP="007C14DF" w:rsidR="009238DB" w:rsidRDefault="009238DB" w:rsidRPr="007F52FA">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type="dxa" w:w="8868"/>
        <w:jc w:val="center"/>
        <w:tblLayout w:type="fixed"/>
        <w:tblLook w:firstColumn="0" w:firstRow="0" w:lastColumn="0" w:lastRow="0" w:noHBand="0" w:noVBand="0" w:val="0000"/>
      </w:tblPr>
      <w:tblGrid>
        <w:gridCol w:w="4006"/>
        <w:gridCol w:w="2431"/>
        <w:gridCol w:w="2431"/>
      </w:tblGrid>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type="dxa" w:w="2367"/>
            <w:tcBorders>
              <w:top w:color="000000" w:space="0" w:sz="8" w:val="single"/>
              <w:left w:color="000000" w:space="0" w:sz="8" w:val="single"/>
              <w:bottom w:color="000000" w:space="0" w:sz="8" w:val="single"/>
              <w:right w:color="000000" w:space="0" w:sz="8" w:val="single"/>
            </w:tcBorders>
            <w:vAlign w:val="center"/>
          </w:tcPr>
          <w:p w:rsidP="00690865" w:rsidR="00936D40" w:rsidRDefault="00936D40" w:rsidRPr="007F52FA">
            <w:pPr>
              <w:autoSpaceDE w:val="0"/>
              <w:autoSpaceDN w:val="0"/>
              <w:adjustRightInd w:val="0"/>
              <w:spacing w:before="29" w:line="288" w:lineRule="auto"/>
              <w:ind w:left="17"/>
              <w:jc w:val="left"/>
              <w:rPr>
                <w:rFonts w:eastAsiaTheme="minorEastAsia"/>
                <w:color w:val="000000"/>
                <w:sz w:val="24"/>
              </w:rPr>
            </w:pPr>
            <w:r w:rsidRPr="007F52FA">
              <w:rPr>
                <w:rFonts w:eastAsiaTheme="minorEastAsia"/>
                <w:color w:val="000000"/>
                <w:kern w:val="0"/>
                <w:sz w:val="24"/>
              </w:rPr>
              <w:t/>
            </w:r>
            <w:r w:rsidRPr="007F52FA">
              <w:rPr>
                <w:rFonts w:eastAsiaTheme="minorEastAsia"/>
                <w:sz w:val="24"/>
              </w:rPr>
              <w:t/>
            </w:r>
            <w:r w:rsidR="0042785F" w:rsidRPr="007F52FA">
              <w:rPr>
                <w:rFonts w:eastAsiaTheme="minorEastAsia"/>
                <w:sz w:val="24"/>
              </w:rPr>
              <w:t>交银稳利中短债债券A</w:t>
            </w:r>
          </w:p>
        </w:tc>
        <w:tc>
          <w:tcPr>
            <w:tcW w:type="dxa" w:w="2367"/>
            <w:tcBorders>
              <w:top w:color="000000" w:space="0" w:sz="8" w:val="single"/>
              <w:left w:color="000000" w:space="0" w:sz="8" w:val="single"/>
              <w:bottom w:color="000000" w:space="0" w:sz="8" w:val="single"/>
              <w:right w:color="000000" w:space="0" w:sz="8" w:val="single"/>
            </w:tcBorders>
            <w:vAlign w:val="center"/>
          </w:tcPr>
          <w:p w:rsidP="00690865" w:rsidR="00936D40" w:rsidRDefault="00936D40" w:rsidRPr="007F52FA">
            <w:pPr>
              <w:autoSpaceDE w:val="0"/>
              <w:autoSpaceDN w:val="0"/>
              <w:adjustRightInd w:val="0"/>
              <w:spacing w:before="29" w:line="288" w:lineRule="auto"/>
              <w:ind w:left="17"/>
              <w:jc w:val="left"/>
              <w:rPr>
                <w:rFonts w:eastAsiaTheme="minorEastAsia"/>
                <w:color w:val="000000"/>
                <w:sz w:val="24"/>
              </w:rPr>
            </w:pPr>
            <w:r w:rsidRPr="007F52FA">
              <w:rPr>
                <w:rFonts w:eastAsiaTheme="minorEastAsia"/>
                <w:color w:val="000000"/>
                <w:kern w:val="0"/>
                <w:sz w:val="24"/>
              </w:rPr>
              <w:t/>
            </w:r>
            <w:r w:rsidRPr="007F52FA">
              <w:rPr>
                <w:rFonts w:eastAsiaTheme="minorEastAsia"/>
                <w:sz w:val="24"/>
              </w:rPr>
              <w:t/>
            </w:r>
            <w:r w:rsidR="004D614E" w:rsidRPr="007F52FA">
              <w:rPr>
                <w:rFonts w:eastAsiaTheme="minorEastAsia"/>
                <w:sz w:val="24"/>
              </w:rPr>
              <w:t/>
            </w:r>
            <w:r w:rsidR="0042785F" w:rsidRPr="007F52FA">
              <w:rPr>
                <w:rFonts w:eastAsiaTheme="minorEastAsia"/>
                <w:sz w:val="24"/>
              </w:rPr>
              <w:t>交银稳利中短债债券C</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B011B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936D40" w:rsidRPr="007F52FA">
              <w:rPr>
                <w:rFonts w:eastAsiaTheme="minorEastAsia"/>
                <w:color w:val="000000"/>
                <w:sz w:val="24"/>
              </w:rPr>
              <w:t/>
            </w:r>
            <w:r w:rsidR="0042785F" w:rsidRPr="007F52FA">
              <w:rPr>
                <w:rFonts w:eastAsiaTheme="minorEastAsia"/>
                <w:color w:val="000000"/>
                <w:sz w:val="24"/>
              </w:rPr>
              <w:t>293,013,648.73</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B011B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936D40" w:rsidRPr="007F52FA">
              <w:rPr>
                <w:rFonts w:eastAsiaTheme="minorEastAsia"/>
                <w:color w:val="000000"/>
                <w:sz w:val="24"/>
              </w:rPr>
              <w:t/>
            </w:r>
            <w:r w:rsidR="00EA1D33" w:rsidRPr="007F52FA">
              <w:rPr>
                <w:rFonts w:eastAsiaTheme="minorEastAsia"/>
                <w:color w:val="000000"/>
                <w:sz w:val="24"/>
              </w:rPr>
              <w:t/>
            </w:r>
            <w:r w:rsidR="0042785F" w:rsidRPr="007F52FA">
              <w:rPr>
                <w:rFonts w:eastAsiaTheme="minorEastAsia"/>
                <w:color w:val="000000"/>
                <w:sz w:val="24"/>
              </w:rPr>
              <w:t>105,060,614.94</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F72579"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146,977,595.88</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D614E" w:rsidRPr="007F52FA">
              <w:rPr>
                <w:rFonts w:eastAsiaTheme="minorEastAsia"/>
                <w:color w:val="000000"/>
                <w:sz w:val="24"/>
              </w:rPr>
              <w:t/>
            </w:r>
            <w:r w:rsidR="0042785F" w:rsidRPr="007F52FA">
              <w:rPr>
                <w:rFonts w:eastAsiaTheme="minorEastAsia"/>
                <w:color w:val="000000"/>
                <w:sz w:val="24"/>
              </w:rPr>
              <w:t>1,336,725.43</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166,883,931.04</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D614E" w:rsidRPr="007F52FA">
              <w:rPr>
                <w:rFonts w:eastAsiaTheme="minorEastAsia"/>
                <w:color w:val="000000"/>
                <w:sz w:val="24"/>
              </w:rPr>
              <w:t/>
            </w:r>
            <w:r w:rsidR="0042785F" w:rsidRPr="007F52FA">
              <w:rPr>
                <w:rFonts w:eastAsiaTheme="minorEastAsia"/>
                <w:color w:val="000000"/>
                <w:sz w:val="24"/>
              </w:rPr>
              <w:t>54,445,773.94</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896AC6" w:rsidR="00936D40" w:rsidRDefault="00F72579"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D614E" w:rsidRPr="007F52FA">
              <w:rPr>
                <w:rFonts w:eastAsiaTheme="minorEastAsia"/>
                <w:color w:val="000000"/>
                <w:sz w:val="24"/>
              </w:rPr>
              <w:t/>
            </w:r>
            <w:r w:rsidR="0042785F" w:rsidRPr="007F52FA">
              <w:rPr>
                <w:rFonts w:eastAsiaTheme="minorEastAsia"/>
                <w:color w:val="000000"/>
                <w:sz w:val="24"/>
              </w:rPr>
              <w:t>-</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
            </w:r>
            <w:r w:rsidR="0042785F" w:rsidRPr="007F52FA">
              <w:rPr>
                <w:rFonts w:eastAsiaTheme="minorEastAsia"/>
                <w:color w:val="000000"/>
                <w:sz w:val="24"/>
              </w:rPr>
              <w:lastRenderedPageBreak/>
              <w:t>273,107,313.57</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lastRenderedPageBreak/>
              <w:t/>
            </w:r>
            <w:r w:rsidR="004D614E" w:rsidRPr="007F52FA">
              <w:rPr>
                <w:rFonts w:eastAsiaTheme="minorEastAsia"/>
                <w:color w:val="000000"/>
                <w:sz w:val="24"/>
              </w:rPr>
              <w:t/>
            </w:r>
            <w:r w:rsidR="004D614E" w:rsidRPr="007F52FA">
              <w:rPr>
                <w:rFonts w:eastAsiaTheme="minorEastAsia"/>
                <w:color w:val="000000"/>
                <w:sz w:val="24"/>
              </w:rPr>
              <w:lastRenderedPageBreak/>
              <w:t/>
            </w:r>
            <w:r w:rsidR="0042785F" w:rsidRPr="007F52FA">
              <w:rPr>
                <w:rFonts w:eastAsiaTheme="minorEastAsia"/>
                <w:color w:val="000000"/>
                <w:sz w:val="24"/>
              </w:rPr>
              <w:t>51,951,566.43</w:t>
            </w:r>
          </w:p>
        </w:tc>
      </w:tr>
    </w:tbl>
    <w:p>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注：1、如果本报告期间发生转换入、红利再投业务，则总申购份额中包含该业务；</w:t>
      </w:r>
    </w:p>
    <w:p w:rsidP="007C14DF" w:rsidR="00FB3C94" w:rsidRDefault="00FB3C94" w:rsidRPr="007F52FA">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lastRenderedPageBreak/>
        <w:t>2、如果本报告期间发生转换出业务，则总赎回份额中包含该业务。</w:t>
      </w:r>
    </w:p>
    <w:p w:rsidP="007C14DF" w:rsidR="00426568" w:rsidRDefault="00426568">
      <w:pPr>
        <w:autoSpaceDE w:val="0"/>
        <w:autoSpaceDN w:val="0"/>
        <w:adjustRightInd w:val="0"/>
        <w:spacing w:before="29" w:line="288" w:lineRule="auto"/>
        <w:jc w:val="left"/>
        <w:rPr>
          <w:rFonts w:eastAsiaTheme="minorEastAsia"/>
          <w:color w:val="000000"/>
          <w:sz w:val="24"/>
        </w:rPr>
      </w:pPr>
    </w:p>
    <w:p w:rsidP="000A2988" w:rsidR="000673DA" w:rsidRDefault="00C51B4E" w:rsidRPr="000673DA">
      <w:pPr>
        <w:pStyle w:val="1"/>
        <w:tabs>
          <w:tab w:pos="4156" w:val="center"/>
          <w:tab w:pos="8312" w:val="right"/>
        </w:tabs>
        <w:spacing w:after="312" w:afterLines="100" w:before="312" w:beforeLines="100" w:line="288" w:lineRule="auto"/>
        <w:jc w:val="center"/>
        <w:rPr>
          <w:sz w:val="24"/>
          <w:szCs w:val="24"/>
        </w:rPr>
      </w:pPr>
      <w:r>
        <w:rPr>
          <w:color w:val="000000"/>
          <w:kern w:val="0"/>
          <w:sz w:val="24"/>
          <w:szCs w:val="24"/>
        </w:rPr>
        <w:t>§</w:t>
      </w:r>
      <w:r>
        <w:rPr>
          <w:rFonts w:hint="eastAsia"/>
          <w:color w:val="000000"/>
          <w:kern w:val="0"/>
          <w:sz w:val="24"/>
          <w:szCs w:val="24"/>
        </w:rPr>
        <w:t/>
      </w:r>
      <w:r w:rsidR="000673DA" w:rsidRPr="000673DA">
        <w:rPr>
          <w:color w:val="000000"/>
          <w:kern w:val="0"/>
          <w:sz w:val="24"/>
          <w:szCs w:val="24"/>
        </w:rPr>
        <w:t xml:space="preserve">7  </w:t>
      </w:r>
      <w:r w:rsidR="000673DA" w:rsidRPr="000673DA">
        <w:rPr>
          <w:rFonts w:hAnsi="宋体"/>
          <w:sz w:val="24"/>
          <w:szCs w:val="24"/>
        </w:rPr>
        <w:t>基金管理人运用固有资金投资本基金情况</w:t>
      </w:r>
    </w:p>
    <w:p w:rsidP="007C14DF" w:rsidR="000673DA" w:rsidRDefault="000673DA" w:rsidRPr="000673DA">
      <w:pPr>
        <w:spacing w:line="288" w:lineRule="auto"/>
        <w:jc w:val="left"/>
        <w:rPr>
          <w:sz w:val="24"/>
        </w:rPr>
      </w:pPr>
      <w:r w:rsidRPr="000673DA">
        <w:rPr>
          <w:b/>
          <w:sz w:val="24"/>
        </w:rPr>
        <w:t xml:space="preserve">7.1 </w:t>
      </w:r>
      <w:r w:rsidRPr="000673DA">
        <w:rPr>
          <w:rFonts w:hAnsi="宋体"/>
          <w:b/>
          <w:sz w:val="24"/>
        </w:rPr>
        <w:t>基金管理人持有本基金份额变动情况</w:t>
      </w:r>
    </w:p>
    <w:p w:rsidP="007C14DF" w:rsidR="008A3BCC" w:rsidRDefault="00AE55CC" w:rsidRPr="00AE55CC">
      <w:pPr>
        <w:autoSpaceDE w:val="0"/>
        <w:autoSpaceDN w:val="0"/>
        <w:adjustRightInd w:val="0"/>
        <w:spacing w:before="29" w:line="288" w:lineRule="auto"/>
        <w:jc w:val="left"/>
        <w:rPr>
          <w:color w:val="000000"/>
          <w:sz w:val="24"/>
        </w:rPr>
      </w:pPr>
      <w:r w:rsidRPr="00AE55CC">
        <w:rPr>
          <w:color w:val="000000"/>
          <w:sz w:val="24"/>
        </w:rPr>
        <w:t>本报告期内未发生基金管理人运用固有资金投资本基金的情况。</w:t>
      </w:r>
    </w:p>
    <w:p w:rsidP="007C14DF" w:rsidR="008A3BCC" w:rsidRDefault="008A3BCC">
      <w:pPr>
        <w:autoSpaceDE w:val="0"/>
        <w:autoSpaceDN w:val="0"/>
        <w:adjustRightInd w:val="0"/>
        <w:spacing w:before="29" w:line="288" w:lineRule="auto"/>
        <w:jc w:val="left"/>
        <w:rPr>
          <w:color w:val="000000"/>
          <w:sz w:val="24"/>
        </w:rPr>
      </w:pPr>
    </w:p>
    <w:p w:rsidP="00646AEE" w:rsidR="008A3BCC" w:rsidRDefault="000673DA" w:rsidRPr="008A3BCC">
      <w:pPr>
        <w:autoSpaceDE w:val="0"/>
        <w:autoSpaceDN w:val="0"/>
        <w:adjustRightInd w:val="0"/>
        <w:spacing w:before="29" w:line="288" w:lineRule="auto"/>
        <w:jc w:val="left"/>
        <w:rPr>
          <w:b/>
          <w:color w:val="000000"/>
          <w:sz w:val="24"/>
        </w:rPr>
      </w:pPr>
      <w:r w:rsidRPr="008A3BCC">
        <w:rPr>
          <w:b/>
          <w:sz w:val="24"/>
        </w:rPr>
        <w:t/>
      </w:r>
      <w:r w:rsidRPr="008A3BCC">
        <w:rPr>
          <w:rFonts w:hint="eastAsia"/>
          <w:b/>
          <w:sz w:val="24"/>
        </w:rPr>
        <w:t>7</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p w:rsidP="007C14DF" w:rsidR="00285618" w:rsidRDefault="00285618" w:rsidRPr="007F52FA">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本基金管理人本报告期内未进行本基金的申购、赎回、红利再投等。</w:t>
      </w:r>
    </w:p>
    <w:p w:rsidP="007C14DF" w:rsidR="00F2646E" w:rsidRDefault="00F2646E" w:rsidRPr="007F52FA">
      <w:pPr>
        <w:autoSpaceDE w:val="0"/>
        <w:autoSpaceDN w:val="0"/>
        <w:adjustRightInd w:val="0"/>
        <w:spacing w:before="29" w:line="288" w:lineRule="auto"/>
        <w:jc w:val="left"/>
        <w:rPr>
          <w:rFonts w:eastAsiaTheme="minorEastAsia"/>
          <w:color w:val="000000"/>
          <w:sz w:val="24"/>
        </w:rPr>
      </w:pPr>
    </w:p>
    <w:p w:rsidP="000A2988" w:rsidR="00ED0E09" w:rsidRDefault="00ED0E09">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§8 </w:t>
      </w:r>
      <w:r w:rsidR="00F139D5">
        <w:rPr>
          <w:rFonts w:eastAsiaTheme="minorEastAsia"/>
          <w:color w:themeColor="text1" w:val="000000"/>
          <w:kern w:val="0"/>
          <w:sz w:val="21"/>
          <w:szCs w:val="21"/>
        </w:rPr>
        <w:t xml:space="preserve"> </w:t>
      </w:r>
      <w:r>
        <w:rPr>
          <w:rFonts w:eastAsiaTheme="minorEastAsia" w:hint="eastAsia"/>
          <w:color w:themeColor="text1" w:val="000000"/>
          <w:kern w:val="0"/>
          <w:sz w:val="21"/>
          <w:szCs w:val="21"/>
        </w:rPr>
        <w:t>影响投资者决策的其他重要信息</w:t>
      </w:r>
    </w:p>
    <w:p w:rsidP="00ED0E09" w:rsidR="00ED0E09" w:rsidRDefault="00ED0E09">
      <w:pPr>
        <w:autoSpaceDE w:val="0"/>
        <w:autoSpaceDN w:val="0"/>
        <w:adjustRightInd w:val="0"/>
        <w:spacing w:line="360" w:lineRule="auto"/>
        <w:jc w:val="left"/>
        <w:rPr>
          <w:rFonts w:ascii="宋体" w:hAnsi="宋体"/>
          <w:b/>
          <w:bCs/>
          <w:color w:val="000000"/>
          <w:kern w:val="0"/>
          <w:szCs w:val="21"/>
        </w:rPr>
      </w:pPr>
      <w:r>
        <w:rPr>
          <w:rFonts w:ascii="宋体" w:hAnsi="宋体" w:hint="eastAsia"/>
          <w:b/>
          <w:color w:val="000000"/>
          <w:kern w:val="0"/>
          <w:szCs w:val="21"/>
        </w:rPr>
        <w:t/>
      </w:r>
      <w:r>
        <w:rPr>
          <w:rFonts w:ascii="宋体" w:hAnsi="宋体" w:hint="eastAsia"/>
          <w:b/>
          <w:bCs/>
          <w:color w:val="000000"/>
          <w:kern w:val="0"/>
          <w:szCs w:val="21"/>
        </w:rPr>
        <w:t>8.1 报告期内单一投资者持有基金份额比例达到或超过20%的情况</w:t>
      </w:r>
    </w:p>
    <w:tbl>
      <w:tblPr>
        <w:tblW w:type="dxa" w:w="9210"/>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92"/>
        <w:gridCol w:w="991"/>
        <w:gridCol w:w="1843"/>
        <w:gridCol w:w="851"/>
        <w:gridCol w:w="850"/>
        <w:gridCol w:w="1134"/>
        <w:gridCol w:w="1419"/>
        <w:gridCol w:w="1130"/>
      </w:tblGrid>
      <w:tr w:rsidR="00ED0E09" w:rsidTr="00ED0E09">
        <w:tc>
          <w:tcPr>
            <w:tcW w:type="dxa" w:w="993"/>
            <w:vMerge w:val="restart"/>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 xml:space="preserve">投资者类别  </w:t>
            </w:r>
          </w:p>
        </w:tc>
        <w:tc>
          <w:tcPr>
            <w:tcW w:type="dxa" w:w="5670"/>
            <w:gridSpan w:val="5"/>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type="dxa" w:w="2549"/>
            <w:gridSpan w:val="2"/>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ED0E09" w:rsidTr="00ED0E09">
        <w:tc>
          <w:tcPr>
            <w:tcW w:type="dxa" w:w="993"/>
            <w:vMerge/>
            <w:tcBorders>
              <w:top w:color="auto" w:space="0" w:sz="4" w:val="single"/>
              <w:left w:color="auto" w:space="0" w:sz="4" w:val="single"/>
              <w:bottom w:color="auto" w:space="0" w:sz="4" w:val="single"/>
              <w:right w:color="auto" w:space="0" w:sz="4" w:val="single"/>
            </w:tcBorders>
            <w:vAlign w:val="center"/>
            <w:hideMark/>
          </w:tcPr>
          <w:p w:rsidR="00ED0E09" w:rsidRDefault="00ED0E09">
            <w:pPr>
              <w:widowControl/>
              <w:jc w:val="left"/>
              <w:rPr>
                <w:rFonts w:ascii="宋体" w:hAnsi="宋体"/>
                <w:b/>
                <w:bCs/>
                <w:color w:val="000000"/>
                <w:kern w:val="0"/>
                <w:szCs w:val="21"/>
              </w:rPr>
            </w:pPr>
          </w:p>
        </w:tc>
        <w:tc>
          <w:tcPr>
            <w:tcW w:type="dxa" w:w="992"/>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type="dxa" w:w="1843"/>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type="dxa" w:w="851"/>
            <w:tcBorders>
              <w:top w:color="auto" w:space="0" w:sz="4" w:val="single"/>
              <w:left w:color="auto" w:space="0" w:sz="4" w:val="single"/>
              <w:bottom w:color="auto" w:space="0" w:sz="4" w:val="single"/>
              <w:right w:color="auto" w:space="0" w:sz="4" w:val="single"/>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type="dxa" w:w="850"/>
            <w:tcBorders>
              <w:top w:color="auto" w:space="0" w:sz="4" w:val="single"/>
              <w:left w:color="auto" w:space="0" w:sz="4" w:val="single"/>
              <w:bottom w:color="auto" w:space="0" w:sz="4" w:val="single"/>
              <w:right w:color="auto" w:space="0" w:sz="4" w:val="single"/>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type="dxa" w:w="1134"/>
            <w:tcBorders>
              <w:top w:color="auto" w:space="0" w:sz="4" w:val="single"/>
              <w:left w:color="auto" w:space="0" w:sz="4" w:val="single"/>
              <w:bottom w:color="auto" w:space="0" w:sz="4" w:val="single"/>
              <w:right w:color="auto" w:space="0" w:sz="4" w:val="single"/>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type="dxa" w:w="1419"/>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type="dxa" w:w="1130"/>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tc>
          <w:tcPr>
            <w:vMerge w:val="restart"/>
          </w:tcPr>
          <w:p/>
          <w:p>
            <w:r>
              <w:rPr>
                <w:rFonts w:ascii="宋体" w:hAnsi="宋体" w:hint="eastAsia"/>
                <w:bCs/>
                <w:color w:val="000000"/>
                <w:kern w:val="0"/>
                <w:szCs w:val="21"/>
              </w:rPr>
              <w:t>机构</w:t>
            </w:r>
          </w:p>
        </w:tc>
        <w:tc>
          <w:tcPr>
            <w:vAlign w:val="center"/>
          </w:tcPr>
          <w:p>
            <w:pPr>
              <w:jc w:val="center"/>
            </w:pPr>
            <w:r>
              <w:rPr>
                <w:rFonts w:ascii="宋体" w:hAnsi="宋体" w:hint="eastAsia"/>
                <w:color w:val="000000"/>
                <w:kern w:val="0"/>
                <w:szCs w:val="21"/>
              </w:rPr>
              <w:t>1</w:t>
            </w:r>
          </w:p>
        </w:tc>
        <w:tc>
          <w:tcPr>
            <w:vAlign w:val="center"/>
          </w:tcPr>
          <w:p>
            <w:pPr>
              <w:jc w:val="center"/>
            </w:pPr>
            <w:r>
              <w:rPr>
                <w:rFonts w:ascii="宋体" w:hAnsi="宋体" w:hint="eastAsia"/>
                <w:color w:val="000000"/>
                <w:kern w:val="0"/>
                <w:szCs w:val="21"/>
              </w:rPr>
              <w:t>2020/4/1-2020/6/30</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48,760,483.71</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48,760,483.71</w:t>
            </w:r>
          </w:p>
        </w:tc>
        <w:tc>
          <w:tcPr>
            <w:vAlign w:val="center"/>
          </w:tcPr>
          <w:p>
            <w:pPr>
              <w:jc w:val="center"/>
            </w:pPr>
            <w:r>
              <w:rPr>
                <w:rFonts w:ascii="宋体" w:hAnsi="宋体" w:hint="eastAsia"/>
                <w:color w:val="000000"/>
                <w:kern w:val="0"/>
                <w:szCs w:val="21"/>
              </w:rPr>
              <w:t>15.00%</w:t>
            </w:r>
          </w:p>
        </w:tc>
      </w:tr>
      <w:tr>
        <w:tc>
          <w:tcPr>
            <w:vMerge/>
          </w:tcPr>
          <w:p/>
        </w:tc>
        <w:tc>
          <w:tcPr>
            <w:vAlign w:val="center"/>
          </w:tcPr>
          <w:p>
            <w:pPr>
              <w:jc w:val="center"/>
            </w:pPr>
            <w:r>
              <w:rPr>
                <w:rFonts w:ascii="宋体" w:hAnsi="宋体" w:hint="eastAsia"/>
                <w:color w:val="000000"/>
                <w:kern w:val="0"/>
                <w:szCs w:val="21"/>
              </w:rPr>
              <w:t>2</w:t>
            </w:r>
          </w:p>
        </w:tc>
        <w:tc>
          <w:tcPr>
            <w:vAlign w:val="center"/>
          </w:tcPr>
          <w:p>
            <w:pPr>
              <w:jc w:val="center"/>
            </w:pPr>
            <w:r>
              <w:rPr>
                <w:rFonts w:ascii="宋体" w:hAnsi="宋体" w:hint="eastAsia"/>
                <w:color w:val="000000"/>
                <w:kern w:val="0"/>
                <w:szCs w:val="21"/>
              </w:rPr>
              <w:t>2020/4/1-2020/6/30</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97,760,289.37</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97,760,289.37</w:t>
            </w:r>
          </w:p>
        </w:tc>
        <w:tc>
          <w:tcPr>
            <w:vAlign w:val="center"/>
          </w:tcPr>
          <w:p>
            <w:pPr>
              <w:jc w:val="center"/>
            </w:pPr>
            <w:r>
              <w:rPr>
                <w:rFonts w:ascii="宋体" w:hAnsi="宋体" w:hint="eastAsia"/>
                <w:color w:val="000000"/>
                <w:kern w:val="0"/>
                <w:szCs w:val="21"/>
              </w:rPr>
              <w:t>30.07%</w:t>
            </w:r>
          </w:p>
        </w:tc>
      </w:tr>
    </w:tbl>
    <w:tbl>
      <w:tblPr>
        <w:tblW w:type="dxa" w:w="9210"/>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210"/>
      </w:tblGrid>
      <w:tr w:rsidR="00ED0E09" w:rsidTr="00ED0E09">
        <w:tc>
          <w:tcPr>
            <w:tcW w:type="dxa" w:w="9212"/>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r>
              <w:rPr>
                <w:rFonts w:ascii="宋体" w:hAnsi="宋体" w:hint="eastAsia"/>
                <w:kern w:val="0"/>
                <w:szCs w:val="21"/>
              </w:rPr>
              <w:t/>
            </w:r>
          </w:p>
        </w:tc>
      </w:tr>
      <w:tr w:rsidR="00ED0E09" w:rsidTr="00ED0E09">
        <w:tc>
          <w:tcPr>
            <w:tcW w:type="dxa" w:w="9212"/>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P="000A2988" w:rsidR="00175E3A" w:rsidRDefault="009238DB" w:rsidRPr="007032A6">
      <w:pPr>
        <w:pStyle w:val="1"/>
        <w:spacing w:after="312" w:afterLines="100" w:before="312" w:beforeLines="100"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
      </w:r>
      <w:r w:rsidR="00D13A01" w:rsidRPr="007F52FA">
        <w:rPr>
          <w:rFonts w:eastAsiaTheme="minorEastAsia"/>
          <w:color w:val="000000"/>
          <w:kern w:val="0"/>
          <w:sz w:val="24"/>
          <w:szCs w:val="24"/>
        </w:rPr>
        <w:t/>
      </w:r>
      <w:r w:rsidR="00A14399" w:rsidRPr="007F52FA">
        <w:rPr>
          <w:rFonts w:eastAsiaTheme="minorEastAsia"/>
          <w:color w:val="000000"/>
          <w:kern w:val="0"/>
          <w:sz w:val="24"/>
          <w:szCs w:val="24"/>
        </w:rPr>
        <w:t>9</w:t>
      </w:r>
      <w:r w:rsidR="00F30496">
        <w:rPr>
          <w:rFonts w:eastAsiaTheme="minorEastAsia"/>
          <w:color w:val="000000"/>
          <w:kern w:val="0"/>
          <w:sz w:val="24"/>
          <w:szCs w:val="24"/>
        </w:rPr>
        <w:t xml:space="preserve">  </w:t>
      </w:r>
      <w:r w:rsidRPr="007F52FA">
        <w:rPr>
          <w:rFonts w:eastAsiaTheme="minorEastAsia"/>
          <w:color w:val="000000"/>
          <w:kern w:val="0"/>
          <w:sz w:val="24"/>
          <w:szCs w:val="24"/>
        </w:rPr>
        <w:t>备查文件目录</w:t>
      </w:r>
    </w:p>
    <w:p w:rsidP="007C14DF" w:rsidR="00FB3C94" w:rsidRDefault="00A14399" w:rsidRPr="007F52FA">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
      </w:r>
      <w:r w:rsidR="00D13A01" w:rsidRPr="007F52FA">
        <w:rPr>
          <w:rFonts w:eastAsiaTheme="minorEastAsia"/>
          <w:b/>
          <w:bCs/>
          <w:color w:val="000000"/>
          <w:kern w:val="0"/>
          <w:sz w:val="24"/>
        </w:rPr>
        <w:t/>
      </w:r>
      <w:r w:rsidRPr="007F52FA">
        <w:rPr>
          <w:rFonts w:eastAsiaTheme="minorEastAsia"/>
          <w:b/>
          <w:bCs/>
          <w:color w:val="000000"/>
          <w:kern w:val="0"/>
          <w:sz w:val="24"/>
        </w:rPr>
        <w:t>9.</w:t>
      </w:r>
      <w:r w:rsidR="00D13A01" w:rsidRPr="007F52FA">
        <w:rPr>
          <w:rFonts w:eastAsiaTheme="minorEastAsia"/>
          <w:b/>
          <w:bCs/>
          <w:color w:val="000000"/>
          <w:kern w:val="0"/>
          <w:sz w:val="24"/>
        </w:rPr>
        <w:t>1</w:t>
      </w:r>
      <w:r w:rsidR="00FB3C94" w:rsidRPr="007F52FA">
        <w:rPr>
          <w:rFonts w:eastAsiaTheme="minorEastAsia"/>
          <w:b/>
          <w:bCs/>
          <w:color w:val="000000"/>
          <w:kern w:val="0"/>
          <w:sz w:val="24"/>
        </w:rPr>
        <w:t>备查文件目录</w:t>
      </w:r>
    </w:p>
    <w:p>
      <w:pPr>
        <w:spacing w:before="29" w:line="288" w:lineRule="auto"/>
        <w:ind w:firstLine="480" w:firstLineChars="200"/>
        <w:rPr>
          <w:rFonts w:eastAsiaTheme="minorEastAsia"/>
          <w:color w:val="000000"/>
          <w:sz w:val="24"/>
        </w:rPr>
      </w:pPr>
      <w:r>
        <w:rPr>
          <w:rFonts w:eastAsiaTheme="minorEastAsia"/>
          <w:color w:val="000000"/>
          <w:sz w:val="24"/>
        </w:rPr>
        <w:t xml:space="preserve">1、中国证监会准予交银施罗德稳利中短债债券型证券投资基金募集注册的文件； </w:t>
      </w:r>
    </w:p>
    <w:p>
      <w:pPr>
        <w:spacing w:before="29" w:line="288" w:lineRule="auto"/>
        <w:ind w:firstLine="480" w:firstLineChars="200"/>
        <w:rPr>
          <w:rFonts w:eastAsiaTheme="minorEastAsia"/>
          <w:color w:val="000000"/>
          <w:sz w:val="24"/>
        </w:rPr>
      </w:pPr>
      <w:r>
        <w:rPr>
          <w:rFonts w:eastAsiaTheme="minorEastAsia"/>
          <w:color w:val="000000"/>
          <w:sz w:val="24"/>
        </w:rPr>
        <w:t xml:space="preserve">2、《交银施罗德稳利中短债债券型证券投资基金基金合同》； </w:t>
      </w:r>
    </w:p>
    <w:p>
      <w:pPr>
        <w:spacing w:before="29" w:line="288" w:lineRule="auto"/>
        <w:ind w:firstLine="480" w:firstLineChars="200"/>
        <w:rPr>
          <w:rFonts w:eastAsiaTheme="minorEastAsia"/>
          <w:color w:val="000000"/>
          <w:sz w:val="24"/>
        </w:rPr>
      </w:pPr>
      <w:r>
        <w:rPr>
          <w:rFonts w:eastAsiaTheme="minorEastAsia"/>
          <w:color w:val="000000"/>
          <w:sz w:val="24"/>
        </w:rPr>
        <w:t xml:space="preserve">3、《交银施罗德稳利中短债债券型证券投资基金招募说明书》； </w:t>
      </w:r>
    </w:p>
    <w:p>
      <w:pPr>
        <w:spacing w:before="29" w:line="288" w:lineRule="auto"/>
        <w:ind w:firstLine="480" w:firstLineChars="200"/>
        <w:rPr>
          <w:rFonts w:eastAsiaTheme="minorEastAsia"/>
          <w:color w:val="000000"/>
          <w:sz w:val="24"/>
        </w:rPr>
      </w:pPr>
      <w:r>
        <w:rPr>
          <w:rFonts w:eastAsiaTheme="minorEastAsia"/>
          <w:color w:val="000000"/>
          <w:sz w:val="24"/>
        </w:rPr>
        <w:t xml:space="preserve">4、《交银施罗德稳利中短债债券型证券投资基金托管协议》； </w:t>
      </w:r>
    </w:p>
    <w:p>
      <w:pPr>
        <w:spacing w:before="29" w:line="288" w:lineRule="auto"/>
        <w:ind w:firstLine="480" w:firstLineChars="200"/>
        <w:rPr>
          <w:rFonts w:eastAsiaTheme="minorEastAsia"/>
          <w:color w:val="000000"/>
          <w:sz w:val="24"/>
        </w:rPr>
      </w:pPr>
      <w:r>
        <w:rPr>
          <w:rFonts w:eastAsiaTheme="minorEastAsia"/>
          <w:color w:val="000000"/>
          <w:sz w:val="24"/>
        </w:rPr>
        <w:t xml:space="preserve">5、关于申请募集注册交银施罗德稳利中短债债券型证券投资基金的法律意见书； </w:t>
      </w:r>
    </w:p>
    <w:p>
      <w:pPr>
        <w:spacing w:before="29" w:line="288" w:lineRule="auto"/>
        <w:ind w:firstLine="480" w:firstLineChars="200"/>
        <w:rPr>
          <w:rFonts w:eastAsiaTheme="minorEastAsia"/>
          <w:color w:val="000000"/>
          <w:sz w:val="24"/>
        </w:rPr>
      </w:pPr>
      <w:r>
        <w:rPr>
          <w:rFonts w:eastAsiaTheme="minorEastAsia"/>
          <w:color w:val="000000"/>
          <w:sz w:val="24"/>
        </w:rPr>
        <w:t xml:space="preserve">6、基金管理人业务资格批件、营业执照； </w:t>
      </w:r>
    </w:p>
    <w:p>
      <w:pPr>
        <w:spacing w:before="29" w:line="288" w:lineRule="auto"/>
        <w:ind w:firstLine="480" w:firstLineChars="200"/>
        <w:rPr>
          <w:rFonts w:eastAsiaTheme="minorEastAsia"/>
          <w:color w:val="000000"/>
          <w:sz w:val="24"/>
        </w:rPr>
      </w:pPr>
      <w:r>
        <w:rPr>
          <w:rFonts w:eastAsiaTheme="minorEastAsia"/>
          <w:color w:val="000000"/>
          <w:sz w:val="24"/>
        </w:rPr>
        <w:t xml:space="preserve">7、基金托管人业务资格批件、营业执照； </w:t>
      </w:r>
    </w:p>
    <w:p w:rsidP="007C14DF" w:rsidR="00FB3C94" w:rsidRDefault="00FB3C94" w:rsidRPr="007F52FA">
      <w:pPr>
        <w:spacing w:before="29" w:line="288" w:lineRule="auto"/>
        <w:ind w:firstLine="480" w:firstLineChars="200"/>
        <w:rPr>
          <w:rFonts w:eastAsiaTheme="minorEastAsia"/>
          <w:color w:val="000000"/>
          <w:sz w:val="24"/>
        </w:rPr>
      </w:pPr>
      <w:r w:rsidRPr="007F52FA">
        <w:rPr>
          <w:rFonts w:eastAsiaTheme="minorEastAsia"/>
          <w:color w:val="000000"/>
          <w:sz w:val="24"/>
        </w:rPr>
        <w:t>8、报告期内交银施罗德稳利中短债债券型证券投资基金在指定报刊上各项公告的原稿。</w:t>
      </w:r>
    </w:p>
    <w:p w:rsidP="007C14DF" w:rsidR="00F11783" w:rsidRDefault="00F11783" w:rsidRPr="007F52FA">
      <w:pPr>
        <w:spacing w:before="29" w:line="288" w:lineRule="auto"/>
        <w:ind w:firstLine="480" w:firstLineChars="200"/>
        <w:rPr>
          <w:rFonts w:eastAsiaTheme="minorEastAsia"/>
          <w:color w:val="000000"/>
          <w:sz w:val="24"/>
        </w:rPr>
      </w:pPr>
    </w:p>
    <w:p w:rsidP="007C14DF" w:rsidR="00FB3C94" w:rsidRDefault="00D13A01" w:rsidRPr="007F52FA">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lastRenderedPageBreak/>
        <w:t>9.2</w:t>
      </w:r>
      <w:r w:rsidR="00FB3C94" w:rsidRPr="007F52FA">
        <w:rPr>
          <w:rFonts w:eastAsiaTheme="minorEastAsia"/>
          <w:b/>
          <w:bCs/>
          <w:color w:val="000000"/>
          <w:kern w:val="0"/>
          <w:sz w:val="24"/>
        </w:rPr>
        <w:t>存放地点</w:t>
      </w:r>
    </w:p>
    <w:p w:rsidP="007C14DF" w:rsidR="00FB3C94" w:rsidRDefault="00FB3C94" w:rsidRPr="007F52FA">
      <w:pPr>
        <w:spacing w:before="29" w:line="288" w:lineRule="auto"/>
        <w:ind w:firstLine="480" w:firstLineChars="200"/>
        <w:rPr>
          <w:rFonts w:eastAsiaTheme="minorEastAsia"/>
          <w:color w:val="000000"/>
          <w:sz w:val="24"/>
        </w:rPr>
      </w:pPr>
      <w:r w:rsidRPr="007F52FA">
        <w:rPr>
          <w:rFonts w:eastAsiaTheme="minorEastAsia"/>
          <w:color w:val="000000"/>
          <w:sz w:val="24"/>
        </w:rPr>
        <w:t>备查文件存放于基金管理人的办公场所。</w:t>
      </w:r>
    </w:p>
    <w:p w:rsidP="007C14DF" w:rsidR="00F11783" w:rsidRDefault="00F11783" w:rsidRPr="007F52FA">
      <w:pPr>
        <w:spacing w:before="29" w:line="288" w:lineRule="auto"/>
        <w:ind w:firstLine="480" w:firstLineChars="200"/>
        <w:rPr>
          <w:rFonts w:eastAsiaTheme="minorEastAsia"/>
          <w:color w:val="000000"/>
          <w:sz w:val="24"/>
        </w:rPr>
      </w:pPr>
    </w:p>
    <w:p w:rsidP="007C14DF" w:rsidR="00FB3C94" w:rsidRDefault="00D13A01" w:rsidRPr="007F52FA">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9.3</w:t>
      </w:r>
      <w:r w:rsidR="00FB3C94" w:rsidRPr="007F52FA">
        <w:rPr>
          <w:rFonts w:eastAsiaTheme="minorEastAsia"/>
          <w:b/>
          <w:bCs/>
          <w:color w:val="000000"/>
          <w:kern w:val="0"/>
          <w:sz w:val="24"/>
        </w:rPr>
        <w:t>查阅方式</w:t>
      </w:r>
    </w:p>
    <w:p>
      <w:pPr>
        <w:spacing w:before="29" w:line="288" w:lineRule="auto"/>
        <w:ind w:firstLine="480" w:firstLineChars="200"/>
        <w:rPr>
          <w:rFonts w:eastAsiaTheme="minorEastAsia"/>
          <w:color w:val="000000"/>
          <w:sz w:val="24"/>
        </w:rPr>
      </w:pPr>
      <w:r>
        <w:rPr>
          <w:rFonts w:eastAsiaTheme="minorEastAsia"/>
          <w:color w:val="000000"/>
          <w:sz w:val="24"/>
        </w:rPr>
        <w:t xml:space="preserve">投资者可在办公时间内至基金管理人的办公场所免费查阅备查文件，或者登录基金管理人的网站(www.fund001.com)查阅。在支付工本费后，投资者可在合理时间内取得上述文件的复制件或复印件。 </w:t>
      </w:r>
    </w:p>
    <w:p w:rsidP="007C14DF" w:rsidR="009238DB" w:rsidRDefault="00FB3C94" w:rsidRPr="007F52FA">
      <w:pPr>
        <w:spacing w:before="29" w:line="288" w:lineRule="auto"/>
        <w:ind w:firstLine="480" w:firstLineChars="20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投资者对本报告书如有疑问，可咨询本基金管理人交银施罗德基金管理有限公司。本公司客户服务中心电话：400-700-5000（免长途话费），021-61055000，电子邮件：services@jysld.com。</w:t>
      </w:r>
    </w:p>
    <w:p w:rsidP="007C14DF" w:rsidR="004D36DF" w:rsidRDefault="004D36DF" w:rsidRPr="007F52FA">
      <w:pPr>
        <w:spacing w:before="29" w:line="288" w:lineRule="auto"/>
        <w:ind w:firstLine="480" w:firstLineChars="200"/>
        <w:rPr>
          <w:rFonts w:eastAsiaTheme="minorEastAsia"/>
          <w:color w:val="000000"/>
          <w:sz w:val="24"/>
        </w:rPr>
      </w:pPr>
    </w:p>
    <w:sectPr w:rsidR="004D36DF" w:rsidRPr="007F52FA" w:rsidSect="007A5233">
      <w:footerReference r:id="rId16" w:type="even"/>
      <w:pgSz w:h="16838" w:w="11906"/>
      <w:pgMar w:bottom="1440" w:footer="992" w:gutter="0" w:header="851" w:left="1440" w:right="144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AD1" w:rsidRDefault="00685AD1">
      <w:r>
        <w:separator/>
      </w:r>
    </w:p>
  </w:endnote>
  <w:endnote w:type="continuationSeparator" w:id="0">
    <w:p w:rsidR="00685AD1" w:rsidRDefault="0068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51B4E" w:rsidRDefault="00C51B4E">
    <w:pPr>
      <w:pStyle w:val="a6"/>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F7094A" w:rsidR="007F50FB" w:rsidRDefault="007F50FB" w:rsidRPr="001D0DB0">
    <w:pPr>
      <w:pStyle w:val="a6"/>
      <w:jc w:val="center"/>
    </w:pPr>
    <w:r>
      <w:rPr>
        <w:rFonts w:hint="eastAsia"/>
        <w:kern w:val="0"/>
        <w:szCs w:val="21"/>
      </w:rPr>
      <w:t>第</w:t>
    </w:r>
    <w:r w:rsidR="0042114A">
      <w:rPr>
        <w:kern w:val="0"/>
        <w:szCs w:val="21"/>
      </w:rPr>
      <w:fldChar w:fldCharType="begin"/>
    </w:r>
    <w:r>
      <w:rPr>
        <w:kern w:val="0"/>
        <w:szCs w:val="21"/>
      </w:rPr>
      <w:instrText xml:space="preserve"> PAGE </w:instrText>
    </w:r>
    <w:r w:rsidR="0042114A">
      <w:rPr>
        <w:kern w:val="0"/>
        <w:szCs w:val="21"/>
      </w:rPr>
      <w:fldChar w:fldCharType="separate"/>
    </w:r>
    <w:r w:rsidR="00885AD9">
      <w:rPr>
        <w:noProof/>
        <w:kern w:val="0"/>
        <w:szCs w:val="21"/>
      </w:rPr>
      <w:t>19</w:t>
    </w:r>
    <w:r w:rsidR="0042114A">
      <w:rPr>
        <w:kern w:val="0"/>
        <w:szCs w:val="21"/>
      </w:rPr>
      <w:fldChar w:fldCharType="end"/>
    </w:r>
    <w:r>
      <w:rPr>
        <w:rFonts w:hint="eastAsia"/>
        <w:kern w:val="0"/>
        <w:szCs w:val="21"/>
      </w:rPr>
      <w:t>页共</w:t>
    </w:r>
    <w:r w:rsidR="0042114A">
      <w:rPr>
        <w:kern w:val="0"/>
        <w:szCs w:val="21"/>
      </w:rPr>
      <w:fldChar w:fldCharType="begin"/>
    </w:r>
    <w:r>
      <w:rPr>
        <w:kern w:val="0"/>
        <w:szCs w:val="21"/>
      </w:rPr>
      <w:instrText xml:space="preserve"> NUMPAGES </w:instrText>
    </w:r>
    <w:r w:rsidR="0042114A">
      <w:rPr>
        <w:kern w:val="0"/>
        <w:szCs w:val="21"/>
      </w:rPr>
      <w:fldChar w:fldCharType="separate"/>
    </w:r>
    <w:r w:rsidR="00885AD9">
      <w:rPr>
        <w:noProof/>
        <w:kern w:val="0"/>
        <w:szCs w:val="21"/>
      </w:rPr>
      <w:t>27</w:t>
    </w:r>
    <w:r w:rsidR="0042114A">
      <w:rPr>
        <w:kern w:val="0"/>
        <w:szCs w:val="21"/>
      </w:rPr>
      <w:fldChar w:fldCharType="end"/>
    </w:r>
    <w:r>
      <w:rPr>
        <w:rFonts w:hint="eastAsia"/>
        <w:kern w:val="0"/>
        <w:szCs w:val="21"/>
      </w:rPr>
      <w:t>页</w:t>
    </w: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51B4E" w:rsidRDefault="00C51B4E">
    <w:pPr>
      <w:pStyle w:val="a6"/>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7F50FB" w:rsidRDefault="0042114A">
    <w:pPr>
      <w:pStyle w:val="a6"/>
      <w:framePr w:hAnchor="margin" w:vAnchor="text" w:wrap="around" w:xAlign="center" w:y="1"/>
      <w:rPr>
        <w:rStyle w:val="a7"/>
      </w:rPr>
    </w:pPr>
    <w:r>
      <w:rPr>
        <w:rStyle w:val="a7"/>
      </w:rPr>
      <w:fldChar w:fldCharType="begin"/>
    </w:r>
    <w:r w:rsidR="007F50FB">
      <w:rPr>
        <w:rStyle w:val="a7"/>
      </w:rPr>
      <w:instrText xml:space="preserve">PAGE  </w:instrText>
    </w:r>
    <w:r>
      <w:rPr>
        <w:rStyle w:val="a7"/>
      </w:rPr>
      <w:fldChar w:fldCharType="end"/>
    </w:r>
  </w:p>
  <w:p w:rsidR="007F50FB" w:rsidRDefault="007F50FB">
    <w:pPr>
      <w:pStyle w:val="a6"/>
    </w:pP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R="00685AD1" w:rsidRDefault="00685AD1">
      <w:r>
        <w:separator/>
      </w:r>
    </w:p>
  </w:footnote>
  <w:footnote w:id="0" w:type="continuationSeparator">
    <w:p w:rsidR="00685AD1" w:rsidRDefault="00685AD1">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51B4E" w:rsidRDefault="00C51B4E">
    <w:pPr>
      <w:pStyle w:val="a9"/>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D3445F" w:rsidR="007F50FB" w:rsidRDefault="00D3445F" w:rsidRPr="00D3445F">
    <w:pPr>
      <w:spacing w:before="29" w:line="288" w:lineRule="auto"/>
      <w:jc w:val="right"/>
      <w:rPr>
        <w:rFonts w:eastAsiaTheme="minorEastAsia"/>
        <w:sz w:val="24"/>
      </w:rPr>
    </w:pPr>
    <w:r w:rsidRPr="00D3445F">
      <w:rPr>
        <w:rFonts w:eastAsiaTheme="minorEastAsia"/>
        <w:sz w:val="24"/>
      </w:rPr>
      <w:t>交银施罗德稳利中短债债券型证券投资基金2020年第2季度报告</w:t>
    </w: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51B4E" w:rsidRDefault="00C51B4E">
    <w:pPr>
      <w:pStyle w:val="a9"/>
    </w:pP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15:restartNumberingAfterBreak="0" w:abstractNumId="0">
    <w:nsid w:val="17055987"/>
    <w:multiLevelType w:val="hybridMultilevel"/>
    <w:tmpl w:val="6DACDB38"/>
    <w:lvl w:ilvl="0" w:tplc="307C87E8">
      <w:start w:val="2006"/>
      <w:numFmt w:val="bullet"/>
      <w:lvlText w:val="●"/>
      <w:lvlJc w:val="left"/>
      <w:pPr>
        <w:tabs>
          <w:tab w:pos="780" w:val="num"/>
        </w:tabs>
        <w:ind w:hanging="360" w:left="780"/>
      </w:pPr>
      <w:rPr>
        <w:rFonts w:ascii="Times New Roman" w:cs="Times New Roman" w:eastAsia="宋体" w:hAnsi="Times New Roman" w:hint="default"/>
      </w:rPr>
    </w:lvl>
    <w:lvl w:ilvl="1" w:tentative="1" w:tplc="04090003">
      <w:start w:val="1"/>
      <w:numFmt w:val="bullet"/>
      <w:lvlText w:val=""/>
      <w:lvlJc w:val="left"/>
      <w:pPr>
        <w:tabs>
          <w:tab w:pos="1260" w:val="num"/>
        </w:tabs>
        <w:ind w:hanging="420" w:left="1260"/>
      </w:pPr>
      <w:rPr>
        <w:rFonts w:ascii="Wingdings" w:hAnsi="Wingdings" w:hint="default"/>
      </w:rPr>
    </w:lvl>
    <w:lvl w:ilvl="2" w:tentative="1" w:tplc="04090005">
      <w:start w:val="1"/>
      <w:numFmt w:val="bullet"/>
      <w:lvlText w:val=""/>
      <w:lvlJc w:val="left"/>
      <w:pPr>
        <w:tabs>
          <w:tab w:pos="1680" w:val="num"/>
        </w:tabs>
        <w:ind w:hanging="420" w:left="1680"/>
      </w:pPr>
      <w:rPr>
        <w:rFonts w:ascii="Wingdings" w:hAnsi="Wingdings" w:hint="default"/>
      </w:rPr>
    </w:lvl>
    <w:lvl w:ilvl="3" w:tentative="1" w:tplc="04090001">
      <w:start w:val="1"/>
      <w:numFmt w:val="bullet"/>
      <w:lvlText w:val=""/>
      <w:lvlJc w:val="left"/>
      <w:pPr>
        <w:tabs>
          <w:tab w:pos="2100" w:val="num"/>
        </w:tabs>
        <w:ind w:hanging="420" w:left="2100"/>
      </w:pPr>
      <w:rPr>
        <w:rFonts w:ascii="Wingdings" w:hAnsi="Wingdings" w:hint="default"/>
      </w:rPr>
    </w:lvl>
    <w:lvl w:ilvl="4" w:tentative="1" w:tplc="04090003">
      <w:start w:val="1"/>
      <w:numFmt w:val="bullet"/>
      <w:lvlText w:val=""/>
      <w:lvlJc w:val="left"/>
      <w:pPr>
        <w:tabs>
          <w:tab w:pos="2520" w:val="num"/>
        </w:tabs>
        <w:ind w:hanging="420" w:left="2520"/>
      </w:pPr>
      <w:rPr>
        <w:rFonts w:ascii="Wingdings" w:hAnsi="Wingdings" w:hint="default"/>
      </w:rPr>
    </w:lvl>
    <w:lvl w:ilvl="5" w:tentative="1" w:tplc="04090005">
      <w:start w:val="1"/>
      <w:numFmt w:val="bullet"/>
      <w:lvlText w:val=""/>
      <w:lvlJc w:val="left"/>
      <w:pPr>
        <w:tabs>
          <w:tab w:pos="2940" w:val="num"/>
        </w:tabs>
        <w:ind w:hanging="420" w:left="2940"/>
      </w:pPr>
      <w:rPr>
        <w:rFonts w:ascii="Wingdings" w:hAnsi="Wingdings" w:hint="default"/>
      </w:rPr>
    </w:lvl>
    <w:lvl w:ilvl="6" w:tentative="1" w:tplc="04090001">
      <w:start w:val="1"/>
      <w:numFmt w:val="bullet"/>
      <w:lvlText w:val=""/>
      <w:lvlJc w:val="left"/>
      <w:pPr>
        <w:tabs>
          <w:tab w:pos="3360" w:val="num"/>
        </w:tabs>
        <w:ind w:hanging="420" w:left="3360"/>
      </w:pPr>
      <w:rPr>
        <w:rFonts w:ascii="Wingdings" w:hAnsi="Wingdings" w:hint="default"/>
      </w:rPr>
    </w:lvl>
    <w:lvl w:ilvl="7" w:tentative="1" w:tplc="04090003">
      <w:start w:val="1"/>
      <w:numFmt w:val="bullet"/>
      <w:lvlText w:val=""/>
      <w:lvlJc w:val="left"/>
      <w:pPr>
        <w:tabs>
          <w:tab w:pos="3780" w:val="num"/>
        </w:tabs>
        <w:ind w:hanging="420" w:left="3780"/>
      </w:pPr>
      <w:rPr>
        <w:rFonts w:ascii="Wingdings" w:hAnsi="Wingdings" w:hint="default"/>
      </w:rPr>
    </w:lvl>
    <w:lvl w:ilvl="8" w:tentative="1" w:tplc="04090005">
      <w:start w:val="1"/>
      <w:numFmt w:val="bullet"/>
      <w:lvlText w:val=""/>
      <w:lvlJc w:val="left"/>
      <w:pPr>
        <w:tabs>
          <w:tab w:pos="4200" w:val="num"/>
        </w:tabs>
        <w:ind w:hanging="420" w:left="4200"/>
      </w:pPr>
      <w:rPr>
        <w:rFonts w:ascii="Wingdings" w:hAnsi="Wingdings" w:hint="default"/>
      </w:rPr>
    </w:lvl>
  </w:abstractNum>
  <w:abstractNum w15:restartNumberingAfterBreak="0" w:abstractNumId="1">
    <w:nsid w:val="2A93165E"/>
    <w:multiLevelType w:val="hybridMultilevel"/>
    <w:tmpl w:val="8F54F77E"/>
    <w:lvl w:ilvl="0" w:tplc="8996D53A">
      <w:start w:val="1"/>
      <w:numFmt w:val="japaneseCounting"/>
      <w:lvlText w:val="（%1）"/>
      <w:lvlJc w:val="left"/>
      <w:pPr>
        <w:tabs>
          <w:tab w:pos="1200" w:val="num"/>
        </w:tabs>
        <w:ind w:hanging="720" w:left="1200"/>
      </w:pPr>
      <w:rPr>
        <w:rFonts w:hAnsi="宋体" w:hint="default"/>
      </w:rPr>
    </w:lvl>
    <w:lvl w:ilvl="1" w:tentative="1" w:tplc="04090019">
      <w:start w:val="1"/>
      <w:numFmt w:val="lowerLetter"/>
      <w:lvlText w:val="%2)"/>
      <w:lvlJc w:val="left"/>
      <w:pPr>
        <w:tabs>
          <w:tab w:pos="1320" w:val="num"/>
        </w:tabs>
        <w:ind w:hanging="420" w:left="1320"/>
      </w:pPr>
    </w:lvl>
    <w:lvl w:ilvl="2" w:tentative="1" w:tplc="0409001B">
      <w:start w:val="1"/>
      <w:numFmt w:val="lowerRoman"/>
      <w:lvlText w:val="%3."/>
      <w:lvlJc w:val="right"/>
      <w:pPr>
        <w:tabs>
          <w:tab w:pos="1740" w:val="num"/>
        </w:tabs>
        <w:ind w:hanging="420" w:left="1740"/>
      </w:pPr>
    </w:lvl>
    <w:lvl w:ilvl="3" w:tentative="1" w:tplc="0409000F">
      <w:start w:val="1"/>
      <w:numFmt w:val="decimal"/>
      <w:lvlText w:val="%4."/>
      <w:lvlJc w:val="left"/>
      <w:pPr>
        <w:tabs>
          <w:tab w:pos="2160" w:val="num"/>
        </w:tabs>
        <w:ind w:hanging="420" w:left="2160"/>
      </w:pPr>
    </w:lvl>
    <w:lvl w:ilvl="4" w:tentative="1" w:tplc="04090019">
      <w:start w:val="1"/>
      <w:numFmt w:val="lowerLetter"/>
      <w:lvlText w:val="%5)"/>
      <w:lvlJc w:val="left"/>
      <w:pPr>
        <w:tabs>
          <w:tab w:pos="2580" w:val="num"/>
        </w:tabs>
        <w:ind w:hanging="420" w:left="2580"/>
      </w:pPr>
    </w:lvl>
    <w:lvl w:ilvl="5" w:tentative="1" w:tplc="0409001B">
      <w:start w:val="1"/>
      <w:numFmt w:val="lowerRoman"/>
      <w:lvlText w:val="%6."/>
      <w:lvlJc w:val="right"/>
      <w:pPr>
        <w:tabs>
          <w:tab w:pos="3000" w:val="num"/>
        </w:tabs>
        <w:ind w:hanging="420" w:left="3000"/>
      </w:pPr>
    </w:lvl>
    <w:lvl w:ilvl="6" w:tentative="1" w:tplc="0409000F">
      <w:start w:val="1"/>
      <w:numFmt w:val="decimal"/>
      <w:lvlText w:val="%7."/>
      <w:lvlJc w:val="left"/>
      <w:pPr>
        <w:tabs>
          <w:tab w:pos="3420" w:val="num"/>
        </w:tabs>
        <w:ind w:hanging="420" w:left="3420"/>
      </w:pPr>
    </w:lvl>
    <w:lvl w:ilvl="7" w:tentative="1" w:tplc="04090019">
      <w:start w:val="1"/>
      <w:numFmt w:val="lowerLetter"/>
      <w:lvlText w:val="%8)"/>
      <w:lvlJc w:val="left"/>
      <w:pPr>
        <w:tabs>
          <w:tab w:pos="3840" w:val="num"/>
        </w:tabs>
        <w:ind w:hanging="420" w:left="3840"/>
      </w:pPr>
    </w:lvl>
    <w:lvl w:ilvl="8" w:tentative="1" w:tplc="0409001B">
      <w:start w:val="1"/>
      <w:numFmt w:val="lowerRoman"/>
      <w:lvlText w:val="%9."/>
      <w:lvlJc w:val="right"/>
      <w:pPr>
        <w:tabs>
          <w:tab w:pos="4260" w:val="num"/>
        </w:tabs>
        <w:ind w:hanging="420" w:left="4260"/>
      </w:pPr>
    </w:lvl>
  </w:abstractNum>
  <w:abstractNum w15:restartNumberingAfterBreak="0" w:abstractNumId="2">
    <w:nsid w:val="32C43FA3"/>
    <w:multiLevelType w:val="hybridMultilevel"/>
    <w:tmpl w:val="2658615A"/>
    <w:lvl w:ilvl="0" w:tplc="04090001">
      <w:start w:val="1"/>
      <w:numFmt w:val="bullet"/>
      <w:lvlText w:val=""/>
      <w:lvlJc w:val="left"/>
      <w:pPr>
        <w:tabs>
          <w:tab w:pos="420" w:val="num"/>
        </w:tabs>
        <w:ind w:hanging="420" w:left="420"/>
      </w:pPr>
      <w:rPr>
        <w:rFonts w:ascii="Wingdings" w:hAnsi="Wingdings" w:hint="default"/>
      </w:rPr>
    </w:lvl>
    <w:lvl w:ilvl="1" w:tentative="1" w:tplc="04090003">
      <w:start w:val="1"/>
      <w:numFmt w:val="bullet"/>
      <w:lvlText w:val=""/>
      <w:lvlJc w:val="left"/>
      <w:pPr>
        <w:tabs>
          <w:tab w:pos="840" w:val="num"/>
        </w:tabs>
        <w:ind w:hanging="420" w:left="840"/>
      </w:pPr>
      <w:rPr>
        <w:rFonts w:ascii="Wingdings" w:hAnsi="Wingdings" w:hint="default"/>
      </w:rPr>
    </w:lvl>
    <w:lvl w:ilvl="2" w:tentative="1" w:tplc="04090005">
      <w:start w:val="1"/>
      <w:numFmt w:val="bullet"/>
      <w:lvlText w:val=""/>
      <w:lvlJc w:val="left"/>
      <w:pPr>
        <w:tabs>
          <w:tab w:pos="1260" w:val="num"/>
        </w:tabs>
        <w:ind w:hanging="420" w:left="1260"/>
      </w:pPr>
      <w:rPr>
        <w:rFonts w:ascii="Wingdings" w:hAnsi="Wingdings" w:hint="default"/>
      </w:rPr>
    </w:lvl>
    <w:lvl w:ilvl="3" w:tentative="1" w:tplc="04090001">
      <w:start w:val="1"/>
      <w:numFmt w:val="bullet"/>
      <w:lvlText w:val=""/>
      <w:lvlJc w:val="left"/>
      <w:pPr>
        <w:tabs>
          <w:tab w:pos="1680" w:val="num"/>
        </w:tabs>
        <w:ind w:hanging="420" w:left="1680"/>
      </w:pPr>
      <w:rPr>
        <w:rFonts w:ascii="Wingdings" w:hAnsi="Wingdings" w:hint="default"/>
      </w:rPr>
    </w:lvl>
    <w:lvl w:ilvl="4" w:tentative="1" w:tplc="04090003">
      <w:start w:val="1"/>
      <w:numFmt w:val="bullet"/>
      <w:lvlText w:val=""/>
      <w:lvlJc w:val="left"/>
      <w:pPr>
        <w:tabs>
          <w:tab w:pos="2100" w:val="num"/>
        </w:tabs>
        <w:ind w:hanging="420" w:left="2100"/>
      </w:pPr>
      <w:rPr>
        <w:rFonts w:ascii="Wingdings" w:hAnsi="Wingdings" w:hint="default"/>
      </w:rPr>
    </w:lvl>
    <w:lvl w:ilvl="5" w:tentative="1" w:tplc="04090005">
      <w:start w:val="1"/>
      <w:numFmt w:val="bullet"/>
      <w:lvlText w:val=""/>
      <w:lvlJc w:val="left"/>
      <w:pPr>
        <w:tabs>
          <w:tab w:pos="2520" w:val="num"/>
        </w:tabs>
        <w:ind w:hanging="420" w:left="2520"/>
      </w:pPr>
      <w:rPr>
        <w:rFonts w:ascii="Wingdings" w:hAnsi="Wingdings" w:hint="default"/>
      </w:rPr>
    </w:lvl>
    <w:lvl w:ilvl="6" w:tentative="1" w:tplc="04090001">
      <w:start w:val="1"/>
      <w:numFmt w:val="bullet"/>
      <w:lvlText w:val=""/>
      <w:lvlJc w:val="left"/>
      <w:pPr>
        <w:tabs>
          <w:tab w:pos="2940" w:val="num"/>
        </w:tabs>
        <w:ind w:hanging="420" w:left="2940"/>
      </w:pPr>
      <w:rPr>
        <w:rFonts w:ascii="Wingdings" w:hAnsi="Wingdings" w:hint="default"/>
      </w:rPr>
    </w:lvl>
    <w:lvl w:ilvl="7" w:tentative="1" w:tplc="04090003">
      <w:start w:val="1"/>
      <w:numFmt w:val="bullet"/>
      <w:lvlText w:val=""/>
      <w:lvlJc w:val="left"/>
      <w:pPr>
        <w:tabs>
          <w:tab w:pos="3360" w:val="num"/>
        </w:tabs>
        <w:ind w:hanging="420" w:left="3360"/>
      </w:pPr>
      <w:rPr>
        <w:rFonts w:ascii="Wingdings" w:hAnsi="Wingdings" w:hint="default"/>
      </w:rPr>
    </w:lvl>
    <w:lvl w:ilvl="8" w:tentative="1" w:tplc="04090005">
      <w:start w:val="1"/>
      <w:numFmt w:val="bullet"/>
      <w:lvlText w:val=""/>
      <w:lvlJc w:val="left"/>
      <w:pPr>
        <w:tabs>
          <w:tab w:pos="3780" w:val="num"/>
        </w:tabs>
        <w:ind w:hanging="420" w:left="3780"/>
      </w:pPr>
      <w:rPr>
        <w:rFonts w:ascii="Wingdings" w:hAnsi="Wingdings" w:hint="default"/>
      </w:rPr>
    </w:lvl>
  </w:abstractNum>
  <w:abstractNum w15:restartNumberingAfterBreak="0" w:abstractNumId="3">
    <w:nsid w:val="45342383"/>
    <w:multiLevelType w:val="multilevel"/>
    <w:tmpl w:val="0409001D"/>
    <w:styleLink w:val="5"/>
    <w:lvl w:ilvl="0">
      <w:start w:val="1"/>
      <w:numFmt w:val="decimal"/>
      <w:lvlText w:val="%1"/>
      <w:lvlJc w:val="left"/>
      <w:pPr>
        <w:tabs>
          <w:tab w:pos="425" w:val="num"/>
        </w:tabs>
        <w:ind w:hanging="425" w:left="425"/>
      </w:pPr>
    </w:lvl>
    <w:lvl w:ilvl="1">
      <w:start w:val="1"/>
      <w:numFmt w:val="decimal"/>
      <w:lvlText w:val="%1.%2"/>
      <w:lvlJc w:val="left"/>
      <w:pPr>
        <w:tabs>
          <w:tab w:pos="992" w:val="num"/>
        </w:tabs>
        <w:ind w:hanging="567" w:left="992"/>
      </w:pPr>
    </w:lvl>
    <w:lvl w:ilvl="2">
      <w:start w:val="1"/>
      <w:numFmt w:val="decimal"/>
      <w:lvlText w:val="%1.%2.%3"/>
      <w:lvlJc w:val="left"/>
      <w:pPr>
        <w:tabs>
          <w:tab w:pos="1418" w:val="num"/>
        </w:tabs>
        <w:ind w:hanging="567" w:left="1418"/>
      </w:pPr>
    </w:lvl>
    <w:lvl w:ilvl="3">
      <w:start w:val="1"/>
      <w:numFmt w:val="decimal"/>
      <w:lvlText w:val="%1.%2.%3.%4"/>
      <w:lvlJc w:val="left"/>
      <w:pPr>
        <w:tabs>
          <w:tab w:pos="1984" w:val="num"/>
        </w:tabs>
        <w:ind w:hanging="708" w:left="1984"/>
      </w:pPr>
    </w:lvl>
    <w:lvl w:ilvl="4">
      <w:start w:val="1"/>
      <w:numFmt w:val="decimal"/>
      <w:lvlText w:val="%1.%2.%3.%4.%5"/>
      <w:lvlJc w:val="left"/>
      <w:pPr>
        <w:tabs>
          <w:tab w:pos="2551" w:val="num"/>
        </w:tabs>
        <w:ind w:hanging="850" w:left="2551"/>
      </w:pPr>
    </w:lvl>
    <w:lvl w:ilvl="5">
      <w:start w:val="1"/>
      <w:numFmt w:val="decimal"/>
      <w:lvlText w:val="%1.%2.%3.%4.%5.%6"/>
      <w:lvlJc w:val="left"/>
      <w:pPr>
        <w:tabs>
          <w:tab w:pos="3260" w:val="num"/>
        </w:tabs>
        <w:ind w:hanging="1134" w:left="3260"/>
      </w:pPr>
    </w:lvl>
    <w:lvl w:ilvl="6">
      <w:start w:val="1"/>
      <w:numFmt w:val="decimal"/>
      <w:lvlText w:val="%1.%2.%3.%4.%5.%6.%7"/>
      <w:lvlJc w:val="left"/>
      <w:pPr>
        <w:tabs>
          <w:tab w:pos="3827" w:val="num"/>
        </w:tabs>
        <w:ind w:hanging="1276" w:left="3827"/>
      </w:pPr>
    </w:lvl>
    <w:lvl w:ilvl="7">
      <w:start w:val="1"/>
      <w:numFmt w:val="decimal"/>
      <w:lvlText w:val="%1.%2.%3.%4.%5.%6.%7.%8"/>
      <w:lvlJc w:val="left"/>
      <w:pPr>
        <w:tabs>
          <w:tab w:pos="4394" w:val="num"/>
        </w:tabs>
        <w:ind w:hanging="1418" w:left="4394"/>
      </w:pPr>
    </w:lvl>
    <w:lvl w:ilvl="8">
      <w:start w:val="1"/>
      <w:numFmt w:val="decimal"/>
      <w:lvlText w:val="%1.%2.%3.%4.%5.%6.%7.%8.%9"/>
      <w:lvlJc w:val="left"/>
      <w:pPr>
        <w:tabs>
          <w:tab w:pos="5102" w:val="num"/>
        </w:tabs>
        <w:ind w:hanging="1700" w:left="5102"/>
      </w:pPr>
    </w:lvl>
  </w:abstractNum>
  <w:abstractNum w15:restartNumberingAfterBreak="0" w:abstractNumId="4">
    <w:nsid w:val="57E8240C"/>
    <w:multiLevelType w:val="hybridMultilevel"/>
    <w:tmpl w:val="300A7112"/>
    <w:lvl w:ilvl="0" w:tplc="3782FDB8">
      <w:start w:val="1"/>
      <w:numFmt w:val="decimal"/>
      <w:lvlText w:val="（%1）"/>
      <w:lvlJc w:val="left"/>
      <w:pPr>
        <w:tabs>
          <w:tab w:pos="1200" w:val="num"/>
        </w:tabs>
        <w:ind w:hanging="720" w:left="1200"/>
      </w:pPr>
      <w:rPr>
        <w:rFonts w:hint="eastAsia"/>
        <w:sz w:val="24"/>
      </w:rPr>
    </w:lvl>
    <w:lvl w:ilvl="1" w:tentative="1" w:tplc="04090019">
      <w:start w:val="1"/>
      <w:numFmt w:val="lowerLetter"/>
      <w:lvlText w:val="%2)"/>
      <w:lvlJc w:val="left"/>
      <w:pPr>
        <w:tabs>
          <w:tab w:pos="1320" w:val="num"/>
        </w:tabs>
        <w:ind w:hanging="420" w:left="1320"/>
      </w:pPr>
    </w:lvl>
    <w:lvl w:ilvl="2" w:tentative="1" w:tplc="0409001B">
      <w:start w:val="1"/>
      <w:numFmt w:val="lowerRoman"/>
      <w:lvlText w:val="%3."/>
      <w:lvlJc w:val="right"/>
      <w:pPr>
        <w:tabs>
          <w:tab w:pos="1740" w:val="num"/>
        </w:tabs>
        <w:ind w:hanging="420" w:left="1740"/>
      </w:pPr>
    </w:lvl>
    <w:lvl w:ilvl="3" w:tentative="1" w:tplc="0409000F">
      <w:start w:val="1"/>
      <w:numFmt w:val="decimal"/>
      <w:lvlText w:val="%4."/>
      <w:lvlJc w:val="left"/>
      <w:pPr>
        <w:tabs>
          <w:tab w:pos="2160" w:val="num"/>
        </w:tabs>
        <w:ind w:hanging="420" w:left="2160"/>
      </w:pPr>
    </w:lvl>
    <w:lvl w:ilvl="4" w:tentative="1" w:tplc="04090019">
      <w:start w:val="1"/>
      <w:numFmt w:val="lowerLetter"/>
      <w:lvlText w:val="%5)"/>
      <w:lvlJc w:val="left"/>
      <w:pPr>
        <w:tabs>
          <w:tab w:pos="2580" w:val="num"/>
        </w:tabs>
        <w:ind w:hanging="420" w:left="2580"/>
      </w:pPr>
    </w:lvl>
    <w:lvl w:ilvl="5" w:tentative="1" w:tplc="0409001B">
      <w:start w:val="1"/>
      <w:numFmt w:val="lowerRoman"/>
      <w:lvlText w:val="%6."/>
      <w:lvlJc w:val="right"/>
      <w:pPr>
        <w:tabs>
          <w:tab w:pos="3000" w:val="num"/>
        </w:tabs>
        <w:ind w:hanging="420" w:left="3000"/>
      </w:pPr>
    </w:lvl>
    <w:lvl w:ilvl="6" w:tentative="1" w:tplc="0409000F">
      <w:start w:val="1"/>
      <w:numFmt w:val="decimal"/>
      <w:lvlText w:val="%7."/>
      <w:lvlJc w:val="left"/>
      <w:pPr>
        <w:tabs>
          <w:tab w:pos="3420" w:val="num"/>
        </w:tabs>
        <w:ind w:hanging="420" w:left="3420"/>
      </w:pPr>
    </w:lvl>
    <w:lvl w:ilvl="7" w:tentative="1" w:tplc="04090019">
      <w:start w:val="1"/>
      <w:numFmt w:val="lowerLetter"/>
      <w:lvlText w:val="%8)"/>
      <w:lvlJc w:val="left"/>
      <w:pPr>
        <w:tabs>
          <w:tab w:pos="3840" w:val="num"/>
        </w:tabs>
        <w:ind w:hanging="420" w:left="3840"/>
      </w:pPr>
    </w:lvl>
    <w:lvl w:ilvl="8" w:tentative="1" w:tplc="0409001B">
      <w:start w:val="1"/>
      <w:numFmt w:val="lowerRoman"/>
      <w:lvlText w:val="%9."/>
      <w:lvlJc w:val="right"/>
      <w:pPr>
        <w:tabs>
          <w:tab w:pos="4260" w:val="num"/>
        </w:tabs>
        <w:ind w:hanging="420" w:left="4260"/>
      </w:pPr>
    </w:lvl>
  </w:abstractNum>
  <w:abstractNum w15:restartNumberingAfterBreak="0" w:abstractNumId="5">
    <w:nsid w:val="64C22724"/>
    <w:multiLevelType w:val="multilevel"/>
    <w:tmpl w:val="0409001D"/>
    <w:numStyleLink w:val="5"/>
  </w:abstractNum>
  <w:abstractNum w15:restartNumberingAfterBreak="0" w:abstractNumId="6">
    <w:nsid w:val="7EC34207"/>
    <w:multiLevelType w:val="hybridMultilevel"/>
    <w:tmpl w:val="58FC50DE"/>
    <w:lvl w:ilvl="0" w:tplc="788C0680">
      <w:start w:val="1"/>
      <w:numFmt w:val="japaneseCounting"/>
      <w:lvlText w:val="%1、"/>
      <w:lvlJc w:val="left"/>
      <w:pPr>
        <w:tabs>
          <w:tab w:pos="480" w:val="num"/>
        </w:tabs>
        <w:ind w:hanging="480" w:left="480"/>
      </w:pPr>
      <w:rPr>
        <w:rFonts w:eastAsia="宋体" w:hint="eastAsia"/>
        <w:color w:val="auto"/>
      </w:rPr>
    </w:lvl>
    <w:lvl w:ilvl="1" w:tplc="D5ACC954">
      <w:start w:val="1"/>
      <w:numFmt w:val="japaneseCounting"/>
      <w:lvlText w:val="(%2)"/>
      <w:lvlJc w:val="left"/>
      <w:pPr>
        <w:tabs>
          <w:tab w:pos="810" w:val="num"/>
        </w:tabs>
        <w:ind w:hanging="390" w:left="810"/>
      </w:pPr>
      <w:rPr>
        <w:rFonts w:hint="eastAsia"/>
      </w:rPr>
    </w:lvl>
    <w:lvl w:ilvl="2" w:tplc="E2F6B948">
      <w:start w:val="1"/>
      <w:numFmt w:val="decimal"/>
      <w:lvlText w:val="%3、"/>
      <w:lvlJc w:val="left"/>
      <w:pPr>
        <w:tabs>
          <w:tab w:pos="1200" w:val="num"/>
        </w:tabs>
        <w:ind w:hanging="360" w:left="1200"/>
      </w:pPr>
      <w:rPr>
        <w:rFonts w:hint="eastAsia"/>
      </w:rPr>
    </w:lvl>
    <w:lvl w:ilvl="3" w:tentative="1" w:tplc="0409000F">
      <w:start w:val="1"/>
      <w:numFmt w:val="decimal"/>
      <w:lvlText w:val="%4."/>
      <w:lvlJc w:val="left"/>
      <w:pPr>
        <w:tabs>
          <w:tab w:pos="1680" w:val="num"/>
        </w:tabs>
        <w:ind w:hanging="420" w:left="1680"/>
      </w:pPr>
    </w:lvl>
    <w:lvl w:ilvl="4" w:tentative="1" w:tplc="04090019">
      <w:start w:val="1"/>
      <w:numFmt w:val="lowerLetter"/>
      <w:lvlText w:val="%5)"/>
      <w:lvlJc w:val="left"/>
      <w:pPr>
        <w:tabs>
          <w:tab w:pos="2100" w:val="num"/>
        </w:tabs>
        <w:ind w:hanging="420" w:left="2100"/>
      </w:pPr>
    </w:lvl>
    <w:lvl w:ilvl="5" w:tentative="1" w:tplc="0409001B">
      <w:start w:val="1"/>
      <w:numFmt w:val="lowerRoman"/>
      <w:lvlText w:val="%6."/>
      <w:lvlJc w:val="right"/>
      <w:pPr>
        <w:tabs>
          <w:tab w:pos="2520" w:val="num"/>
        </w:tabs>
        <w:ind w:hanging="420" w:left="2520"/>
      </w:pPr>
    </w:lvl>
    <w:lvl w:ilvl="6" w:tentative="1" w:tplc="0409000F">
      <w:start w:val="1"/>
      <w:numFmt w:val="decimal"/>
      <w:lvlText w:val="%7."/>
      <w:lvlJc w:val="left"/>
      <w:pPr>
        <w:tabs>
          <w:tab w:pos="2940" w:val="num"/>
        </w:tabs>
        <w:ind w:hanging="420" w:left="2940"/>
      </w:pPr>
    </w:lvl>
    <w:lvl w:ilvl="7" w:tentative="1" w:tplc="04090019">
      <w:start w:val="1"/>
      <w:numFmt w:val="lowerLetter"/>
      <w:lvlText w:val="%8)"/>
      <w:lvlJc w:val="left"/>
      <w:pPr>
        <w:tabs>
          <w:tab w:pos="3360" w:val="num"/>
        </w:tabs>
        <w:ind w:hanging="420" w:left="3360"/>
      </w:pPr>
    </w:lvl>
    <w:lvl w:ilvl="8" w:tentative="1" w:tplc="0409001B">
      <w:start w:val="1"/>
      <w:numFmt w:val="lowerRoman"/>
      <w:lvlText w:val="%9."/>
      <w:lvlJc w:val="right"/>
      <w:pPr>
        <w:tabs>
          <w:tab w:pos="3780" w:val="num"/>
        </w:tabs>
        <w:ind w:hanging="420" w:left="378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pos="992" w:val="num"/>
          </w:tabs>
          <w:ind w:hanging="567" w:left="992"/>
        </w:pPr>
      </w:lvl>
    </w:lvlOverride>
    <w:lvlOverride w:ilvl="2">
      <w:lvl w:ilvl="2">
        <w:start w:val="1"/>
        <w:numFmt w:val="decimal"/>
        <w:lvlText w:val="%1.%2.%3"/>
        <w:lvlJc w:val="left"/>
        <w:pPr>
          <w:tabs>
            <w:tab w:pos="1418" w:val="num"/>
          </w:tabs>
          <w:ind w:hanging="567" w:left="1418"/>
        </w:pPr>
      </w:lvl>
    </w:lvlOverride>
  </w:num>
  <w:num w:numId="8">
    <w:abstractNumId w:val="3"/>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intPostScriptOverText/>
  <w:bordersDoNotSurroundHeader/>
  <w:bordersDoNotSurroundFooter/>
  <w:attachedTemplate r:id="rId1"/>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5115"/>
    <w:rsid w:val="00086398"/>
    <w:rsid w:val="000871DB"/>
    <w:rsid w:val="000922C5"/>
    <w:rsid w:val="0009314F"/>
    <w:rsid w:val="00093A23"/>
    <w:rsid w:val="0009582E"/>
    <w:rsid w:val="000A08FC"/>
    <w:rsid w:val="000A15F1"/>
    <w:rsid w:val="000A1617"/>
    <w:rsid w:val="000A2988"/>
    <w:rsid w:val="000A2E22"/>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5632"/>
    <w:rsid w:val="000B648A"/>
    <w:rsid w:val="000C3EEF"/>
    <w:rsid w:val="000C45E7"/>
    <w:rsid w:val="000C5956"/>
    <w:rsid w:val="000C757F"/>
    <w:rsid w:val="000C7DD4"/>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3F6E"/>
    <w:rsid w:val="001257C7"/>
    <w:rsid w:val="00125E66"/>
    <w:rsid w:val="00126AC0"/>
    <w:rsid w:val="00126C2B"/>
    <w:rsid w:val="00127A01"/>
    <w:rsid w:val="00130395"/>
    <w:rsid w:val="00130D77"/>
    <w:rsid w:val="001315E1"/>
    <w:rsid w:val="00131EF6"/>
    <w:rsid w:val="0013251D"/>
    <w:rsid w:val="0013404A"/>
    <w:rsid w:val="00134734"/>
    <w:rsid w:val="00134CBE"/>
    <w:rsid w:val="00140C30"/>
    <w:rsid w:val="00142C74"/>
    <w:rsid w:val="00143E9C"/>
    <w:rsid w:val="00145E5B"/>
    <w:rsid w:val="001461A4"/>
    <w:rsid w:val="00147319"/>
    <w:rsid w:val="00147551"/>
    <w:rsid w:val="0015012F"/>
    <w:rsid w:val="00150C2E"/>
    <w:rsid w:val="0015170D"/>
    <w:rsid w:val="001517AE"/>
    <w:rsid w:val="00154FA5"/>
    <w:rsid w:val="0015531A"/>
    <w:rsid w:val="00156508"/>
    <w:rsid w:val="00156F9D"/>
    <w:rsid w:val="00157535"/>
    <w:rsid w:val="001602E3"/>
    <w:rsid w:val="00160539"/>
    <w:rsid w:val="00161548"/>
    <w:rsid w:val="00163D88"/>
    <w:rsid w:val="0017176A"/>
    <w:rsid w:val="00172B54"/>
    <w:rsid w:val="00175E3A"/>
    <w:rsid w:val="00176874"/>
    <w:rsid w:val="0017725A"/>
    <w:rsid w:val="0018052A"/>
    <w:rsid w:val="00180952"/>
    <w:rsid w:val="0018191A"/>
    <w:rsid w:val="00183C5B"/>
    <w:rsid w:val="001843E2"/>
    <w:rsid w:val="00185B68"/>
    <w:rsid w:val="00186199"/>
    <w:rsid w:val="00187122"/>
    <w:rsid w:val="001874E3"/>
    <w:rsid w:val="001936D7"/>
    <w:rsid w:val="00194155"/>
    <w:rsid w:val="001949CA"/>
    <w:rsid w:val="00195AFC"/>
    <w:rsid w:val="001A0417"/>
    <w:rsid w:val="001A0B71"/>
    <w:rsid w:val="001A1389"/>
    <w:rsid w:val="001A3016"/>
    <w:rsid w:val="001A3914"/>
    <w:rsid w:val="001A5D39"/>
    <w:rsid w:val="001A5E45"/>
    <w:rsid w:val="001A5FA6"/>
    <w:rsid w:val="001B01D2"/>
    <w:rsid w:val="001B053A"/>
    <w:rsid w:val="001B0691"/>
    <w:rsid w:val="001B0C78"/>
    <w:rsid w:val="001B1A13"/>
    <w:rsid w:val="001B22BA"/>
    <w:rsid w:val="001B4CD1"/>
    <w:rsid w:val="001B5A1E"/>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029"/>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5552"/>
    <w:rsid w:val="00266645"/>
    <w:rsid w:val="00266E94"/>
    <w:rsid w:val="00267386"/>
    <w:rsid w:val="00267C2E"/>
    <w:rsid w:val="00267DA9"/>
    <w:rsid w:val="0027117B"/>
    <w:rsid w:val="0027191A"/>
    <w:rsid w:val="00273E5C"/>
    <w:rsid w:val="00274444"/>
    <w:rsid w:val="00275FD0"/>
    <w:rsid w:val="00280313"/>
    <w:rsid w:val="00280514"/>
    <w:rsid w:val="002819E7"/>
    <w:rsid w:val="0028293E"/>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009"/>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1674"/>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14A"/>
    <w:rsid w:val="00421624"/>
    <w:rsid w:val="00424151"/>
    <w:rsid w:val="00425A5A"/>
    <w:rsid w:val="00425FB6"/>
    <w:rsid w:val="0042652B"/>
    <w:rsid w:val="00426568"/>
    <w:rsid w:val="004268BB"/>
    <w:rsid w:val="0042785F"/>
    <w:rsid w:val="00430A5C"/>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77C6E"/>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324E6"/>
    <w:rsid w:val="005405A3"/>
    <w:rsid w:val="005450F7"/>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1E42"/>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57C1"/>
    <w:rsid w:val="005C6FF7"/>
    <w:rsid w:val="005C7D00"/>
    <w:rsid w:val="005D01A4"/>
    <w:rsid w:val="005D04DC"/>
    <w:rsid w:val="005D0BAB"/>
    <w:rsid w:val="005D1893"/>
    <w:rsid w:val="005D24AA"/>
    <w:rsid w:val="005D26E9"/>
    <w:rsid w:val="005D2CAA"/>
    <w:rsid w:val="005D2D89"/>
    <w:rsid w:val="005D4CBA"/>
    <w:rsid w:val="005E01A3"/>
    <w:rsid w:val="005E0354"/>
    <w:rsid w:val="005E6C62"/>
    <w:rsid w:val="005E6F13"/>
    <w:rsid w:val="005E726C"/>
    <w:rsid w:val="005F293E"/>
    <w:rsid w:val="005F43B9"/>
    <w:rsid w:val="005F458B"/>
    <w:rsid w:val="005F4A6A"/>
    <w:rsid w:val="005F4E28"/>
    <w:rsid w:val="005F56BA"/>
    <w:rsid w:val="005F69E7"/>
    <w:rsid w:val="0060008E"/>
    <w:rsid w:val="00601F15"/>
    <w:rsid w:val="00602321"/>
    <w:rsid w:val="006033E3"/>
    <w:rsid w:val="00606B29"/>
    <w:rsid w:val="0060758A"/>
    <w:rsid w:val="00607D0E"/>
    <w:rsid w:val="00607D16"/>
    <w:rsid w:val="006101F5"/>
    <w:rsid w:val="00610880"/>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AD1"/>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0963"/>
    <w:rsid w:val="006A120B"/>
    <w:rsid w:val="006A4828"/>
    <w:rsid w:val="006A5FE0"/>
    <w:rsid w:val="006A6D35"/>
    <w:rsid w:val="006A7C09"/>
    <w:rsid w:val="006B046C"/>
    <w:rsid w:val="006B252F"/>
    <w:rsid w:val="006B25AD"/>
    <w:rsid w:val="006B2CE8"/>
    <w:rsid w:val="006B32A4"/>
    <w:rsid w:val="006B3940"/>
    <w:rsid w:val="006C168D"/>
    <w:rsid w:val="006C26A9"/>
    <w:rsid w:val="006C3EE0"/>
    <w:rsid w:val="006C4033"/>
    <w:rsid w:val="006C5BC9"/>
    <w:rsid w:val="006C642C"/>
    <w:rsid w:val="006D249E"/>
    <w:rsid w:val="006D7386"/>
    <w:rsid w:val="006E0DAD"/>
    <w:rsid w:val="006E181E"/>
    <w:rsid w:val="006E313F"/>
    <w:rsid w:val="006F1F1A"/>
    <w:rsid w:val="006F5AC2"/>
    <w:rsid w:val="006F6C28"/>
    <w:rsid w:val="007007EB"/>
    <w:rsid w:val="00701EDB"/>
    <w:rsid w:val="00701F57"/>
    <w:rsid w:val="007032A6"/>
    <w:rsid w:val="00703E8A"/>
    <w:rsid w:val="00705B21"/>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059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127"/>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20BF"/>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1C2C"/>
    <w:rsid w:val="00863744"/>
    <w:rsid w:val="00863A9A"/>
    <w:rsid w:val="00865F74"/>
    <w:rsid w:val="008668B8"/>
    <w:rsid w:val="0086748F"/>
    <w:rsid w:val="00867B4D"/>
    <w:rsid w:val="00867CF3"/>
    <w:rsid w:val="00873101"/>
    <w:rsid w:val="00874AB5"/>
    <w:rsid w:val="00877671"/>
    <w:rsid w:val="00877A13"/>
    <w:rsid w:val="00885AD9"/>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4965"/>
    <w:rsid w:val="008F61C4"/>
    <w:rsid w:val="008F6228"/>
    <w:rsid w:val="008F7763"/>
    <w:rsid w:val="009007CB"/>
    <w:rsid w:val="009009DC"/>
    <w:rsid w:val="009010F0"/>
    <w:rsid w:val="00901162"/>
    <w:rsid w:val="00901A22"/>
    <w:rsid w:val="00901D46"/>
    <w:rsid w:val="009028E2"/>
    <w:rsid w:val="00903692"/>
    <w:rsid w:val="00904E07"/>
    <w:rsid w:val="009050AB"/>
    <w:rsid w:val="00910F55"/>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2650"/>
    <w:rsid w:val="009631C1"/>
    <w:rsid w:val="00967FFB"/>
    <w:rsid w:val="00970C69"/>
    <w:rsid w:val="00973B57"/>
    <w:rsid w:val="00973E0D"/>
    <w:rsid w:val="0097403F"/>
    <w:rsid w:val="009765C1"/>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44D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0A2B"/>
    <w:rsid w:val="00BC1A9B"/>
    <w:rsid w:val="00BC2A22"/>
    <w:rsid w:val="00BC4986"/>
    <w:rsid w:val="00BC5D75"/>
    <w:rsid w:val="00BC5E2E"/>
    <w:rsid w:val="00BC6379"/>
    <w:rsid w:val="00BC7608"/>
    <w:rsid w:val="00BC7EEF"/>
    <w:rsid w:val="00BD0B9C"/>
    <w:rsid w:val="00BD0C50"/>
    <w:rsid w:val="00BD0CA4"/>
    <w:rsid w:val="00BD1A02"/>
    <w:rsid w:val="00BD43BB"/>
    <w:rsid w:val="00BD7ADE"/>
    <w:rsid w:val="00BD7B4A"/>
    <w:rsid w:val="00BE1A85"/>
    <w:rsid w:val="00BE251D"/>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2F34"/>
    <w:rsid w:val="00C030B6"/>
    <w:rsid w:val="00C04B38"/>
    <w:rsid w:val="00C05839"/>
    <w:rsid w:val="00C05F88"/>
    <w:rsid w:val="00C067B7"/>
    <w:rsid w:val="00C10A09"/>
    <w:rsid w:val="00C121BC"/>
    <w:rsid w:val="00C13116"/>
    <w:rsid w:val="00C14D92"/>
    <w:rsid w:val="00C158BC"/>
    <w:rsid w:val="00C16739"/>
    <w:rsid w:val="00C17F3F"/>
    <w:rsid w:val="00C220EF"/>
    <w:rsid w:val="00C23B30"/>
    <w:rsid w:val="00C23BA2"/>
    <w:rsid w:val="00C260A2"/>
    <w:rsid w:val="00C30DEC"/>
    <w:rsid w:val="00C31142"/>
    <w:rsid w:val="00C312FA"/>
    <w:rsid w:val="00C31DEF"/>
    <w:rsid w:val="00C33577"/>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1B4E"/>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2451"/>
    <w:rsid w:val="00C9272C"/>
    <w:rsid w:val="00C97764"/>
    <w:rsid w:val="00C97C9B"/>
    <w:rsid w:val="00CA2F4E"/>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3F08"/>
    <w:rsid w:val="00CE41F1"/>
    <w:rsid w:val="00CE54FE"/>
    <w:rsid w:val="00CE592E"/>
    <w:rsid w:val="00CE5BC5"/>
    <w:rsid w:val="00CF16A4"/>
    <w:rsid w:val="00CF299F"/>
    <w:rsid w:val="00CF3357"/>
    <w:rsid w:val="00CF4695"/>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247"/>
    <w:rsid w:val="00D20364"/>
    <w:rsid w:val="00D2130C"/>
    <w:rsid w:val="00D21CE9"/>
    <w:rsid w:val="00D26746"/>
    <w:rsid w:val="00D26DDD"/>
    <w:rsid w:val="00D27BDC"/>
    <w:rsid w:val="00D3194F"/>
    <w:rsid w:val="00D33751"/>
    <w:rsid w:val="00D3445F"/>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87429"/>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03C8"/>
    <w:rsid w:val="00F11783"/>
    <w:rsid w:val="00F119AF"/>
    <w:rsid w:val="00F139D5"/>
    <w:rsid w:val="00F1480B"/>
    <w:rsid w:val="00F1498D"/>
    <w:rsid w:val="00F20065"/>
    <w:rsid w:val="00F2038E"/>
    <w:rsid w:val="00F211B9"/>
    <w:rsid w:val="00F22211"/>
    <w:rsid w:val="00F22297"/>
    <w:rsid w:val="00F22341"/>
    <w:rsid w:val="00F22F1D"/>
    <w:rsid w:val="00F24039"/>
    <w:rsid w:val="00F24E0E"/>
    <w:rsid w:val="00F2646E"/>
    <w:rsid w:val="00F265A5"/>
    <w:rsid w:val="00F26693"/>
    <w:rsid w:val="00F30496"/>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87EDC"/>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0794"/>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smartTagType w:name="chsdate" w:namespaceuri="urn:schemas-microsoft-com:office:smarttags"/>
  <w:shapeDefaults>
    <o:shapedefaults spidmax="2049" v:ext="edit"/>
    <o:shapelayout v:ext="edit">
      <o:idmap data="1" v:ext="edit"/>
    </o:shapelayout>
  </w:shapeDefaults>
  <w:decimalSymbol w:val="."/>
  <w:listSeparator w:val=","/>
  <w15:docId w15:val="{1E5385F9-CBC7-4839-BB43-893C032A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cs="Times New Roman" w:eastAsia="宋体" w:hAnsi="Times New Roman"/>
        <w:lang w:bidi="ar-SA" w:eastAsia="zh-CN" w:val="en-US"/>
      </w:rPr>
    </w:rPrDefault>
    <w:pPrDefault/>
  </w:docDefaults>
  <w:latentStyles w:count="371" w:defLockedState="0" w:defQFormat="0" w:defSemiHidden="0" w:defUIPriority="0" w:defUnhideWhenUsed="0">
    <w:lsdException w:name="Normal" w:qFormat="1"/>
    <w:lsdException w:name="heading 1" w:qFormat="1" w:uiPriority="99"/>
    <w:lsdException w:name="heading 2" w:qFormat="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qFormat="1"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6A4828"/>
    <w:pPr>
      <w:widowControl w:val="0"/>
      <w:jc w:val="both"/>
    </w:pPr>
    <w:rPr>
      <w:kern w:val="2"/>
      <w:sz w:val="21"/>
      <w:szCs w:val="24"/>
    </w:rPr>
  </w:style>
  <w:style w:styleId="1" w:type="paragraph">
    <w:name w:val="heading 1"/>
    <w:basedOn w:val="a"/>
    <w:next w:val="a"/>
    <w:link w:val="1Char"/>
    <w:uiPriority w:val="99"/>
    <w:qFormat/>
    <w:rsid w:val="00180952"/>
    <w:pPr>
      <w:keepNext/>
      <w:keepLines/>
      <w:spacing w:after="330" w:before="340" w:line="578" w:lineRule="auto"/>
      <w:outlineLvl w:val="0"/>
    </w:pPr>
    <w:rPr>
      <w:b/>
      <w:bCs/>
      <w:kern w:val="44"/>
      <w:sz w:val="44"/>
      <w:szCs w:val="44"/>
    </w:rPr>
  </w:style>
  <w:style w:styleId="2" w:type="paragraph">
    <w:name w:val="heading 2"/>
    <w:basedOn w:val="a"/>
    <w:next w:val="a0"/>
    <w:qFormat/>
    <w:rsid w:val="006A4828"/>
    <w:pPr>
      <w:keepNext/>
      <w:keepLines/>
      <w:spacing w:after="260" w:before="260" w:line="360" w:lineRule="auto"/>
      <w:outlineLvl w:val="1"/>
    </w:pPr>
    <w:rPr>
      <w:rFonts w:ascii="Arial" w:cs="Arial" w:hAnsi="Arial"/>
      <w:b/>
      <w:bCs/>
      <w:sz w:val="24"/>
      <w:szCs w:val="28"/>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uiPriority w:val="99"/>
    <w:rsid w:val="006A4828"/>
    <w:pPr>
      <w:ind w:firstLine="420" w:firstLineChars="200"/>
    </w:pPr>
  </w:style>
  <w:style w:styleId="a4" w:type="paragraph">
    <w:name w:val="Body Text Indent"/>
    <w:basedOn w:val="a"/>
    <w:rsid w:val="006A4828"/>
    <w:pPr>
      <w:widowControl/>
      <w:spacing w:after="100" w:afterAutospacing="1" w:before="100" w:beforeAutospacing="1"/>
      <w:jc w:val="left"/>
    </w:pPr>
    <w:rPr>
      <w:rFonts w:ascii="Arial Unicode MS" w:cs="Arial Unicode MS" w:eastAsia="Arial Unicode MS" w:hAnsi="Arial Unicode MS"/>
      <w:kern w:val="0"/>
      <w:sz w:val="24"/>
    </w:rPr>
  </w:style>
  <w:style w:styleId="a5" w:type="paragraph">
    <w:name w:val="Plain Text"/>
    <w:basedOn w:val="a"/>
    <w:link w:val="Char"/>
    <w:uiPriority w:val="99"/>
    <w:rsid w:val="006A4828"/>
    <w:rPr>
      <w:rFonts w:ascii="宋体" w:hAnsi="Courier New"/>
      <w:szCs w:val="21"/>
    </w:rPr>
  </w:style>
  <w:style w:styleId="20" w:type="paragraph">
    <w:name w:val="Body Text Indent 2"/>
    <w:basedOn w:val="a"/>
    <w:rsid w:val="006A4828"/>
    <w:pPr>
      <w:spacing w:line="560" w:lineRule="exact"/>
      <w:ind w:firstLine="480" w:firstLineChars="200"/>
    </w:pPr>
    <w:rPr>
      <w:rFonts w:ascii="宋体" w:hAnsi="宋体"/>
      <w:color w:val="FF0000"/>
      <w:sz w:val="24"/>
    </w:rPr>
  </w:style>
  <w:style w:styleId="a6" w:type="paragraph">
    <w:name w:val="footer"/>
    <w:basedOn w:val="a"/>
    <w:rsid w:val="006A4828"/>
    <w:pPr>
      <w:tabs>
        <w:tab w:pos="4153" w:val="center"/>
        <w:tab w:pos="8306" w:val="right"/>
      </w:tabs>
      <w:snapToGrid w:val="0"/>
      <w:jc w:val="left"/>
    </w:pPr>
    <w:rPr>
      <w:sz w:val="18"/>
      <w:szCs w:val="18"/>
    </w:rPr>
  </w:style>
  <w:style w:styleId="a7" w:type="character">
    <w:name w:val="page number"/>
    <w:basedOn w:val="a1"/>
    <w:rsid w:val="006A4828"/>
  </w:style>
  <w:style w:styleId="a8" w:type="character">
    <w:name w:val="Hyperlink"/>
    <w:basedOn w:val="a1"/>
    <w:rsid w:val="006A4828"/>
    <w:rPr>
      <w:color w:val="0000FF"/>
      <w:u w:val="single"/>
    </w:rPr>
  </w:style>
  <w:style w:styleId="3" w:type="paragraph">
    <w:name w:val="Body Text Indent 3"/>
    <w:basedOn w:val="a"/>
    <w:rsid w:val="006A4828"/>
    <w:pPr>
      <w:spacing w:line="560" w:lineRule="exact"/>
      <w:ind w:firstLine="420" w:firstLineChars="200"/>
    </w:pPr>
    <w:rPr>
      <w:rFonts w:ascii="Arial" w:cs="Arial" w:hAnsi="Arial"/>
      <w:color w:val="FF0000"/>
    </w:rPr>
  </w:style>
  <w:style w:styleId="a9" w:type="paragraph">
    <w:name w:val="header"/>
    <w:basedOn w:val="a"/>
    <w:link w:val="Char0"/>
    <w:uiPriority w:val="99"/>
    <w:rsid w:val="006A4828"/>
    <w:pPr>
      <w:pBdr>
        <w:bottom w:color="auto" w:space="1" w:sz="6" w:val="single"/>
      </w:pBdr>
      <w:tabs>
        <w:tab w:pos="4153" w:val="center"/>
        <w:tab w:pos="8306" w:val="right"/>
      </w:tabs>
      <w:snapToGrid w:val="0"/>
      <w:jc w:val="center"/>
    </w:pPr>
    <w:rPr>
      <w:sz w:val="18"/>
      <w:szCs w:val="18"/>
    </w:rPr>
  </w:style>
  <w:style w:customStyle="1" w:styleId="10" w:type="character">
    <w:name w:val="已访问的超链接1"/>
    <w:basedOn w:val="a1"/>
    <w:rsid w:val="006A4828"/>
    <w:rPr>
      <w:color w:val="800080"/>
      <w:u w:val="single"/>
    </w:rPr>
  </w:style>
  <w:style w:styleId="aa" w:type="paragraph">
    <w:name w:val="List"/>
    <w:basedOn w:val="ab"/>
    <w:rsid w:val="006A4828"/>
    <w:pPr>
      <w:spacing w:after="220" w:line="220" w:lineRule="atLeast"/>
      <w:ind w:hanging="360" w:left="1440"/>
    </w:pPr>
    <w:rPr>
      <w:szCs w:val="20"/>
    </w:rPr>
  </w:style>
  <w:style w:styleId="ab" w:type="paragraph">
    <w:name w:val="Body Text"/>
    <w:basedOn w:val="a"/>
    <w:rsid w:val="006A4828"/>
    <w:pPr>
      <w:spacing w:after="120"/>
    </w:pPr>
  </w:style>
  <w:style w:styleId="ac" w:type="paragraph">
    <w:name w:val="Date"/>
    <w:basedOn w:val="a"/>
    <w:next w:val="a"/>
    <w:link w:val="Char1"/>
    <w:rsid w:val="006A4828"/>
    <w:rPr>
      <w:sz w:val="24"/>
      <w:szCs w:val="20"/>
    </w:rPr>
  </w:style>
  <w:style w:customStyle="1" w:styleId="c1" w:type="character">
    <w:name w:val="c1"/>
    <w:basedOn w:val="a1"/>
    <w:rsid w:val="006A4828"/>
    <w:rPr>
      <w:color w:val="000000"/>
      <w:sz w:val="18"/>
      <w:szCs w:val="18"/>
    </w:rPr>
  </w:style>
  <w:style w:styleId="11" w:type="paragraph">
    <w:name w:val="index 1"/>
    <w:basedOn w:val="a"/>
    <w:next w:val="a"/>
    <w:autoRedefine/>
    <w:semiHidden/>
    <w:rsid w:val="006A4828"/>
    <w:pPr>
      <w:jc w:val="right"/>
    </w:pPr>
    <w:rPr>
      <w:color w:val="008000"/>
    </w:rPr>
  </w:style>
  <w:style w:customStyle="1" w:styleId="font5" w:type="paragraph">
    <w:name w:val="font5"/>
    <w:basedOn w:val="a"/>
    <w:rsid w:val="006A4828"/>
    <w:pPr>
      <w:widowControl/>
      <w:spacing w:after="100" w:afterAutospacing="1" w:before="100" w:beforeAutospacing="1"/>
      <w:jc w:val="left"/>
    </w:pPr>
    <w:rPr>
      <w:rFonts w:ascii="宋体" w:cs="Arial Unicode MS" w:hAnsi="宋体" w:hint="eastAsia"/>
      <w:kern w:val="0"/>
      <w:sz w:val="18"/>
      <w:szCs w:val="18"/>
    </w:rPr>
  </w:style>
  <w:style w:customStyle="1" w:styleId="xl24" w:type="paragraph">
    <w:name w:val="xl24"/>
    <w:basedOn w:val="a"/>
    <w:rsid w:val="006A4828"/>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rsid w:val="006A4828"/>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rPr>
  </w:style>
  <w:style w:customStyle="1" w:styleId="xl26" w:type="paragraph">
    <w:name w:val="xl26"/>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7" w:type="paragraph">
    <w:name w:val="xl27"/>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rsid w:val="006A4828"/>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9" w:type="paragraph">
    <w:name w:val="xl29"/>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0" w:type="paragraph">
    <w:name w:val="xl30"/>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1" w:type="paragraph">
    <w:name w:val="xl31"/>
    <w:basedOn w:val="a"/>
    <w:rsid w:val="006A4828"/>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rsid w:val="006A4828"/>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rsid w:val="006A4828"/>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rsid w:val="006A4828"/>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styleId="ad" w:type="paragraph">
    <w:name w:val="Balloon Text"/>
    <w:basedOn w:val="a"/>
    <w:semiHidden/>
    <w:rsid w:val="006A4828"/>
    <w:rPr>
      <w:sz w:val="18"/>
      <w:szCs w:val="18"/>
    </w:rPr>
  </w:style>
  <w:style w:styleId="ae" w:type="character">
    <w:name w:val="annotation reference"/>
    <w:basedOn w:val="a1"/>
    <w:uiPriority w:val="99"/>
    <w:semiHidden/>
    <w:rsid w:val="006A4828"/>
    <w:rPr>
      <w:sz w:val="21"/>
      <w:szCs w:val="21"/>
    </w:rPr>
  </w:style>
  <w:style w:styleId="af" w:type="paragraph">
    <w:name w:val="annotation text"/>
    <w:basedOn w:val="a"/>
    <w:link w:val="Char2"/>
    <w:uiPriority w:val="99"/>
    <w:semiHidden/>
    <w:rsid w:val="006A4828"/>
    <w:pPr>
      <w:jc w:val="left"/>
    </w:pPr>
  </w:style>
  <w:style w:styleId="af0" w:type="paragraph">
    <w:name w:val="annotation subject"/>
    <w:basedOn w:val="af"/>
    <w:next w:val="af"/>
    <w:semiHidden/>
    <w:rsid w:val="006A4828"/>
    <w:rPr>
      <w:b/>
      <w:bCs/>
    </w:rPr>
  </w:style>
  <w:style w:customStyle="1" w:styleId="Char3" w:type="paragraph">
    <w:name w:val="Char"/>
    <w:basedOn w:val="a"/>
    <w:rsid w:val="006A4828"/>
  </w:style>
  <w:style w:styleId="af1" w:type="paragraph">
    <w:name w:val="Document Map"/>
    <w:basedOn w:val="a"/>
    <w:semiHidden/>
    <w:rsid w:val="000A549A"/>
    <w:pPr>
      <w:shd w:color="auto" w:fill="000080" w:val="clear"/>
    </w:pPr>
  </w:style>
  <w:style w:styleId="af2" w:type="table">
    <w:name w:val="Table Grid"/>
    <w:basedOn w:val="a2"/>
    <w:qFormat/>
    <w:rsid w:val="009A31AF"/>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af3" w:type="paragraph">
    <w:name w:val="footnote text"/>
    <w:basedOn w:val="a"/>
    <w:link w:val="Char4"/>
    <w:rsid w:val="000B251E"/>
    <w:pPr>
      <w:snapToGrid w:val="0"/>
      <w:jc w:val="left"/>
    </w:pPr>
    <w:rPr>
      <w:sz w:val="18"/>
      <w:szCs w:val="18"/>
    </w:rPr>
  </w:style>
  <w:style w:styleId="af4" w:type="character">
    <w:name w:val="footnote reference"/>
    <w:basedOn w:val="a1"/>
    <w:rsid w:val="000B251E"/>
    <w:rPr>
      <w:vertAlign w:val="superscript"/>
    </w:rPr>
  </w:style>
  <w:style w:styleId="af5" w:type="paragraph">
    <w:name w:val="Normal (Web)"/>
    <w:basedOn w:val="a"/>
    <w:rsid w:val="00B25807"/>
    <w:pPr>
      <w:widowControl/>
      <w:spacing w:after="100" w:afterAutospacing="1" w:before="100" w:beforeAutospacing="1"/>
      <w:jc w:val="left"/>
    </w:pPr>
    <w:rPr>
      <w:rFonts w:ascii="宋体" w:hAnsi="宋体"/>
      <w:kern w:val="0"/>
      <w:sz w:val="24"/>
    </w:rPr>
  </w:style>
  <w:style w:customStyle="1" w:styleId="Char5" w:type="paragraph">
    <w:name w:val="Char"/>
    <w:basedOn w:val="a"/>
    <w:rsid w:val="00D97213"/>
  </w:style>
  <w:style w:customStyle="1" w:styleId="5" w:type="numbering">
    <w:name w:val="样式5"/>
    <w:rsid w:val="00952A72"/>
    <w:pPr>
      <w:numPr>
        <w:numId w:val="8"/>
      </w:numPr>
    </w:pPr>
  </w:style>
  <w:style w:customStyle="1" w:styleId="t1" w:type="character">
    <w:name w:val="t1"/>
    <w:basedOn w:val="a1"/>
    <w:rsid w:val="002D2A00"/>
    <w:rPr>
      <w:color w:val="990000"/>
    </w:rPr>
  </w:style>
  <w:style w:customStyle="1" w:styleId="Char" w:type="character">
    <w:name w:val="纯文本 Char"/>
    <w:basedOn w:val="a1"/>
    <w:link w:val="a5"/>
    <w:uiPriority w:val="99"/>
    <w:rsid w:val="009A045B"/>
    <w:rPr>
      <w:rFonts w:ascii="宋体" w:hAnsi="Courier New"/>
      <w:kern w:val="2"/>
      <w:sz w:val="21"/>
      <w:szCs w:val="21"/>
    </w:rPr>
  </w:style>
  <w:style w:customStyle="1" w:styleId="Char4" w:type="character">
    <w:name w:val="脚注文本 Char"/>
    <w:basedOn w:val="a1"/>
    <w:link w:val="af3"/>
    <w:rsid w:val="00CB481C"/>
    <w:rPr>
      <w:kern w:val="2"/>
      <w:sz w:val="18"/>
      <w:szCs w:val="18"/>
    </w:rPr>
  </w:style>
  <w:style w:customStyle="1" w:styleId="Default" w:type="paragraph">
    <w:name w:val="Default"/>
    <w:rsid w:val="00CB481C"/>
    <w:pPr>
      <w:widowControl w:val="0"/>
      <w:autoSpaceDE w:val="0"/>
      <w:autoSpaceDN w:val="0"/>
      <w:adjustRightInd w:val="0"/>
    </w:pPr>
    <w:rPr>
      <w:rFonts w:ascii="FangSong" w:cs="FangSong" w:hAnsi="FangSong"/>
      <w:color w:val="000000"/>
      <w:sz w:val="24"/>
      <w:szCs w:val="24"/>
    </w:rPr>
  </w:style>
  <w:style w:customStyle="1" w:styleId="Char0" w:type="character">
    <w:name w:val="页眉 Char"/>
    <w:basedOn w:val="a1"/>
    <w:link w:val="a9"/>
    <w:uiPriority w:val="99"/>
    <w:rsid w:val="001207F2"/>
    <w:rPr>
      <w:kern w:val="2"/>
      <w:sz w:val="18"/>
      <w:szCs w:val="18"/>
    </w:rPr>
  </w:style>
  <w:style w:customStyle="1" w:styleId="1Char" w:type="character">
    <w:name w:val="标题 1 Char"/>
    <w:basedOn w:val="a1"/>
    <w:link w:val="1"/>
    <w:uiPriority w:val="99"/>
    <w:rsid w:val="00180952"/>
    <w:rPr>
      <w:b/>
      <w:bCs/>
      <w:kern w:val="44"/>
      <w:sz w:val="44"/>
      <w:szCs w:val="44"/>
    </w:rPr>
  </w:style>
  <w:style w:customStyle="1" w:styleId="Char1" w:type="character">
    <w:name w:val="日期 Char"/>
    <w:basedOn w:val="a1"/>
    <w:link w:val="ac"/>
    <w:rsid w:val="00D66685"/>
    <w:rPr>
      <w:kern w:val="2"/>
      <w:sz w:val="24"/>
    </w:rPr>
  </w:style>
  <w:style w:styleId="af6" w:type="character">
    <w:name w:val="Strong"/>
    <w:basedOn w:val="a1"/>
    <w:uiPriority w:val="22"/>
    <w:qFormat/>
    <w:rsid w:val="00C02900"/>
    <w:rPr>
      <w:b/>
      <w:bCs/>
    </w:rPr>
  </w:style>
  <w:style w:customStyle="1" w:styleId="Char2" w:type="character">
    <w:name w:val="批注文字 Char"/>
    <w:basedOn w:val="a1"/>
    <w:link w:val="af"/>
    <w:uiPriority w:val="99"/>
    <w:semiHidden/>
    <w:rsid w:val="00C51B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media/image1.jpeg" Type="http://schemas.openxmlformats.org/officeDocument/2006/relationships/image"/>
<Relationship Id="rId15" Target="media/image2.jpeg" Type="http://schemas.openxmlformats.org/officeDocument/2006/relationships/image"/>
<Relationship Id="rId16" Target="footer4.xml" Type="http://schemas.openxmlformats.org/officeDocument/2006/relationships/footer"/>
<Relationship Id="rId17" Target="fontTable.xml" Type="http://schemas.openxmlformats.org/officeDocument/2006/relationships/fontTable"/>
<Relationship Id="rId18"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_rels/settings.xml.rels><?xml version="1.0" encoding="UTF-8" standalone="yes"?>
<Relationships xmlns="http://schemas.openxmlformats.org/package/2006/relationships">
<Relationship Id="rId1" Target="file:///C:/Users/Administrator/Desktop/abc&#23395;&#25253;.dot" TargetMode="External" Type="http://schemas.openxmlformats.org/officeDocument/2006/relationships/attachedTemplat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82FB8-C167-4963-8B27-9929FDC0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254</TotalTime>
  <Pages>27</Pages>
  <Words>4295</Words>
  <Characters>24488</Characters>
  <Application>Microsoft Office Word</Application>
  <DocSecurity>0</DocSecurity>
  <Lines>204</Lines>
  <Paragraphs>57</Paragraphs>
  <ScaleCrop>false</ScaleCrop>
  <Company>TRT. Ltd. Co.</Company>
  <LinksUpToDate>false</LinksUpToDate>
  <CharactersWithSpaces>28726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2014-01-17T06:19:00Z</dcterms:created>
  <dc:creator>bonnieliu</dc:creator>
  <cp:lastModifiedBy>业务系统</cp:lastModifiedBy>
  <cp:lastPrinted>2007-07-19T00:46:00Z</cp:lastPrinted>
  <dcterms:modified xsi:type="dcterms:W3CDTF">2020-03-05T08:23:00Z</dcterms:modified>
  <cp:revision>404</cp:revision>
</cp:coreProperties>
</file>