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交银施罗德天鑫宝货币市场基金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2020年第2季度报告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2020年6月30日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兴业银行股份有限公司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proofErr w:type="gramStart"/>
      <w:r w:rsidR="00EF56FA" w:rsidRPr="001E1B20">
        <w:rPr>
          <w:b/>
          <w:color w:val="000000"/>
          <w:sz w:val="24"/>
        </w:rPr>
        <w:t/>
      </w:r>
      <w:r w:rsidR="00D87D00" w:rsidRPr="001E1B20">
        <w:rPr>
          <w:b/>
          <w:color w:val="000000"/>
          <w:sz w:val="24"/>
        </w:rPr>
        <w:t/>
      </w:r>
      <w:proofErr w:type="spellEnd"/>
      <w:proofErr w:type="gramEnd"/>
      <w:r w:rsidR="00EF56FA" w:rsidRPr="001E1B20">
        <w:rPr>
          <w:b/>
          <w:color w:val="000000"/>
          <w:sz w:val="24"/>
        </w:rPr>
        <w:t>二〇二〇年七月二十一日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基金托管人兴业银行股份有限公司根据本基金合同规定，于2020年7月20日复核了本报告中的财务指标、净值表现和投资组合报告等内容，保证复核内容不存在虚假记载、误导性陈述或者重大遗漏。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本报告期自2020年4月1日起至6月30日止。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交银天鑫宝货币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003482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2016年12月7日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27,819,695,209.98</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兴业银行股份有限公司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交银天鑫宝货币A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交银天鑫宝货币E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003482</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003483</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proofErr w:type="spellStart"/>
            <w:r w:rsidR="004702DF" w:rsidRPr="000E4C40">
              <w:rPr>
                <w:color w:val="000000"/>
                <w:kern w:val="0"/>
                <w:sz w:val="24"/>
              </w:rPr>
              <w:t/>
            </w:r>
            <w:proofErr w:type="spellEnd"/>
            <w:r w:rsidRPr="000E4C40">
              <w:rPr>
                <w:sz w:val="24"/>
              </w:rPr>
              <w:t/>
            </w:r>
            <w:r w:rsidR="007B082A" w:rsidRPr="000E4C40">
              <w:rPr>
                <w:sz w:val="24"/>
              </w:rPr>
              <w:t/>
            </w:r>
            <w:r w:rsidRPr="000E4C40">
              <w:rPr>
                <w:sz w:val="24"/>
              </w:rPr>
              <w:t>30,417,299.06</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27,789,277,910.92</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2020年4月1日-</w:t>
            </w:r>
            <w:proofErr w:type="spellStart"/>
            <w:r w:rsidRPr="000E4C40">
              <w:rPr>
                <w:color w:val="000000"/>
                <w:sz w:val="24"/>
              </w:rPr>
              <w:t/>
            </w:r>
            <w:proofErr w:type="spellEnd"/>
            <w:r w:rsidRPr="000E4C40">
              <w:rPr>
                <w:color w:val="000000"/>
                <w:sz w:val="24"/>
              </w:rPr>
              <w:t>2020年6月30日)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sz w:val="24"/>
              </w:rPr>
              <w:t/>
            </w:r>
            <w:proofErr w:type="spellEnd"/>
            <w:r w:rsidRPr="000E4C40">
              <w:rPr>
                <w:sz w:val="24"/>
              </w:rPr>
              <w:t>交银天鑫宝货币A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交银天鑫宝货币E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734,776.58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134,206,776.28</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734,776.58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134,206,776.28</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30,417,299.06</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27,789,277,910.92</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24424F" w:rsidRPr="000E4C40">
        <w:rPr>
          <w:rFonts w:ascii="Times New Roman" w:hAnsi="Times New Roman"/>
          <w:b/>
          <w:color w:val="auto"/>
        </w:rPr>
        <w:t/>
      </w:r>
      <w:proofErr w:type="spellEnd"/>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交银天鑫宝货币A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0.4821%</w:t>
            </w:r>
          </w:p>
        </w:tc>
        <w:tc>
          <w:tcPr>
            <w:vAlign w:val="center"/>
          </w:tcPr>
          <w:p>
            <w:pPr>
              <w:jc w:val="center"/>
            </w:pPr>
            <w:r>
              <w:rPr>
                <w:rFonts w:ascii="Times New Roman" w:hAnsi="Times New Roman"/>
                <w:color w:val="000000"/>
              </w:rPr>
              <w:t>0.0004%</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0.3948%</w:t>
            </w:r>
          </w:p>
        </w:tc>
        <w:tc>
          <w:tcPr>
            <w:vAlign w:val="center"/>
          </w:tcPr>
          <w:p>
            <w:pPr>
              <w:jc w:val="center"/>
            </w:pPr>
            <w:r>
              <w:rPr>
                <w:rFonts w:ascii="Times New Roman" w:hAnsi="Times New Roman"/>
                <w:color w:val="000000"/>
              </w:rPr>
              <w:t>0.0004%</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1.1297%</w:t>
            </w:r>
          </w:p>
        </w:tc>
        <w:tc>
          <w:tcPr>
            <w:vAlign w:val="center"/>
          </w:tcPr>
          <w:p>
            <w:pPr>
              <w:jc w:val="center"/>
            </w:pPr>
            <w:r>
              <w:rPr>
                <w:rFonts w:ascii="Times New Roman" w:hAnsi="Times New Roman"/>
                <w:color w:val="000000"/>
              </w:rPr>
              <w:t>0.0010%</w:t>
            </w:r>
          </w:p>
        </w:tc>
        <w:tc>
          <w:tcPr>
            <w:vAlign w:val="center"/>
          </w:tcPr>
          <w:p>
            <w:pPr>
              <w:jc w:val="center"/>
            </w:pPr>
            <w:r>
              <w:rPr>
                <w:rFonts w:ascii="Times New Roman" w:hAnsi="Times New Roman"/>
                <w:color w:val="000000"/>
              </w:rPr>
              <w:t>0.1745%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0.9552%</w:t>
            </w:r>
          </w:p>
        </w:tc>
        <w:tc>
          <w:tcPr>
            <w:vAlign w:val="center"/>
          </w:tcPr>
          <w:p>
            <w:pPr>
              <w:jc w:val="center"/>
            </w:pPr>
            <w:r>
              <w:rPr>
                <w:rFonts w:ascii="Times New Roman" w:hAnsi="Times New Roman"/>
                <w:color w:val="000000"/>
              </w:rPr>
              <w:t>0.0010%</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2.4108%</w:t>
            </w:r>
          </w:p>
        </w:tc>
        <w:tc>
          <w:tcPr>
            <w:vAlign w:val="center"/>
          </w:tcPr>
          <w:p>
            <w:pPr>
              <w:jc w:val="center"/>
            </w:pPr>
            <w:r>
              <w:rPr>
                <w:rFonts w:ascii="Times New Roman" w:hAnsi="Times New Roman"/>
                <w:color w:val="000000"/>
              </w:rPr>
              <w:t>0.0009%</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2.0598%</w:t>
            </w:r>
          </w:p>
        </w:tc>
        <w:tc>
          <w:tcPr>
            <w:vAlign w:val="center"/>
          </w:tcPr>
          <w:p>
            <w:pPr>
              <w:jc w:val="center"/>
            </w:pPr>
            <w:r>
              <w:rPr>
                <w:rFonts w:ascii="Times New Roman" w:hAnsi="Times New Roman"/>
                <w:color w:val="000000"/>
              </w:rPr>
              <w:t>0.0009%</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9.5726%</w:t>
            </w:r>
          </w:p>
        </w:tc>
        <w:tc>
          <w:tcPr>
            <w:vAlign w:val="center"/>
          </w:tcPr>
          <w:p>
            <w:pPr>
              <w:jc w:val="center"/>
            </w:pPr>
            <w:r>
              <w:rPr>
                <w:rFonts w:ascii="Times New Roman" w:hAnsi="Times New Roman"/>
                <w:color w:val="000000"/>
              </w:rPr>
              <w:t>0.0023%</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8.5216%</w:t>
            </w:r>
          </w:p>
        </w:tc>
        <w:tc>
          <w:tcPr>
            <w:vAlign w:val="center"/>
          </w:tcPr>
          <w:p>
            <w:pPr>
              <w:jc w:val="center"/>
            </w:pPr>
            <w:r>
              <w:rPr>
                <w:rFonts w:ascii="Times New Roman" w:hAnsi="Times New Roman"/>
                <w:color w:val="000000"/>
              </w:rPr>
              <w:t>0.0023%</w:t>
            </w:r>
          </w:p>
        </w:tc>
      </w:tr>
      <w:tr>
        <w:tc>
          <w:tcPr>
            <w:vAlign w:val="center"/>
          </w:tcPr>
          <w:p>
            <w:pPr>
              <w:jc w:val="left"/>
            </w:pPr>
            <w:r>
              <w:rPr>
                <w:rFonts w:ascii="Times New Roman" w:hAnsi="Times New Roman"/>
                <w:color w:val="000000"/>
              </w:rPr>
              <w:t>自基金合同生效起至今</w:t>
            </w:r>
          </w:p>
        </w:tc>
        <w:tc>
          <w:tcPr>
            <w:vAlign w:val="center"/>
          </w:tcPr>
          <w:p>
            <w:pPr>
              <w:jc w:val="center"/>
            </w:pPr>
            <w:r>
              <w:rPr>
                <w:rFonts w:ascii="Times New Roman" w:hAnsi="Times New Roman"/>
                <w:color w:val="000000"/>
              </w:rPr>
              <w:t>11.5499%</w:t>
            </w:r>
          </w:p>
        </w:tc>
        <w:tc>
          <w:tcPr>
            <w:vAlign w:val="center"/>
          </w:tcPr>
          <w:p>
            <w:pPr>
              <w:jc w:val="center"/>
            </w:pPr>
            <w:r>
              <w:rPr>
                <w:rFonts w:ascii="Times New Roman" w:hAnsi="Times New Roman"/>
                <w:color w:val="000000"/>
              </w:rPr>
              <w:t>0.0027%</w:t>
            </w:r>
          </w:p>
        </w:tc>
        <w:tc>
          <w:tcPr>
            <w:vAlign w:val="center"/>
          </w:tcPr>
          <w:p>
            <w:pPr>
              <w:jc w:val="center"/>
            </w:pPr>
            <w:r>
              <w:rPr>
                <w:rFonts w:ascii="Times New Roman" w:hAnsi="Times New Roman"/>
                <w:color w:val="000000"/>
              </w:rPr>
              <w:t>1.2485%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10.3014%</w:t>
            </w:r>
          </w:p>
        </w:tc>
        <w:tc>
          <w:tcPr>
            <w:vAlign w:val="center"/>
          </w:tcPr>
          <w:p>
            <w:pPr>
              <w:jc w:val="center"/>
            </w:pPr>
            <w:r>
              <w:rPr>
                <w:rFonts w:ascii="Times New Roman" w:hAnsi="Times New Roman"/>
                <w:color w:val="000000"/>
              </w:rPr>
              <w:t>0.0027%</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ED5511" w:rsidRPr="000E4C40">
        <w:rPr>
          <w:color w:val="000000"/>
          <w:sz w:val="24"/>
        </w:rPr>
        <w:t/>
      </w:r>
      <w:r w:rsidRPr="000E4C40">
        <w:rPr>
          <w:color w:val="000000"/>
          <w:sz w:val="24"/>
        </w:rPr>
        <w:t/>
      </w:r>
      <w:proofErr w:type="gramEnd"/>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交银天鑫宝货币E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0.5442%</w:t>
            </w:r>
          </w:p>
        </w:tc>
        <w:tc>
          <w:tcPr>
            <w:vAlign w:val="center"/>
          </w:tcPr>
          <w:p>
            <w:pPr>
              <w:jc w:val="center"/>
            </w:pPr>
            <w:r>
              <w:rPr>
                <w:rFonts w:ascii="Times New Roman" w:hAnsi="Times New Roman"/>
                <w:color w:val="000000"/>
              </w:rPr>
              <w:t>0.0004%</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0.4569%</w:t>
            </w:r>
          </w:p>
        </w:tc>
        <w:tc>
          <w:tcPr>
            <w:vAlign w:val="center"/>
          </w:tcPr>
          <w:p>
            <w:pPr>
              <w:jc w:val="center"/>
            </w:pPr>
            <w:r>
              <w:rPr>
                <w:rFonts w:ascii="Times New Roman" w:hAnsi="Times New Roman"/>
                <w:color w:val="000000"/>
              </w:rPr>
              <w:t>0.0004%</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1.2524%</w:t>
            </w:r>
          </w:p>
        </w:tc>
        <w:tc>
          <w:tcPr>
            <w:vAlign w:val="center"/>
          </w:tcPr>
          <w:p>
            <w:pPr>
              <w:jc w:val="center"/>
            </w:pPr>
            <w:r>
              <w:rPr>
                <w:rFonts w:ascii="Times New Roman" w:hAnsi="Times New Roman"/>
                <w:color w:val="000000"/>
              </w:rPr>
              <w:t>0.0010%</w:t>
            </w:r>
          </w:p>
        </w:tc>
        <w:tc>
          <w:tcPr>
            <w:vAlign w:val="center"/>
          </w:tcPr>
          <w:p>
            <w:pPr>
              <w:jc w:val="center"/>
            </w:pPr>
            <w:r>
              <w:rPr>
                <w:rFonts w:ascii="Times New Roman" w:hAnsi="Times New Roman"/>
                <w:color w:val="000000"/>
              </w:rPr>
              <w:t>0.1745%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1.0779%</w:t>
            </w:r>
          </w:p>
        </w:tc>
        <w:tc>
          <w:tcPr>
            <w:vAlign w:val="center"/>
          </w:tcPr>
          <w:p>
            <w:pPr>
              <w:jc w:val="center"/>
            </w:pPr>
            <w:r>
              <w:rPr>
                <w:rFonts w:ascii="Times New Roman" w:hAnsi="Times New Roman"/>
                <w:color w:val="000000"/>
              </w:rPr>
              <w:t>0.0010%</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2.6595%</w:t>
            </w:r>
          </w:p>
        </w:tc>
        <w:tc>
          <w:tcPr>
            <w:vAlign w:val="center"/>
          </w:tcPr>
          <w:p>
            <w:pPr>
              <w:jc w:val="center"/>
            </w:pPr>
            <w:r>
              <w:rPr>
                <w:rFonts w:ascii="Times New Roman" w:hAnsi="Times New Roman"/>
                <w:color w:val="000000"/>
              </w:rPr>
              <w:t>0.0008%</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2.3085%</w:t>
            </w:r>
          </w:p>
        </w:tc>
        <w:tc>
          <w:tcPr>
            <w:vAlign w:val="center"/>
          </w:tcPr>
          <w:p>
            <w:pPr>
              <w:jc w:val="center"/>
            </w:pPr>
            <w:r>
              <w:rPr>
                <w:rFonts w:ascii="Times New Roman" w:hAnsi="Times New Roman"/>
                <w:color w:val="000000"/>
              </w:rPr>
              <w:t>0.0008%</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10.3688%</w:t>
            </w:r>
          </w:p>
        </w:tc>
        <w:tc>
          <w:tcPr>
            <w:vAlign w:val="center"/>
          </w:tcPr>
          <w:p>
            <w:pPr>
              <w:jc w:val="center"/>
            </w:pPr>
            <w:r>
              <w:rPr>
                <w:rFonts w:ascii="Times New Roman" w:hAnsi="Times New Roman"/>
                <w:color w:val="000000"/>
              </w:rPr>
              <w:t>0.0023%</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9.3178%</w:t>
            </w:r>
          </w:p>
        </w:tc>
        <w:tc>
          <w:tcPr>
            <w:vAlign w:val="center"/>
          </w:tcPr>
          <w:p>
            <w:pPr>
              <w:jc w:val="center"/>
            </w:pPr>
            <w:r>
              <w:rPr>
                <w:rFonts w:ascii="Times New Roman" w:hAnsi="Times New Roman"/>
                <w:color w:val="000000"/>
              </w:rPr>
              <w:t>0.0023%</w:t>
            </w:r>
          </w:p>
        </w:tc>
      </w:tr>
      <w:tr>
        <w:tc>
          <w:tcPr>
            <w:vAlign w:val="center"/>
          </w:tcPr>
          <w:p>
            <w:pPr>
              <w:jc w:val="left"/>
            </w:pPr>
            <w:r>
              <w:rPr>
                <w:rFonts w:ascii="Times New Roman" w:hAnsi="Times New Roman"/>
                <w:color w:val="000000"/>
              </w:rPr>
              <w:t>自基金合同生效起至今</w:t>
            </w:r>
          </w:p>
        </w:tc>
        <w:tc>
          <w:tcPr>
            <w:vAlign w:val="center"/>
          </w:tcPr>
          <w:p>
            <w:pPr>
              <w:jc w:val="center"/>
            </w:pPr>
            <w:r>
              <w:rPr>
                <w:rFonts w:ascii="Times New Roman" w:hAnsi="Times New Roman"/>
                <w:color w:val="000000"/>
              </w:rPr>
              <w:t>12.5111%</w:t>
            </w:r>
          </w:p>
        </w:tc>
        <w:tc>
          <w:tcPr>
            <w:vAlign w:val="center"/>
          </w:tcPr>
          <w:p>
            <w:pPr>
              <w:jc w:val="center"/>
            </w:pPr>
            <w:r>
              <w:rPr>
                <w:rFonts w:ascii="Times New Roman" w:hAnsi="Times New Roman"/>
                <w:color w:val="000000"/>
              </w:rPr>
              <w:t>0.0027%</w:t>
            </w:r>
          </w:p>
        </w:tc>
        <w:tc>
          <w:tcPr>
            <w:vAlign w:val="center"/>
          </w:tcPr>
          <w:p>
            <w:pPr>
              <w:jc w:val="center"/>
            </w:pPr>
            <w:r>
              <w:rPr>
                <w:rFonts w:ascii="Times New Roman" w:hAnsi="Times New Roman"/>
                <w:color w:val="000000"/>
              </w:rPr>
              <w:t>1.2485%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11.2626%</w:t>
            </w:r>
          </w:p>
        </w:tc>
        <w:tc>
          <w:tcPr>
            <w:vAlign w:val="center"/>
          </w:tcPr>
          <w:p>
            <w:pPr>
              <w:jc w:val="center"/>
            </w:pPr>
            <w:r>
              <w:rPr>
                <w:rFonts w:ascii="Times New Roman" w:hAnsi="Times New Roman"/>
                <w:color w:val="000000"/>
              </w:rPr>
              <w:t>0.0027%</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327FB0" w:rsidRPr="000E4C40">
        <w:rPr>
          <w:color w:val="000000"/>
          <w:sz w:val="24"/>
        </w:rPr>
        <w:t/>
      </w:r>
      <w:r w:rsidR="000F78F3">
        <w:rPr>
          <w:rFonts w:hint="eastAsia"/>
          <w:color w:val="000000"/>
          <w:sz w:val="24"/>
        </w:rPr>
        <w:t/>
      </w:r>
      <w:proofErr w:type="gramEnd"/>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proofErr w:type="gramStart"/>
      <w:r w:rsidRPr="000E4C40">
        <w:rPr>
          <w:sz w:val="24"/>
        </w:rPr>
        <w:t/>
      </w:r>
      <w:proofErr w:type="spellEnd"/>
      <w:proofErr w:type="gramEnd"/>
      <w:r w:rsidRPr="000E4C40">
        <w:rPr>
          <w:sz w:val="24"/>
        </w:rPr>
        <w:t>交银施罗德天鑫宝货币市场基金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2016年12月7日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2020年6月30日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交银天鑫宝货币A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proofErr w:type="gramEnd"/>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交银天鑫宝货币E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r w:rsidR="000F78F3">
        <w:rPr>
          <w:color w:val="000000"/>
          <w:sz w:val="24"/>
        </w:rPr>
        <w:t/>
      </w:r>
      <w:r w:rsidR="000F78F3">
        <w:rPr>
          <w:rFonts w:hint="eastAsia"/>
          <w:color w:val="000000"/>
          <w:sz w:val="24"/>
        </w:rPr>
        <w:t/>
      </w:r>
      <w:proofErr w:type="gramEnd"/>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季参平</w:t>
            </w:r>
          </w:p>
        </w:tc>
        <w:tc>
          <w:tcPr>
            <w:vAlign w:val="center"/>
          </w:tcPr>
          <w:p>
            <w:pPr>
              <w:jc w:val="center"/>
            </w:pPr>
            <w:r>
              <w:rPr>
                <w:color w:val="000000"/>
                <w:sz w:val="24"/>
              </w:rPr>
              <w:t>交银货币、交银裕通纯债债券、交银现金宝货币、交银天鑫宝货币的基金经理</w:t>
            </w:r>
          </w:p>
        </w:tc>
        <w:tc>
          <w:tcPr>
            <w:vAlign w:val="center"/>
          </w:tcPr>
          <w:p>
            <w:pPr>
              <w:jc w:val="center"/>
            </w:pPr>
            <w:r>
              <w:rPr>
                <w:color w:val="000000"/>
                <w:sz w:val="24"/>
              </w:rPr>
              <w:t>2019-07-26</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季参平先生，美国密歇根大学金融工程硕士、对外经济贸易大学经济学学士。2012年3月至2017年7月任瑞士银行外汇和利率交易员、联席董事。2017年加入交银施罗德基金管理有限公司，历任基金经理助理。2019年7月26日至2019年9月18日担任交银施罗德天运宝货币市场基金的基金经理。</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货币市场在总量适度的货币政策基调下边际收紧，货币市场利率呈上行态势。具体来看，四月央行决定对中小银行实施定向降准，同时调降超额准备金利率从0.72%至0.35%，月内资金利率下行明显，隔夜利率一度低至0.80%的水平，创2014年以来新低。五月初延续了四月较为宽松的资金利率情况，随后央行缩量续作MLF并未调降利率，开启了货币市场利率上行的进程。五月最后一周资金利率大幅上行，央行重启逆回购操作，但受利率债发行量较大、企业所得税汇算清缴等因素的影响，隔夜和七天利率均回到2%以上。六月货币市场利率中枢继续抬升，央行从总量目标逐步转向结构性目标：打击资金套利和空转行为，使得资金面再次趋紧，DR007上行至1.9%上方。六月共有两笔MLF到期合计7400亿，央行于月中一次性续作2000亿元，延续量缩价平的节奏，而DR007也持续逼近七天逆回购利率水平2.2%，2020年6月30日收盘报价2.30%。存单存款市场受资金面持续收紧和商业银行存单到期量较大，收益率上行幅度明显，国有股份制银行在1.40%-2.15%之间募集三月期存单。报告期内，三个月上海银行间拆借利率上行约19bps到2.126%。</w:t>
      </w:r>
    </w:p>
    <w:p>
      <w:pPr>
        <w:spacing w:before="29" w:line="288" w:lineRule="auto"/>
        <w:ind w:firstLine="480" w:firstLineChars="200"/>
        <w:rPr>
          <w:color w:val="000000"/>
          <w:sz w:val="24"/>
        </w:rPr>
      </w:pPr>
      <w:r>
        <w:rPr>
          <w:color w:val="000000"/>
          <w:sz w:val="24"/>
        </w:rPr>
        <w:t>基金操作方面，我们维持低杠杆、短久期的操作思路，多投资于估值波动较小的银行存款与回购等，组合整体流动性良好。六月末我们视组合流动性和市场情况，增配了高评级的同业存单、同业存款等，提高组合收益水平。</w:t>
      </w:r>
    </w:p>
    <w:p>
      <w:pPr>
        <w:spacing w:before="29" w:line="288" w:lineRule="auto"/>
        <w:ind w:firstLine="480" w:firstLineChars="200"/>
        <w:rPr>
          <w:color w:val="000000"/>
          <w:sz w:val="24"/>
        </w:rPr>
      </w:pPr>
      <w:r>
        <w:rPr>
          <w:color w:val="000000"/>
          <w:sz w:val="24"/>
        </w:rPr>
        <w:t>展望2020年三季度，我们将密切关注全球疫情发展和国内疫情反复对中国经济的影响，观察央行总量适度下货币政策的边际变化和财政政策发力的情况，并警惕下半年中美贸易摩擦可能出现的反复。我们认为，在全球疫情没有完全得到控制，且疫情对经济的拖累没有彻底出清前，货币市场不存在大幅收紧的条件。</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proofErr w:type="spellStart"/>
      <w:r w:rsidRPr="000F4B69">
        <w:rPr>
          <w:rFonts w:hint="eastAsia"/>
          <w:color w:val="000000"/>
          <w:kern w:val="0"/>
          <w:sz w:val="24"/>
        </w:rPr>
        <w:t/>
      </w:r>
      <w:proofErr w:type="spellEnd"/>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11,314,673,951.03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38.75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11,137,777,199.67</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38.15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176,896,751.36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0.61</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7,936,669,225.01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27.18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9,420,343,228.21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32.26</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525,569,915.64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1.80</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29,197,256,319.89</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7.73</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1,370,172,674.91</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4.93</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85</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89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71</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
      </w:r>
      <w:proofErr w:type="gramStart"/>
      <w:r w:rsidRPr="000E5695">
        <w:rPr>
          <w:kern w:val="0"/>
          <w:sz w:val="24"/>
        </w:rPr>
        <w:t/>
      </w:r>
      <w:proofErr w:type="gramEnd"/>
      <w:r w:rsidRPr="000E5695">
        <w:rPr>
          <w:kern w:val="0"/>
          <w:sz w:val="24"/>
        </w:rPr>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31.74</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4.93</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8.98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22.97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9.17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30.21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103.07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4.93</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
      </w:r>
      <w:proofErr w:type="gramStart"/>
      <w:r w:rsidRPr="00F046FB">
        <w:rPr>
          <w:rFonts w:ascii="宋体" w:hAnsi="宋体" w:hint="eastAsia"/>
          <w:color w:val="000000"/>
          <w:sz w:val="24"/>
        </w:rPr>
        <w:t/>
      </w:r>
      <w:proofErr w:type="gramEnd"/>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proofErr w:type="spellStart"/>
      <w:r w:rsidRPr="00FE3EEE">
        <w:rPr>
          <w:rFonts w:hint="eastAsia"/>
          <w:color w:val="000000"/>
          <w:kern w:val="0"/>
          <w:sz w:val="24"/>
        </w:rPr>
        <w:t/>
      </w:r>
      <w:proofErr w:type="spellEnd"/>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410,322,719.14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1.47</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1,003,106,143.15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3.61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1,003,106,143.15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3.61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120,000,900.18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0.43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9,604,347,437.20</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34.52</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11,137,777,199.67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proofErr w:type="spellStart"/>
            <w:r w:rsidRPr="000E4C40">
              <w:rPr>
                <w:color w:val="000000"/>
                <w:sz w:val="24"/>
              </w:rPr>
              <w:t/>
            </w:r>
            <w:r w:rsidRPr="000E4C40">
              <w:rPr>
                <w:color w:val="000000"/>
                <w:sz w:val="24"/>
              </w:rPr>
              <w:lastRenderedPageBreak/>
              <w:t/>
            </w:r>
            <w:proofErr w:type="spellEnd"/>
            <w:r w:rsidRPr="000E4C40">
              <w:rPr>
                <w:color w:val="000000"/>
                <w:sz w:val="24"/>
              </w:rPr>
              <w:t>40.04</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proofErr w:type="spellStart"/>
      <w:r w:rsidRPr="00E5775C">
        <w:rPr>
          <w:rFonts w:hint="eastAsia"/>
          <w:color w:val="000000"/>
          <w:kern w:val="0"/>
          <w:sz w:val="24"/>
        </w:rPr>
        <w:t/>
      </w:r>
      <w:proofErr w:type="spellEnd"/>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112021147</w:t>
            </w:r>
          </w:p>
        </w:tc>
        <w:tc>
          <w:tcPr>
            <w:vAlign w:val="center"/>
          </w:tcPr>
          <w:p>
            <w:pPr>
              <w:jc w:val="center"/>
            </w:pPr>
            <w:r>
              <w:rPr>
                <w:color w:val="000000"/>
                <w:sz w:val="24"/>
              </w:rPr>
              <w:t>20渤海银行CD147</w:t>
            </w:r>
          </w:p>
        </w:tc>
        <w:tc>
          <w:tcPr>
            <w:vAlign w:val="center"/>
          </w:tcPr>
          <w:p>
            <w:pPr>
              <w:jc w:val="right"/>
            </w:pPr>
            <w:r>
              <w:rPr>
                <w:color w:val="000000"/>
                <w:sz w:val="24"/>
              </w:rPr>
              <w:t>4,000,000</w:t>
            </w:r>
          </w:p>
        </w:tc>
        <w:tc>
          <w:tcPr>
            <w:vAlign w:val="center"/>
          </w:tcPr>
          <w:p>
            <w:pPr>
              <w:jc w:val="right"/>
            </w:pPr>
            <w:r>
              <w:rPr>
                <w:color w:val="000000"/>
                <w:sz w:val="24"/>
              </w:rPr>
              <w:t>398,066,172.67</w:t>
            </w:r>
          </w:p>
        </w:tc>
        <w:tc>
          <w:tcPr>
            <w:vAlign w:val="center"/>
          </w:tcPr>
          <w:p>
            <w:pPr>
              <w:jc w:val="right"/>
            </w:pPr>
            <w:r>
              <w:rPr>
                <w:color w:val="000000"/>
                <w:sz w:val="24"/>
              </w:rPr>
              <w:t>1.43</w:t>
            </w:r>
          </w:p>
        </w:tc>
      </w:tr>
      <w:tr>
        <w:tc>
          <w:tcPr>
            <w:vAlign w:val="center"/>
          </w:tcPr>
          <w:p>
            <w:pPr>
              <w:jc w:val="center"/>
            </w:pPr>
            <w:r>
              <w:rPr>
                <w:color w:val="000000"/>
                <w:sz w:val="24"/>
              </w:rPr>
              <w:t>2</w:t>
            </w:r>
          </w:p>
        </w:tc>
        <w:tc>
          <w:tcPr>
            <w:vAlign w:val="center"/>
          </w:tcPr>
          <w:p>
            <w:pPr>
              <w:jc w:val="center"/>
            </w:pPr>
            <w:r>
              <w:rPr>
                <w:color w:val="000000"/>
                <w:sz w:val="24"/>
              </w:rPr>
              <w:t>190012</w:t>
            </w:r>
          </w:p>
        </w:tc>
        <w:tc>
          <w:tcPr>
            <w:vAlign w:val="center"/>
          </w:tcPr>
          <w:p>
            <w:pPr>
              <w:jc w:val="center"/>
            </w:pPr>
            <w:r>
              <w:rPr>
                <w:color w:val="000000"/>
                <w:sz w:val="24"/>
              </w:rPr>
              <w:t>19附息国债12</w:t>
            </w:r>
          </w:p>
        </w:tc>
        <w:tc>
          <w:tcPr>
            <w:vAlign w:val="center"/>
          </w:tcPr>
          <w:p>
            <w:pPr>
              <w:jc w:val="right"/>
            </w:pPr>
            <w:r>
              <w:rPr>
                <w:color w:val="000000"/>
                <w:sz w:val="24"/>
              </w:rPr>
              <w:t>3,700,000</w:t>
            </w:r>
          </w:p>
        </w:tc>
        <w:tc>
          <w:tcPr>
            <w:vAlign w:val="center"/>
          </w:tcPr>
          <w:p>
            <w:pPr>
              <w:jc w:val="right"/>
            </w:pPr>
            <w:r>
              <w:rPr>
                <w:color w:val="000000"/>
                <w:sz w:val="24"/>
              </w:rPr>
              <w:t>370,449,059.96</w:t>
            </w:r>
          </w:p>
        </w:tc>
        <w:tc>
          <w:tcPr>
            <w:vAlign w:val="center"/>
          </w:tcPr>
          <w:p>
            <w:pPr>
              <w:jc w:val="right"/>
            </w:pPr>
            <w:r>
              <w:rPr>
                <w:color w:val="000000"/>
                <w:sz w:val="24"/>
              </w:rPr>
              <w:t>1.33</w:t>
            </w:r>
          </w:p>
        </w:tc>
      </w:tr>
      <w:tr>
        <w:tc>
          <w:tcPr>
            <w:vAlign w:val="center"/>
          </w:tcPr>
          <w:p>
            <w:pPr>
              <w:jc w:val="center"/>
            </w:pPr>
            <w:r>
              <w:rPr>
                <w:color w:val="000000"/>
                <w:sz w:val="24"/>
              </w:rPr>
              <w:t>3</w:t>
            </w:r>
          </w:p>
        </w:tc>
        <w:tc>
          <w:tcPr>
            <w:vAlign w:val="center"/>
          </w:tcPr>
          <w:p>
            <w:pPr>
              <w:jc w:val="center"/>
            </w:pPr>
            <w:r>
              <w:rPr>
                <w:color w:val="000000"/>
                <w:sz w:val="24"/>
              </w:rPr>
              <w:t>112021153</w:t>
            </w:r>
          </w:p>
        </w:tc>
        <w:tc>
          <w:tcPr>
            <w:vAlign w:val="center"/>
          </w:tcPr>
          <w:p>
            <w:pPr>
              <w:jc w:val="center"/>
            </w:pPr>
            <w:r>
              <w:rPr>
                <w:color w:val="000000"/>
                <w:sz w:val="24"/>
              </w:rPr>
              <w:t>20渤海银行CD153</w:t>
            </w:r>
          </w:p>
        </w:tc>
        <w:tc>
          <w:tcPr>
            <w:vAlign w:val="center"/>
          </w:tcPr>
          <w:p>
            <w:pPr>
              <w:jc w:val="right"/>
            </w:pPr>
            <w:r>
              <w:rPr>
                <w:color w:val="000000"/>
                <w:sz w:val="24"/>
              </w:rPr>
              <w:t>3,000,000</w:t>
            </w:r>
          </w:p>
        </w:tc>
        <w:tc>
          <w:tcPr>
            <w:vAlign w:val="center"/>
          </w:tcPr>
          <w:p>
            <w:pPr>
              <w:jc w:val="right"/>
            </w:pPr>
            <w:r>
              <w:rPr>
                <w:color w:val="000000"/>
                <w:sz w:val="24"/>
              </w:rPr>
              <w:t>298,510,527.75</w:t>
            </w:r>
          </w:p>
        </w:tc>
        <w:tc>
          <w:tcPr>
            <w:vAlign w:val="center"/>
          </w:tcPr>
          <w:p>
            <w:pPr>
              <w:jc w:val="right"/>
            </w:pPr>
            <w:r>
              <w:rPr>
                <w:color w:val="000000"/>
                <w:sz w:val="24"/>
              </w:rPr>
              <w:t>1.07</w:t>
            </w:r>
          </w:p>
        </w:tc>
      </w:tr>
      <w:tr>
        <w:tc>
          <w:tcPr>
            <w:vAlign w:val="center"/>
          </w:tcPr>
          <w:p>
            <w:pPr>
              <w:jc w:val="center"/>
            </w:pPr>
            <w:r>
              <w:rPr>
                <w:color w:val="000000"/>
                <w:sz w:val="24"/>
              </w:rPr>
              <w:t>4</w:t>
            </w:r>
          </w:p>
        </w:tc>
        <w:tc>
          <w:tcPr>
            <w:vAlign w:val="center"/>
          </w:tcPr>
          <w:p>
            <w:pPr>
              <w:jc w:val="center"/>
            </w:pPr>
            <w:r>
              <w:rPr>
                <w:color w:val="000000"/>
                <w:sz w:val="24"/>
              </w:rPr>
              <w:t>112021167</w:t>
            </w:r>
          </w:p>
        </w:tc>
        <w:tc>
          <w:tcPr>
            <w:vAlign w:val="center"/>
          </w:tcPr>
          <w:p>
            <w:pPr>
              <w:jc w:val="center"/>
            </w:pPr>
            <w:r>
              <w:rPr>
                <w:color w:val="000000"/>
                <w:sz w:val="24"/>
              </w:rPr>
              <w:t>20渤海银行CD167</w:t>
            </w:r>
          </w:p>
        </w:tc>
        <w:tc>
          <w:tcPr>
            <w:vAlign w:val="center"/>
          </w:tcPr>
          <w:p>
            <w:pPr>
              <w:jc w:val="right"/>
            </w:pPr>
            <w:r>
              <w:rPr>
                <w:color w:val="000000"/>
                <w:sz w:val="24"/>
              </w:rPr>
              <w:t>3,000,000</w:t>
            </w:r>
          </w:p>
        </w:tc>
        <w:tc>
          <w:tcPr>
            <w:vAlign w:val="center"/>
          </w:tcPr>
          <w:p>
            <w:pPr>
              <w:jc w:val="right"/>
            </w:pPr>
            <w:r>
              <w:rPr>
                <w:color w:val="000000"/>
                <w:sz w:val="24"/>
              </w:rPr>
              <w:t>298,445,369.57</w:t>
            </w:r>
          </w:p>
        </w:tc>
        <w:tc>
          <w:tcPr>
            <w:vAlign w:val="center"/>
          </w:tcPr>
          <w:p>
            <w:pPr>
              <w:jc w:val="right"/>
            </w:pPr>
            <w:r>
              <w:rPr>
                <w:color w:val="000000"/>
                <w:sz w:val="24"/>
              </w:rPr>
              <w:t>1.07</w:t>
            </w:r>
          </w:p>
        </w:tc>
      </w:tr>
      <w:tr>
        <w:tc>
          <w:tcPr>
            <w:vAlign w:val="center"/>
          </w:tcPr>
          <w:p>
            <w:pPr>
              <w:jc w:val="center"/>
            </w:pPr>
            <w:r>
              <w:rPr>
                <w:color w:val="000000"/>
                <w:sz w:val="24"/>
              </w:rPr>
              <w:t>5</w:t>
            </w:r>
          </w:p>
        </w:tc>
        <w:tc>
          <w:tcPr>
            <w:vAlign w:val="center"/>
          </w:tcPr>
          <w:p>
            <w:pPr>
              <w:jc w:val="center"/>
            </w:pPr>
            <w:r>
              <w:rPr>
                <w:color w:val="000000"/>
                <w:sz w:val="24"/>
              </w:rPr>
              <w:t>112021221</w:t>
            </w:r>
          </w:p>
        </w:tc>
        <w:tc>
          <w:tcPr>
            <w:vAlign w:val="center"/>
          </w:tcPr>
          <w:p>
            <w:pPr>
              <w:jc w:val="center"/>
            </w:pPr>
            <w:r>
              <w:rPr>
                <w:color w:val="000000"/>
                <w:sz w:val="24"/>
              </w:rPr>
              <w:t>20渤海银行CD221</w:t>
            </w:r>
          </w:p>
        </w:tc>
        <w:tc>
          <w:tcPr>
            <w:vAlign w:val="center"/>
          </w:tcPr>
          <w:p>
            <w:pPr>
              <w:jc w:val="right"/>
            </w:pPr>
            <w:r>
              <w:rPr>
                <w:color w:val="000000"/>
                <w:sz w:val="24"/>
              </w:rPr>
              <w:t>3,000,000</w:t>
            </w:r>
          </w:p>
        </w:tc>
        <w:tc>
          <w:tcPr>
            <w:vAlign w:val="center"/>
          </w:tcPr>
          <w:p>
            <w:pPr>
              <w:jc w:val="right"/>
            </w:pPr>
            <w:r>
              <w:rPr>
                <w:color w:val="000000"/>
                <w:sz w:val="24"/>
              </w:rPr>
              <w:t>297,934,109.35</w:t>
            </w:r>
          </w:p>
        </w:tc>
        <w:tc>
          <w:tcPr>
            <w:vAlign w:val="center"/>
          </w:tcPr>
          <w:p>
            <w:pPr>
              <w:jc w:val="right"/>
            </w:pPr>
            <w:r>
              <w:rPr>
                <w:color w:val="000000"/>
                <w:sz w:val="24"/>
              </w:rPr>
              <w:t>1.07</w:t>
            </w:r>
          </w:p>
        </w:tc>
      </w:tr>
      <w:tr>
        <w:tc>
          <w:tcPr>
            <w:vAlign w:val="center"/>
          </w:tcPr>
          <w:p>
            <w:pPr>
              <w:jc w:val="center"/>
            </w:pPr>
            <w:r>
              <w:rPr>
                <w:color w:val="000000"/>
                <w:sz w:val="24"/>
              </w:rPr>
              <w:t>6</w:t>
            </w:r>
          </w:p>
        </w:tc>
        <w:tc>
          <w:tcPr>
            <w:vAlign w:val="center"/>
          </w:tcPr>
          <w:p>
            <w:pPr>
              <w:jc w:val="center"/>
            </w:pPr>
            <w:r>
              <w:rPr>
                <w:color w:val="000000"/>
                <w:sz w:val="24"/>
              </w:rPr>
              <w:t>112021148</w:t>
            </w:r>
          </w:p>
        </w:tc>
        <w:tc>
          <w:tcPr>
            <w:vAlign w:val="center"/>
          </w:tcPr>
          <w:p>
            <w:pPr>
              <w:jc w:val="center"/>
            </w:pPr>
            <w:r>
              <w:rPr>
                <w:color w:val="000000"/>
                <w:sz w:val="24"/>
              </w:rPr>
              <w:t>20渤海银行CD148</w:t>
            </w:r>
          </w:p>
        </w:tc>
        <w:tc>
          <w:tcPr>
            <w:vAlign w:val="center"/>
          </w:tcPr>
          <w:p>
            <w:pPr>
              <w:jc w:val="right"/>
            </w:pPr>
            <w:r>
              <w:rPr>
                <w:color w:val="000000"/>
                <w:sz w:val="24"/>
              </w:rPr>
              <w:t>3,000,000</w:t>
            </w:r>
          </w:p>
        </w:tc>
        <w:tc>
          <w:tcPr>
            <w:vAlign w:val="center"/>
          </w:tcPr>
          <w:p>
            <w:pPr>
              <w:jc w:val="right"/>
            </w:pPr>
            <w:r>
              <w:rPr>
                <w:color w:val="000000"/>
                <w:sz w:val="24"/>
              </w:rPr>
              <w:t>297,194,824.76</w:t>
            </w:r>
          </w:p>
        </w:tc>
        <w:tc>
          <w:tcPr>
            <w:vAlign w:val="center"/>
          </w:tcPr>
          <w:p>
            <w:pPr>
              <w:jc w:val="right"/>
            </w:pPr>
            <w:r>
              <w:rPr>
                <w:color w:val="000000"/>
                <w:sz w:val="24"/>
              </w:rPr>
              <w:t>1.07</w:t>
            </w:r>
          </w:p>
        </w:tc>
      </w:tr>
      <w:tr>
        <w:tc>
          <w:tcPr>
            <w:vAlign w:val="center"/>
          </w:tcPr>
          <w:p>
            <w:pPr>
              <w:jc w:val="center"/>
            </w:pPr>
            <w:r>
              <w:rPr>
                <w:color w:val="000000"/>
                <w:sz w:val="24"/>
              </w:rPr>
              <w:t>7</w:t>
            </w:r>
          </w:p>
        </w:tc>
        <w:tc>
          <w:tcPr>
            <w:vAlign w:val="center"/>
          </w:tcPr>
          <w:p>
            <w:pPr>
              <w:jc w:val="center"/>
            </w:pPr>
            <w:r>
              <w:rPr>
                <w:color w:val="000000"/>
                <w:sz w:val="24"/>
              </w:rPr>
              <w:t>112095080</w:t>
            </w:r>
          </w:p>
        </w:tc>
        <w:tc>
          <w:tcPr>
            <w:vAlign w:val="center"/>
          </w:tcPr>
          <w:p>
            <w:pPr>
              <w:jc w:val="center"/>
            </w:pPr>
            <w:r>
              <w:rPr>
                <w:color w:val="000000"/>
                <w:sz w:val="24"/>
              </w:rPr>
              <w:t>20广州农村商业银行CD042</w:t>
            </w:r>
          </w:p>
        </w:tc>
        <w:tc>
          <w:tcPr>
            <w:vAlign w:val="center"/>
          </w:tcPr>
          <w:p>
            <w:pPr>
              <w:jc w:val="right"/>
            </w:pPr>
            <w:r>
              <w:rPr>
                <w:color w:val="000000"/>
                <w:sz w:val="24"/>
              </w:rPr>
              <w:t>3,000,000</w:t>
            </w:r>
          </w:p>
        </w:tc>
        <w:tc>
          <w:tcPr>
            <w:vAlign w:val="center"/>
          </w:tcPr>
          <w:p>
            <w:pPr>
              <w:jc w:val="right"/>
            </w:pPr>
            <w:r>
              <w:rPr>
                <w:color w:val="000000"/>
                <w:sz w:val="24"/>
              </w:rPr>
              <w:t>296,735,585.78</w:t>
            </w:r>
          </w:p>
        </w:tc>
        <w:tc>
          <w:tcPr>
            <w:vAlign w:val="center"/>
          </w:tcPr>
          <w:p>
            <w:pPr>
              <w:jc w:val="right"/>
            </w:pPr>
            <w:r>
              <w:rPr>
                <w:color w:val="000000"/>
                <w:sz w:val="24"/>
              </w:rPr>
              <w:t>1.07</w:t>
            </w:r>
          </w:p>
        </w:tc>
      </w:tr>
      <w:tr>
        <w:tc>
          <w:tcPr>
            <w:vAlign w:val="center"/>
          </w:tcPr>
          <w:p>
            <w:pPr>
              <w:jc w:val="center"/>
            </w:pPr>
            <w:r>
              <w:rPr>
                <w:color w:val="000000"/>
                <w:sz w:val="24"/>
              </w:rPr>
              <w:t>8</w:t>
            </w:r>
          </w:p>
        </w:tc>
        <w:tc>
          <w:tcPr>
            <w:vAlign w:val="center"/>
          </w:tcPr>
          <w:p>
            <w:pPr>
              <w:jc w:val="center"/>
            </w:pPr>
            <w:r>
              <w:rPr>
                <w:color w:val="000000"/>
                <w:sz w:val="24"/>
              </w:rPr>
              <w:t>112097552</w:t>
            </w:r>
          </w:p>
        </w:tc>
        <w:tc>
          <w:tcPr>
            <w:vAlign w:val="center"/>
          </w:tcPr>
          <w:p>
            <w:pPr>
              <w:jc w:val="center"/>
            </w:pPr>
            <w:r>
              <w:rPr>
                <w:color w:val="000000"/>
                <w:sz w:val="24"/>
              </w:rPr>
              <w:t>20东莞农村商业银行CD080</w:t>
            </w:r>
          </w:p>
        </w:tc>
        <w:tc>
          <w:tcPr>
            <w:vAlign w:val="center"/>
          </w:tcPr>
          <w:p>
            <w:pPr>
              <w:jc w:val="right"/>
            </w:pPr>
            <w:r>
              <w:rPr>
                <w:color w:val="000000"/>
                <w:sz w:val="24"/>
              </w:rPr>
              <w:t>2,900,000</w:t>
            </w:r>
          </w:p>
        </w:tc>
        <w:tc>
          <w:tcPr>
            <w:vAlign w:val="center"/>
          </w:tcPr>
          <w:p>
            <w:pPr>
              <w:jc w:val="right"/>
            </w:pPr>
            <w:r>
              <w:rPr>
                <w:color w:val="000000"/>
                <w:sz w:val="24"/>
              </w:rPr>
              <w:t>288,617,139.59</w:t>
            </w:r>
          </w:p>
        </w:tc>
        <w:tc>
          <w:tcPr>
            <w:vAlign w:val="center"/>
          </w:tcPr>
          <w:p>
            <w:pPr>
              <w:jc w:val="right"/>
            </w:pPr>
            <w:r>
              <w:rPr>
                <w:color w:val="000000"/>
                <w:sz w:val="24"/>
              </w:rPr>
              <w:t>1.04</w:t>
            </w:r>
          </w:p>
        </w:tc>
      </w:tr>
      <w:tr>
        <w:tc>
          <w:tcPr>
            <w:vAlign w:val="center"/>
          </w:tcPr>
          <w:p>
            <w:pPr>
              <w:jc w:val="center"/>
            </w:pPr>
            <w:r>
              <w:rPr>
                <w:color w:val="000000"/>
                <w:sz w:val="24"/>
              </w:rPr>
              <w:t>9</w:t>
            </w:r>
          </w:p>
        </w:tc>
        <w:tc>
          <w:tcPr>
            <w:vAlign w:val="center"/>
          </w:tcPr>
          <w:p>
            <w:pPr>
              <w:jc w:val="center"/>
            </w:pPr>
            <w:r>
              <w:rPr>
                <w:color w:val="000000"/>
                <w:sz w:val="24"/>
              </w:rPr>
              <w:t>190211</w:t>
            </w:r>
          </w:p>
        </w:tc>
        <w:tc>
          <w:tcPr>
            <w:vAlign w:val="center"/>
          </w:tcPr>
          <w:p>
            <w:pPr>
              <w:jc w:val="center"/>
            </w:pPr>
            <w:r>
              <w:rPr>
                <w:color w:val="000000"/>
                <w:sz w:val="24"/>
              </w:rPr>
              <w:t>19国开11</w:t>
            </w:r>
          </w:p>
        </w:tc>
        <w:tc>
          <w:tcPr>
            <w:vAlign w:val="center"/>
          </w:tcPr>
          <w:p>
            <w:pPr>
              <w:jc w:val="right"/>
            </w:pPr>
            <w:r>
              <w:rPr>
                <w:color w:val="000000"/>
                <w:sz w:val="24"/>
              </w:rPr>
              <w:t>2,700,000</w:t>
            </w:r>
          </w:p>
        </w:tc>
        <w:tc>
          <w:tcPr>
            <w:vAlign w:val="center"/>
          </w:tcPr>
          <w:p>
            <w:pPr>
              <w:jc w:val="right"/>
            </w:pPr>
            <w:r>
              <w:rPr>
                <w:color w:val="000000"/>
                <w:sz w:val="24"/>
              </w:rPr>
              <w:t>270,811,917.97</w:t>
            </w:r>
          </w:p>
        </w:tc>
        <w:tc>
          <w:tcPr>
            <w:vAlign w:val="center"/>
          </w:tcPr>
          <w:p>
            <w:pPr>
              <w:jc w:val="right"/>
            </w:pPr>
            <w:r>
              <w:rPr>
                <w:color w:val="000000"/>
                <w:sz w:val="24"/>
              </w:rPr>
              <w:t>0.97</w:t>
            </w:r>
          </w:p>
        </w:tc>
      </w:tr>
      <w:tr>
        <w:tc>
          <w:tcPr>
            <w:vAlign w:val="center"/>
          </w:tcPr>
          <w:p>
            <w:pPr>
              <w:jc w:val="center"/>
            </w:pPr>
            <w:r>
              <w:rPr>
                <w:color w:val="000000"/>
                <w:sz w:val="24"/>
              </w:rPr>
              <w:t>10</w:t>
            </w:r>
          </w:p>
        </w:tc>
        <w:tc>
          <w:tcPr>
            <w:vAlign w:val="center"/>
          </w:tcPr>
          <w:p>
            <w:pPr>
              <w:jc w:val="center"/>
            </w:pPr>
            <w:r>
              <w:rPr>
                <w:color w:val="000000"/>
                <w:sz w:val="24"/>
              </w:rPr>
              <w:t>100411</w:t>
            </w:r>
          </w:p>
        </w:tc>
        <w:tc>
          <w:tcPr>
            <w:vAlign w:val="center"/>
          </w:tcPr>
          <w:p>
            <w:pPr>
              <w:jc w:val="center"/>
            </w:pPr>
            <w:r>
              <w:rPr>
                <w:color w:val="000000"/>
                <w:sz w:val="24"/>
              </w:rPr>
              <w:t>10农发11</w:t>
            </w:r>
          </w:p>
        </w:tc>
        <w:tc>
          <w:tcPr>
            <w:vAlign w:val="center"/>
          </w:tcPr>
          <w:p>
            <w:pPr>
              <w:jc w:val="right"/>
            </w:pPr>
            <w:r>
              <w:rPr>
                <w:color w:val="000000"/>
                <w:sz w:val="24"/>
              </w:rPr>
              <w:t>2,300,000</w:t>
            </w:r>
          </w:p>
        </w:tc>
        <w:tc>
          <w:tcPr>
            <w:vAlign w:val="center"/>
          </w:tcPr>
          <w:p>
            <w:pPr>
              <w:jc w:val="right"/>
            </w:pPr>
            <w:r>
              <w:rPr>
                <w:color w:val="000000"/>
                <w:sz w:val="24"/>
              </w:rPr>
              <w:t>230,901,680.42</w:t>
            </w:r>
          </w:p>
        </w:tc>
        <w:tc>
          <w:tcPr>
            <w:vAlign w:val="center"/>
          </w:tcPr>
          <w:p>
            <w:pPr>
              <w:jc w:val="right"/>
            </w:pPr>
            <w:r>
              <w:rPr>
                <w:color w:val="000000"/>
                <w:sz w:val="24"/>
              </w:rPr>
              <w:t>0.83</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0.1474%</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-0.0326%</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0.0764%</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proofErr w:type="spellStart"/>
      <w:r w:rsidRPr="00E97D49">
        <w:rPr>
          <w:rFonts w:hint="eastAsia"/>
          <w:color w:val="000000"/>
          <w:kern w:val="0"/>
          <w:sz w:val="24"/>
        </w:rPr>
        <w:t/>
      </w:r>
      <w:proofErr w:type="spellEnd"/>
      <w:r w:rsidRPr="00E97D49">
        <w:rPr>
          <w:rFonts w:hint="eastAsia"/>
          <w:color w:val="000000"/>
          <w:kern w:val="0"/>
          <w:sz w:val="24"/>
        </w:rPr>
        <w:t/>
      </w:r>
      <w:r w:rsidRPr="00E97D49">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470"/>
        <w:gridCol w:w="1469"/>
        <w:gridCol w:w="1469"/>
        <w:gridCol w:w="1646"/>
        <w:gridCol w:w="1580"/>
        <w:gridCol w:w="1668"/>
      </w:tblGrid>
      <w:tr w:rsidR="00BF1111" w:rsidRPr="000E4C40" w:rsidTr="008F34CE">
        <w:trPr>
          <w:jc w:val="center"/>
        </w:trPr>
        <w:tc>
          <w:tcPr>
            <w:tcW w:type="dxa" w:w="1503"/>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60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08"/>
            <w:vAlign w:val="center"/>
          </w:tcPr>
          <w:p w:rsidP="00B34175" w:rsidR="00BF1111" w:rsidRDefault="00BD3669" w:rsidRPr="000E4C40">
            <w:pPr>
              <w:autoSpaceDE w:val="0"/>
              <w:autoSpaceDN w:val="0"/>
              <w:adjustRightInd w:val="0"/>
              <w:spacing w:before="29" w:line="288" w:lineRule="auto"/>
              <w:ind w:left="15"/>
              <w:jc w:val="center"/>
              <w:rPr>
                <w:rFonts w:hint="eastAsia"/>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bookmarkStart w:id="2" w:name="_GoBack"/>
            <w:bookmarkEnd w:id="2"/>
          </w:p>
        </w:tc>
        <w:tc>
          <w:tcPr>
            <w:tcW w:type="dxa" w:w="1681"/>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2089082</w:t>
            </w:r>
          </w:p>
        </w:tc>
        <w:tc>
          <w:tcPr>
            <w:vAlign w:val="center"/>
          </w:tcPr>
          <w:p>
            <w:pPr>
              <w:jc w:val="center"/>
            </w:pPr>
            <w:r>
              <w:rPr>
                <w:color w:val="000000"/>
                <w:sz w:val="24"/>
              </w:rPr>
              <w:t>20上和1A1</w:t>
            </w:r>
          </w:p>
        </w:tc>
        <w:tc>
          <w:tcPr>
            <w:vAlign w:val="center"/>
          </w:tcPr>
          <w:p>
            <w:pPr>
              <w:jc w:val="right"/>
            </w:pPr>
            <w:r>
              <w:rPr>
                <w:color w:val="000000"/>
                <w:sz w:val="24"/>
              </w:rPr>
              <w:t>600,000</w:t>
            </w:r>
          </w:p>
        </w:tc>
        <w:tc>
          <w:tcPr>
            <w:vAlign w:val="center"/>
          </w:tcPr>
          <w:p>
            <w:pPr>
              <w:jc w:val="right"/>
            </w:pPr>
            <w:r>
              <w:rPr>
                <w:color w:val="000000"/>
                <w:sz w:val="24"/>
              </w:rPr>
              <w:t>60,001,751.36</w:t>
            </w:r>
          </w:p>
        </w:tc>
        <w:tc>
          <w:tcPr>
            <w:vAlign w:val="center"/>
          </w:tcPr>
          <w:p>
            <w:pPr>
              <w:jc w:val="right"/>
            </w:pPr>
            <w:r>
              <w:rPr>
                <w:color w:val="000000"/>
                <w:sz w:val="24"/>
              </w:rPr>
              <w:t>0.22</w:t>
            </w:r>
          </w:p>
        </w:tc>
      </w:tr>
      <w:tr>
        <w:tc>
          <w:tcPr>
            <w:vAlign w:val="center"/>
          </w:tcPr>
          <w:p>
            <w:pPr>
              <w:jc w:val="center"/>
            </w:pPr>
            <w:r>
              <w:rPr>
                <w:color w:val="000000"/>
                <w:sz w:val="24"/>
              </w:rPr>
              <w:t>2</w:t>
            </w:r>
          </w:p>
        </w:tc>
        <w:tc>
          <w:tcPr>
            <w:vAlign w:val="center"/>
          </w:tcPr>
          <w:p>
            <w:pPr>
              <w:jc w:val="center"/>
            </w:pPr>
            <w:r>
              <w:rPr>
                <w:color w:val="000000"/>
                <w:sz w:val="24"/>
              </w:rPr>
              <w:t>168649</w:t>
            </w:r>
          </w:p>
        </w:tc>
        <w:tc>
          <w:tcPr>
            <w:vAlign w:val="center"/>
          </w:tcPr>
          <w:p>
            <w:pPr>
              <w:jc w:val="center"/>
            </w:pPr>
            <w:r>
              <w:rPr>
                <w:color w:val="000000"/>
                <w:sz w:val="24"/>
              </w:rPr>
              <w:t>信润03A1</w:t>
            </w:r>
          </w:p>
        </w:tc>
        <w:tc>
          <w:tcPr>
            <w:vAlign w:val="center"/>
          </w:tcPr>
          <w:p>
            <w:pPr>
              <w:jc w:val="right"/>
            </w:pPr>
            <w:r>
              <w:rPr>
                <w:color w:val="000000"/>
                <w:sz w:val="24"/>
              </w:rPr>
              <w:t>500,000</w:t>
            </w:r>
          </w:p>
        </w:tc>
        <w:tc>
          <w:tcPr>
            <w:vAlign w:val="center"/>
          </w:tcPr>
          <w:p>
            <w:pPr>
              <w:jc w:val="right"/>
            </w:pPr>
            <w:r>
              <w:rPr>
                <w:color w:val="000000"/>
                <w:sz w:val="24"/>
              </w:rPr>
              <w:t>50,000,000.00</w:t>
            </w:r>
          </w:p>
        </w:tc>
        <w:tc>
          <w:tcPr>
            <w:vAlign w:val="center"/>
          </w:tcPr>
          <w:p>
            <w:pPr>
              <w:jc w:val="right"/>
            </w:pPr>
            <w:r>
              <w:rPr>
                <w:color w:val="000000"/>
                <w:sz w:val="24"/>
              </w:rPr>
              <w:t>0.18</w:t>
            </w:r>
          </w:p>
        </w:tc>
      </w:tr>
      <w:tr>
        <w:tc>
          <w:tcPr>
            <w:vAlign w:val="center"/>
          </w:tcPr>
          <w:p>
            <w:pPr>
              <w:jc w:val="center"/>
            </w:pPr>
            <w:r>
              <w:rPr>
                <w:color w:val="000000"/>
                <w:sz w:val="24"/>
              </w:rPr>
              <w:t>3</w:t>
            </w:r>
          </w:p>
        </w:tc>
        <w:tc>
          <w:tcPr>
            <w:vAlign w:val="center"/>
          </w:tcPr>
          <w:p>
            <w:pPr>
              <w:jc w:val="center"/>
            </w:pPr>
            <w:r>
              <w:rPr>
                <w:color w:val="000000"/>
                <w:sz w:val="24"/>
              </w:rPr>
              <w:t>165334</w:t>
            </w:r>
          </w:p>
        </w:tc>
        <w:tc>
          <w:tcPr>
            <w:vAlign w:val="center"/>
          </w:tcPr>
          <w:p>
            <w:pPr>
              <w:jc w:val="center"/>
            </w:pPr>
            <w:r>
              <w:rPr>
                <w:color w:val="000000"/>
                <w:sz w:val="24"/>
              </w:rPr>
              <w:t>信泽06A1</w:t>
            </w:r>
          </w:p>
        </w:tc>
        <w:tc>
          <w:tcPr>
            <w:vAlign w:val="center"/>
          </w:tcPr>
          <w:p>
            <w:pPr>
              <w:jc w:val="right"/>
            </w:pPr>
            <w:r>
              <w:rPr>
                <w:color w:val="000000"/>
                <w:sz w:val="24"/>
              </w:rPr>
              <w:t>300,000</w:t>
            </w:r>
          </w:p>
        </w:tc>
        <w:tc>
          <w:tcPr>
            <w:vAlign w:val="center"/>
          </w:tcPr>
          <w:p>
            <w:pPr>
              <w:jc w:val="right"/>
            </w:pPr>
            <w:r>
              <w:rPr>
                <w:color w:val="000000"/>
                <w:sz w:val="24"/>
              </w:rPr>
              <w:t>30,000,000.00</w:t>
            </w:r>
          </w:p>
        </w:tc>
        <w:tc>
          <w:tcPr>
            <w:vAlign w:val="center"/>
          </w:tcPr>
          <w:p>
            <w:pPr>
              <w:jc w:val="right"/>
            </w:pPr>
            <w:r>
              <w:rPr>
                <w:color w:val="000000"/>
                <w:sz w:val="24"/>
              </w:rPr>
              <w:t>0.11</w:t>
            </w:r>
          </w:p>
        </w:tc>
      </w:tr>
      <w:tr>
        <w:tc>
          <w:tcPr>
            <w:vAlign w:val="center"/>
          </w:tcPr>
          <w:p>
            <w:pPr>
              <w:jc w:val="center"/>
            </w:pPr>
            <w:r>
              <w:rPr>
                <w:color w:val="000000"/>
                <w:sz w:val="24"/>
              </w:rPr>
              <w:t>4</w:t>
            </w:r>
          </w:p>
        </w:tc>
        <w:tc>
          <w:tcPr>
            <w:vAlign w:val="center"/>
          </w:tcPr>
          <w:p>
            <w:pPr>
              <w:jc w:val="center"/>
            </w:pPr>
            <w:r>
              <w:rPr>
                <w:color w:val="000000"/>
                <w:sz w:val="24"/>
              </w:rPr>
              <w:t>138761</w:t>
            </w:r>
          </w:p>
        </w:tc>
        <w:tc>
          <w:tcPr>
            <w:vAlign w:val="center"/>
          </w:tcPr>
          <w:p>
            <w:pPr>
              <w:jc w:val="center"/>
            </w:pPr>
            <w:r>
              <w:rPr>
                <w:color w:val="000000"/>
                <w:sz w:val="24"/>
              </w:rPr>
              <w:t>徐矿3A</w:t>
            </w:r>
          </w:p>
        </w:tc>
        <w:tc>
          <w:tcPr>
            <w:vAlign w:val="center"/>
          </w:tcPr>
          <w:p>
            <w:pPr>
              <w:jc w:val="right"/>
            </w:pPr>
            <w:r>
              <w:rPr>
                <w:color w:val="000000"/>
                <w:sz w:val="24"/>
              </w:rPr>
              <w:t>200,000</w:t>
            </w:r>
          </w:p>
        </w:tc>
        <w:tc>
          <w:tcPr>
            <w:vAlign w:val="center"/>
          </w:tcPr>
          <w:p>
            <w:pPr>
              <w:jc w:val="right"/>
            </w:pPr>
            <w:r>
              <w:rPr>
                <w:color w:val="000000"/>
                <w:sz w:val="24"/>
              </w:rPr>
              <w:t>20,000,000.00</w:t>
            </w:r>
          </w:p>
        </w:tc>
        <w:tc>
          <w:tcPr>
            <w:vAlign w:val="center"/>
          </w:tcPr>
          <w:p>
            <w:pPr>
              <w:jc w:val="right"/>
            </w:pPr>
            <w:r>
              <w:rPr>
                <w:color w:val="000000"/>
                <w:sz w:val="24"/>
              </w:rPr>
              <w:t>0.07</w:t>
            </w:r>
          </w:p>
        </w:tc>
      </w:tr>
      <w:tr>
        <w:tc>
          <w:tcPr>
            <w:vAlign w:val="center"/>
          </w:tcPr>
          <w:p>
            <w:pPr>
              <w:jc w:val="center"/>
            </w:pPr>
            <w:r>
              <w:rPr>
                <w:color w:val="000000"/>
                <w:sz w:val="24"/>
              </w:rPr>
              <w:t>5</w:t>
            </w:r>
          </w:p>
        </w:tc>
        <w:tc>
          <w:tcPr>
            <w:vAlign w:val="center"/>
          </w:tcPr>
          <w:p>
            <w:pPr>
              <w:jc w:val="center"/>
            </w:pPr>
            <w:r>
              <w:rPr>
                <w:color w:val="000000"/>
                <w:sz w:val="24"/>
              </w:rPr>
              <w:t>138539</w:t>
            </w:r>
          </w:p>
        </w:tc>
        <w:tc>
          <w:tcPr>
            <w:vAlign w:val="center"/>
          </w:tcPr>
          <w:p>
            <w:pPr>
              <w:jc w:val="center"/>
            </w:pPr>
            <w:r>
              <w:rPr>
                <w:color w:val="000000"/>
                <w:sz w:val="24"/>
              </w:rPr>
              <w:t>徐矿2A</w:t>
            </w:r>
          </w:p>
        </w:tc>
        <w:tc>
          <w:tcPr>
            <w:vAlign w:val="center"/>
          </w:tcPr>
          <w:p>
            <w:pPr>
              <w:jc w:val="right"/>
            </w:pPr>
            <w:r>
              <w:rPr>
                <w:color w:val="000000"/>
                <w:sz w:val="24"/>
              </w:rPr>
              <w:t>150,000</w:t>
            </w:r>
          </w:p>
        </w:tc>
        <w:tc>
          <w:tcPr>
            <w:vAlign w:val="center"/>
          </w:tcPr>
          <w:p>
            <w:pPr>
              <w:jc w:val="right"/>
            </w:pPr>
            <w:r>
              <w:rPr>
                <w:color w:val="000000"/>
                <w:sz w:val="24"/>
              </w:rPr>
              <w:t>15,000,000.00</w:t>
            </w:r>
          </w:p>
        </w:tc>
        <w:tc>
          <w:tcPr>
            <w:vAlign w:val="center"/>
          </w:tcPr>
          <w:p>
            <w:pPr>
              <w:jc w:val="right"/>
            </w:pPr>
            <w:r>
              <w:rPr>
                <w:color w:val="000000"/>
                <w:sz w:val="24"/>
              </w:rPr>
              <w:t>0.05</w:t>
            </w:r>
          </w:p>
        </w:tc>
      </w:tr>
      <w:tr>
        <w:tc>
          <w:tcPr>
            <w:vAlign w:val="center"/>
          </w:tcPr>
          <w:p>
            <w:pPr>
              <w:jc w:val="center"/>
            </w:pPr>
            <w:r>
              <w:rPr>
                <w:color w:val="000000"/>
                <w:sz w:val="24"/>
              </w:rPr>
              <w:t>6</w:t>
            </w:r>
          </w:p>
        </w:tc>
        <w:tc>
          <w:tcPr>
            <w:vAlign w:val="center"/>
          </w:tcPr>
          <w:p>
            <w:pPr>
              <w:jc w:val="center"/>
            </w:pPr>
            <w:r>
              <w:rPr>
                <w:color w:val="000000"/>
                <w:sz w:val="24"/>
              </w:rPr>
              <w:t>1989480</w:t>
            </w:r>
          </w:p>
        </w:tc>
        <w:tc>
          <w:tcPr>
            <w:vAlign w:val="center"/>
          </w:tcPr>
          <w:p>
            <w:pPr>
              <w:jc w:val="center"/>
            </w:pPr>
            <w:r>
              <w:rPr>
                <w:color w:val="000000"/>
                <w:sz w:val="24"/>
              </w:rPr>
              <w:t>19上和4A1</w:t>
            </w:r>
          </w:p>
        </w:tc>
        <w:tc>
          <w:tcPr>
            <w:vAlign w:val="center"/>
          </w:tcPr>
          <w:p>
            <w:pPr>
              <w:jc w:val="right"/>
            </w:pPr>
            <w:r>
              <w:rPr>
                <w:color w:val="000000"/>
                <w:sz w:val="24"/>
              </w:rPr>
              <w:t>500,000</w:t>
            </w:r>
          </w:p>
        </w:tc>
        <w:tc>
          <w:tcPr>
            <w:vAlign w:val="center"/>
          </w:tcPr>
          <w:p>
            <w:pPr>
              <w:jc w:val="right"/>
            </w:pPr>
            <w:r>
              <w:rPr>
                <w:color w:val="000000"/>
                <w:sz w:val="24"/>
              </w:rPr>
              <w:t>1,895,000.00</w:t>
            </w:r>
          </w:p>
        </w:tc>
        <w:tc>
          <w:tcPr>
            <w:vAlign w:val="center"/>
          </w:tcPr>
          <w:p>
            <w:pPr>
              <w:jc w:val="right"/>
            </w:pPr>
            <w:r>
              <w:rPr>
                <w:color w:val="000000"/>
                <w:sz w:val="24"/>
              </w:rPr>
              <w:t>0.01</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
      </w:r>
      <w:proofErr w:type="gramStart"/>
      <w:r w:rsidR="00EB25E4" w:rsidRPr="000E4C40">
        <w:rPr>
          <w:color w:val="000000"/>
          <w:sz w:val="24"/>
        </w:rPr>
        <w:t/>
      </w:r>
      <w:proofErr w:type="gramEnd"/>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proofErr w:type="spellStart"/>
      <w:r w:rsidRPr="00A53C6C">
        <w:rPr>
          <w:rFonts w:hint="eastAsia"/>
          <w:color w:val="000000"/>
          <w:kern w:val="0"/>
          <w:sz w:val="24"/>
        </w:rPr>
        <w:t/>
      </w:r>
      <w:proofErr w:type="spellEnd"/>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75,567,954.24</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450,001,200.00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761.40</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525,569,915.64</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proofErr w:type="spellStart"/>
      <w:r w:rsidRPr="00346DC3">
        <w:rPr>
          <w:b/>
          <w:color w:val="000000"/>
          <w:kern w:val="0"/>
          <w:sz w:val="24"/>
        </w:rPr>
        <w:t/>
      </w:r>
      <w:proofErr w:type="spellEnd"/>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proofErr w:type="gramStart"/>
      <w:r w:rsidR="000C469F" w:rsidRPr="000E4C40">
        <w:rPr>
          <w:color w:val="000000"/>
          <w:sz w:val="24"/>
        </w:rPr>
        <w:t/>
      </w:r>
      <w:proofErr w:type="spellEnd"/>
      <w:proofErr w:type="gram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sz w:val="24"/>
              </w:rPr>
              <w:t/>
            </w:r>
            <w:r w:rsidRPr="000E4C40">
              <w:rPr>
                <w:sz w:val="24"/>
              </w:rPr>
              <w:lastRenderedPageBreak/>
              <w:t/>
            </w:r>
            <w:proofErr w:type="spellEnd"/>
            <w:r w:rsidRPr="000E4C40">
              <w:rPr>
                <w:sz w:val="24"/>
              </w:rPr>
              <w:t/>
            </w:r>
            <w:r w:rsidR="00327FB0" w:rsidRPr="000E4C40">
              <w:rPr>
                <w:sz w:val="24"/>
              </w:rPr>
              <w:t/>
            </w:r>
            <w:r w:rsidRPr="000E4C40">
              <w:rPr>
                <w:sz w:val="24"/>
              </w:rPr>
              <w:t>交银天鑫宝货币A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交银天鑫宝货币E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114,057,286.71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22,138,063,786.63</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257,896,712.45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13,439,223,663.45</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341,536,700.10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7,788,009,539.16</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30,417,299.06</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27,789,277,910.92</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proofErr w:type="gramStart"/>
      <w:r w:rsidR="00AA5B03" w:rsidRPr="000E4C40">
        <w:rPr>
          <w:color w:val="000000"/>
          <w:sz w:val="24"/>
        </w:rPr>
        <w:t/>
      </w:r>
      <w:proofErr w:type="spellEnd"/>
      <w:proofErr w:type="gramEnd"/>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roofErr w:type="spellStart"/>
            <w:r w:rsidRPr="000E4C40">
              <w:rPr>
                <w:color w:val="000000"/>
                <w:kern w:val="0"/>
              </w:rPr>
              <w:t/>
            </w:r>
            <w:proofErr w:type="spellEnd"/>
            <w:r w:rsidRPr="000E4C40">
              <w:rPr>
                <w:color w:val="000000"/>
                <w:kern w:val="0"/>
              </w:rPr>
              <w:t/>
            </w:r>
            <w:proofErr w:type="spellStart"/>
            <w:r w:rsidRPr="000E4C40">
              <w:rPr>
                <w:color w:val="000000"/>
                <w:kern w:val="0"/>
              </w:rPr>
              <w:t/>
            </w:r>
            <w:proofErr w:type="spellEnd"/>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839,888.40</w:t>
            </w:r>
          </w:p>
        </w:tc>
        <w:tc>
          <w:tcPr>
            <w:vAlign w:val="center"/>
          </w:tcPr>
          <w:p>
            <w:pPr>
              <w:jc w:val="right"/>
            </w:pPr>
            <w:r>
              <w:rPr>
                <w:color w:val="000000"/>
                <w:sz w:val="24"/>
              </w:rPr>
              <w:t>839,888.40</w:t>
            </w:r>
          </w:p>
        </w:tc>
        <w:tc>
          <w:tcPr>
            <w:vAlign w:val="center"/>
          </w:tcPr>
          <w:p>
            <w:pPr>
              <w:jc w:val="center"/>
            </w:pPr>
            <w:r>
              <w:rPr>
                <w:color w:val="000000"/>
                <w:sz w:val="24"/>
              </w:rPr>
              <w:t>-</w:t>
            </w:r>
          </w:p>
        </w:tc>
      </w:tr>
      <w:tr>
        <w:tc>
          <w:tcPr>
            <w:vAlign w:val="center"/>
          </w:tcPr>
          <w:p>
            <w:pPr>
              <w:jc w:val="center"/>
            </w:pPr>
            <w:r>
              <w:rPr>
                <w:color w:val="000000"/>
                <w:sz w:val="24"/>
              </w:rPr>
              <w:t>2</w:t>
            </w:r>
          </w:p>
        </w:tc>
        <w:tc>
          <w:tcPr>
            <w:vAlign w:val="center"/>
          </w:tcPr>
          <w:p>
            <w:pPr>
              <w:jc w:val="center"/>
            </w:pPr>
            <w:r>
              <w:rPr>
                <w:color w:val="000000"/>
                <w:sz w:val="24"/>
              </w:rPr>
              <w:t>E类份额申购</w:t>
            </w:r>
          </w:p>
        </w:tc>
        <w:tc>
          <w:tcPr>
            <w:vAlign w:val="center"/>
          </w:tcPr>
          <w:p>
            <w:pPr>
              <w:jc w:val="center"/>
            </w:pPr>
            <w:r>
              <w:rPr>
                <w:color w:val="000000"/>
                <w:sz w:val="24"/>
              </w:rPr>
              <w:t>2020-04-29</w:t>
            </w:r>
          </w:p>
        </w:tc>
        <w:tc>
          <w:tcPr>
            <w:vAlign w:val="center"/>
          </w:tcPr>
          <w:p>
            <w:pPr>
              <w:jc w:val="right"/>
            </w:pPr>
            <w:r>
              <w:rPr>
                <w:color w:val="000000"/>
                <w:sz w:val="24"/>
              </w:rPr>
              <w:t>50,000,000.00</w:t>
            </w:r>
          </w:p>
        </w:tc>
        <w:tc>
          <w:tcPr>
            <w:vAlign w:val="center"/>
          </w:tcPr>
          <w:p>
            <w:pPr>
              <w:jc w:val="right"/>
            </w:pPr>
            <w:r>
              <w:rPr>
                <w:color w:val="000000"/>
                <w:sz w:val="24"/>
              </w:rPr>
              <w:t>50,000,000.00</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50,839,888.40</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50,839,888.40</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注：1、本基金管理人本报告期末持有本基金A类份额0.00份，占本基金期末A类基金总份额的0.00%；本基金管理人本报告期末持有本基金E类份额172,264,481.25份，占本基金期末E类基金总份额的0.62%。</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1、中国证监会准予交银施罗德天鑫宝货币市场基金募集注册的文件； </w:t>
      </w:r>
    </w:p>
    <w:p>
      <w:pPr>
        <w:spacing w:before="29" w:line="288" w:lineRule="auto"/>
        <w:ind w:firstLine="480" w:firstLineChars="200"/>
        <w:rPr>
          <w:color w:val="000000"/>
          <w:sz w:val="24"/>
        </w:rPr>
      </w:pPr>
      <w:r>
        <w:rPr>
          <w:color w:val="000000"/>
          <w:sz w:val="24"/>
        </w:rPr>
        <w:t xml:space="preserve">2、《交银施罗德天鑫宝货币市场基金基金合同》； </w:t>
      </w:r>
    </w:p>
    <w:p>
      <w:pPr>
        <w:spacing w:before="29" w:line="288" w:lineRule="auto"/>
        <w:ind w:firstLine="480" w:firstLineChars="200"/>
        <w:rPr>
          <w:color w:val="000000"/>
          <w:sz w:val="24"/>
        </w:rPr>
      </w:pPr>
      <w:r>
        <w:rPr>
          <w:color w:val="000000"/>
          <w:sz w:val="24"/>
        </w:rPr>
        <w:t xml:space="preserve">3、《交银施罗德天鑫宝货币市场基金招募说明书》； </w:t>
      </w:r>
    </w:p>
    <w:p>
      <w:pPr>
        <w:spacing w:before="29" w:line="288" w:lineRule="auto"/>
        <w:ind w:firstLine="480" w:firstLineChars="200"/>
        <w:rPr>
          <w:color w:val="000000"/>
          <w:sz w:val="24"/>
        </w:rPr>
      </w:pPr>
      <w:r>
        <w:rPr>
          <w:color w:val="000000"/>
          <w:sz w:val="24"/>
        </w:rPr>
        <w:t xml:space="preserve">4、《交银施罗德天鑫宝货币市场基金托管协议》； </w:t>
      </w:r>
    </w:p>
    <w:p>
      <w:pPr>
        <w:spacing w:before="29" w:line="288" w:lineRule="auto"/>
        <w:ind w:firstLine="480" w:firstLineChars="200"/>
        <w:rPr>
          <w:color w:val="000000"/>
          <w:sz w:val="24"/>
        </w:rPr>
      </w:pPr>
      <w:r>
        <w:rPr>
          <w:color w:val="000000"/>
          <w:sz w:val="24"/>
        </w:rPr>
        <w:t xml:space="preserve">5、关于申请募集注册交银施罗德天鑫宝货币市场基金的法律意见书；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8、报告期内交银施罗德天鑫宝货币市场基金在指定报刊上各项公告的原稿。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9A" w:rsidRDefault="00D3539A">
      <w:r>
        <w:separator/>
      </w:r>
    </w:p>
  </w:endnote>
  <w:endnote w:type="continuationSeparator" w:id="0">
    <w:p w:rsidR="00D3539A" w:rsidRDefault="00D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34CE">
      <w:rPr>
        <w:noProof/>
        <w:kern w:val="0"/>
        <w:szCs w:val="21"/>
      </w:rPr>
      <w:t>23</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8F34CE">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D3539A" w:rsidRDefault="00D3539A">
      <w:r>
        <w:separator/>
      </w:r>
    </w:p>
  </w:footnote>
  <w:footnote w:id="0" w:type="continuationSeparator">
    <w:p w:rsidR="00D3539A" w:rsidRDefault="00D3539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交银施罗德天鑫宝货币市场基金</w:t>
    </w:r>
    <w:proofErr w:type="spellStart"/>
    <w:r w:rsidRPr="003E676C">
      <w:rPr>
        <w:sz w:val="24"/>
        <w:szCs w:val="24"/>
      </w:rPr>
      <w:t/>
    </w:r>
    <w:proofErr w:type="spellEnd"/>
    <w:r w:rsidRPr="003E676C">
      <w:rPr>
        <w:sz w:val="24"/>
        <w:szCs w:val="24"/>
      </w:rPr>
      <w:t>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3816A4-F601-4D3D-A69D-0F61F34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2020-04-08T01:27:00Z</dcterms:modified>
  <cp:revision>336</cp:revision>
</cp:coreProperties>
</file>