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
      </w:r>
      <w:proofErr w:type="spellStart"/>
      <w:proofErr w:type="gramStart"/>
      <w:r w:rsidRPr="001E1B20">
        <w:rPr>
          <w:b/>
          <w:sz w:val="36"/>
          <w:szCs w:val="36"/>
        </w:rPr>
        <w:t/>
      </w:r>
      <w:proofErr w:type="spellEnd"/>
      <w:proofErr w:type="gramEnd"/>
      <w:r w:rsidRPr="001E1B20">
        <w:rPr>
          <w:b/>
          <w:sz w:val="36"/>
          <w:szCs w:val="36"/>
        </w:rPr>
        <w:t>交银施罗德天利宝货币市场基金</w:t>
      </w:r>
    </w:p>
    <w:p w:rsidP="00281564" w:rsidR="00B60E27" w:rsidRDefault="00B60E27" w:rsidRPr="001E1B20">
      <w:pPr>
        <w:spacing w:before="29" w:line="288" w:lineRule="auto"/>
        <w:jc w:val="center"/>
        <w:rPr>
          <w:b/>
          <w:sz w:val="36"/>
          <w:szCs w:val="36"/>
        </w:rPr>
      </w:pPr>
      <w:r w:rsidRPr="001E1B20">
        <w:rPr>
          <w:b/>
          <w:sz w:val="36"/>
          <w:szCs w:val="36"/>
        </w:rPr>
        <w:t/>
      </w:r>
      <w:proofErr w:type="spellStart"/>
      <w:r w:rsidRPr="001E1B20">
        <w:rPr>
          <w:b/>
          <w:sz w:val="36"/>
          <w:szCs w:val="36"/>
        </w:rPr>
        <w:t/>
      </w:r>
      <w:proofErr w:type="spellEnd"/>
      <w:r w:rsidRPr="001E1B20">
        <w:rPr>
          <w:b/>
          <w:sz w:val="36"/>
          <w:szCs w:val="36"/>
        </w:rPr>
        <w:t>2020年第2季度报告</w:t>
      </w:r>
    </w:p>
    <w:p w:rsidP="00281564" w:rsidR="002B45A4" w:rsidRDefault="00D87D00" w:rsidRPr="001E1B20">
      <w:pPr>
        <w:spacing w:before="29" w:line="288" w:lineRule="auto"/>
        <w:jc w:val="center"/>
        <w:rPr>
          <w:b/>
          <w:sz w:val="36"/>
          <w:szCs w:val="36"/>
        </w:rPr>
      </w:pPr>
      <w:r w:rsidRPr="001E1B20">
        <w:rPr>
          <w:b/>
          <w:sz w:val="36"/>
          <w:szCs w:val="36"/>
        </w:rPr>
        <w:t/>
      </w:r>
      <w:proofErr w:type="spellStart"/>
      <w:proofErr w:type="gramStart"/>
      <w:r w:rsidRPr="001E1B20">
        <w:rPr>
          <w:b/>
          <w:sz w:val="36"/>
          <w:szCs w:val="36"/>
        </w:rPr>
        <w:t/>
      </w:r>
      <w:proofErr w:type="spellEnd"/>
      <w:proofErr w:type="gramEnd"/>
      <w:r w:rsidRPr="001E1B20">
        <w:rPr>
          <w:b/>
          <w:sz w:val="36"/>
          <w:szCs w:val="36"/>
        </w:rPr>
        <w:t>2020年6月30日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
      </w:r>
      <w:proofErr w:type="spellStart"/>
      <w:proofErr w:type="gramStart"/>
      <w:r w:rsidRPr="001E1B20">
        <w:rPr>
          <w:b/>
          <w:color w:val="000000"/>
          <w:sz w:val="24"/>
        </w:rPr>
        <w:t/>
      </w:r>
      <w:proofErr w:type="spellEnd"/>
      <w:proofErr w:type="gramEnd"/>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
      </w:r>
      <w:proofErr w:type="spellStart"/>
      <w:proofErr w:type="gramStart"/>
      <w:r w:rsidRPr="001E1B20">
        <w:rPr>
          <w:b/>
          <w:color w:val="000000"/>
          <w:sz w:val="24"/>
        </w:rPr>
        <w:t/>
      </w:r>
      <w:proofErr w:type="spellEnd"/>
      <w:proofErr w:type="gramEnd"/>
      <w:r w:rsidRPr="001E1B20">
        <w:rPr>
          <w:b/>
          <w:color w:val="000000"/>
          <w:sz w:val="24"/>
        </w:rPr>
        <w:t>中信银行股份有限公司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proofErr w:type="spellStart"/>
      <w:proofErr w:type="gramStart"/>
      <w:r w:rsidR="00EF56FA" w:rsidRPr="001E1B20">
        <w:rPr>
          <w:b/>
          <w:color w:val="000000"/>
          <w:sz w:val="24"/>
        </w:rPr>
        <w:t/>
      </w:r>
      <w:r w:rsidR="00D87D00" w:rsidRPr="001E1B20">
        <w:rPr>
          <w:b/>
          <w:color w:val="000000"/>
          <w:sz w:val="24"/>
        </w:rPr>
        <w:t/>
      </w:r>
      <w:proofErr w:type="spellEnd"/>
      <w:proofErr w:type="gramEnd"/>
      <w:r w:rsidR="00EF56FA" w:rsidRPr="001E1B20">
        <w:rPr>
          <w:b/>
          <w:color w:val="000000"/>
          <w:sz w:val="24"/>
        </w:rPr>
        <w:t>二〇二〇年七月二十一日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基金托管人中信银行股份有限公司根据本基金合同规定，于2020年7月20日复核了本报告中的财务指标、净值表现和投资组合报告等内容，保证复核内容不存在虚假记载、误导性陈述或者重大遗漏。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本报告期自2020年4月1日起至6月30日止。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交银天利宝货币</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002889</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2016年10月19日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2,065,986,814.55</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活期存款利率（税后）</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proofErr w:type="spellStart"/>
            <w:r w:rsidRPr="000E4C40">
              <w:rPr>
                <w:color w:val="000000"/>
                <w:kern w:val="0"/>
                <w:sz w:val="24"/>
              </w:rPr>
              <w:t/>
            </w:r>
            <w:proofErr w:type="spellEnd"/>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中信银行股份有限公司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sz w:val="24"/>
              </w:rPr>
              <w:t/>
            </w:r>
            <w:proofErr w:type="spellEnd"/>
            <w:r w:rsidRPr="000E4C40">
              <w:rPr>
                <w:sz w:val="24"/>
              </w:rPr>
              <w:t/>
            </w:r>
            <w:r w:rsidR="007B082A" w:rsidRPr="000E4C40">
              <w:rPr>
                <w:sz w:val="24"/>
              </w:rPr>
              <w:t/>
            </w:r>
            <w:r w:rsidRPr="000E4C40">
              <w:rPr>
                <w:sz w:val="24"/>
              </w:rPr>
              <w:t>交银天利宝货币A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交银天利宝货币E</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proofErr w:type="spellStart"/>
            <w:r w:rsidRPr="000E4C40">
              <w:rPr>
                <w:sz w:val="24"/>
              </w:rPr>
              <w:t/>
            </w:r>
            <w:proofErr w:type="spellEnd"/>
            <w:r w:rsidRPr="000E4C40">
              <w:rPr>
                <w:sz w:val="24"/>
              </w:rPr>
              <w:t/>
            </w:r>
            <w:r w:rsidR="007B082A" w:rsidRPr="000E4C40">
              <w:rPr>
                <w:sz w:val="24"/>
              </w:rPr>
              <w:t/>
            </w:r>
            <w:r w:rsidRPr="000E4C40">
              <w:rPr>
                <w:sz w:val="24"/>
              </w:rPr>
              <w:t>002889</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002890</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proofErr w:type="spellStart"/>
            <w:r w:rsidR="004702DF" w:rsidRPr="000E4C40">
              <w:rPr>
                <w:color w:val="000000"/>
                <w:kern w:val="0"/>
                <w:sz w:val="24"/>
              </w:rPr>
              <w:t/>
            </w:r>
            <w:proofErr w:type="spellEnd"/>
            <w:r w:rsidRPr="000E4C40">
              <w:rPr>
                <w:sz w:val="24"/>
              </w:rPr>
              <w:t/>
            </w:r>
            <w:r w:rsidR="007B082A" w:rsidRPr="000E4C40">
              <w:rPr>
                <w:sz w:val="24"/>
              </w:rPr>
              <w:t/>
            </w:r>
            <w:r w:rsidRPr="000E4C40">
              <w:rPr>
                <w:sz w:val="24"/>
              </w:rPr>
              <w:t>1,421,150,092.95</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644,836,721.60</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w:t>
            </w:r>
            <w:proofErr w:type="spellStart"/>
            <w:r w:rsidRPr="000E4C40">
              <w:rPr>
                <w:color w:val="000000"/>
                <w:sz w:val="24"/>
              </w:rPr>
              <w:t/>
            </w:r>
            <w:proofErr w:type="spellEnd"/>
            <w:r w:rsidRPr="000E4C40">
              <w:rPr>
                <w:color w:val="000000"/>
                <w:sz w:val="24"/>
              </w:rPr>
              <w:t>2020年4月1日-</w:t>
            </w:r>
            <w:proofErr w:type="spellStart"/>
            <w:r w:rsidRPr="000E4C40">
              <w:rPr>
                <w:color w:val="000000"/>
                <w:sz w:val="24"/>
              </w:rPr>
              <w:t/>
            </w:r>
            <w:proofErr w:type="spellEnd"/>
            <w:r w:rsidRPr="000E4C40">
              <w:rPr>
                <w:color w:val="000000"/>
                <w:sz w:val="24"/>
              </w:rPr>
              <w:t>2020年6月30日)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proofErr w:type="spellStart"/>
            <w:r w:rsidRPr="000E4C40">
              <w:rPr>
                <w:sz w:val="24"/>
              </w:rPr>
              <w:t/>
            </w:r>
            <w:proofErr w:type="spellEnd"/>
            <w:r w:rsidRPr="000E4C40">
              <w:rPr>
                <w:sz w:val="24"/>
              </w:rPr>
              <w:t>交银天利宝货币A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交银天利宝货币E</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6,612,862.65</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4,223,947.86</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6,612,862.65</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4,223,947.86</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proofErr w:type="spellStart"/>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
            </w:r>
            <w:proofErr w:type="spellEnd"/>
            <w:r w:rsidRPr="000E4C40">
              <w:rPr>
                <w:color w:val="000000"/>
                <w:sz w:val="24"/>
              </w:rPr>
              <w:t>1,421,150,092.95</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644,836,721.60</w:t>
            </w:r>
          </w:p>
        </w:tc>
      </w:tr>
    </w:tbl>
    <w:p>
      <w:pPr>
        <w:autoSpaceDE w:val="0"/>
        <w:autoSpaceDN w:val="0"/>
        <w:adjustRightInd w:val="0"/>
        <w:spacing w:before="29" w:line="288" w:lineRule="auto"/>
        <w:jc w:val="left"/>
        <w:rPr>
          <w:color w:val="000000"/>
          <w:sz w:val="24"/>
        </w:rPr>
      </w:pPr>
      <w:r>
        <w:rPr>
          <w:color w:val="000000"/>
          <w:sz w:val="24"/>
        </w:rPr>
        <w:t>注：1、本基金实行销售服务费分类收费方式，分设两类基金份额：A类基金份额和E类基金份额。A类基金份额与E类基金份额的管理费、托管费相同，A类基金份额按照0.25%的年费率计提销售服务费，E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2、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w:t>
      </w:r>
      <w:proofErr w:type="gramStart"/>
      <w:r w:rsidRPr="000E4C40">
        <w:rPr>
          <w:rFonts w:hAnsi="宋体"/>
          <w:b/>
          <w:color w:val="000000"/>
          <w:kern w:val="0"/>
          <w:sz w:val="24"/>
        </w:rPr>
        <w:t>期基金</w:t>
      </w:r>
      <w:proofErr w:type="gramEnd"/>
      <w:r w:rsidRPr="000E4C40">
        <w:rPr>
          <w:rFonts w:hAnsi="宋体"/>
          <w:b/>
          <w:color w:val="000000"/>
          <w:kern w:val="0"/>
          <w:sz w:val="24"/>
        </w:rPr>
        <w:t>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proofErr w:type="spellStart"/>
      <w:r w:rsidR="0024424F" w:rsidRPr="000E4C40">
        <w:rPr>
          <w:rFonts w:ascii="Times New Roman" w:hAnsi="Times New Roman"/>
          <w:b/>
          <w:color w:val="000000"/>
        </w:rPr>
        <w:t/>
      </w:r>
      <w:r w:rsidR="0024424F" w:rsidRPr="000E4C40">
        <w:rPr>
          <w:rFonts w:ascii="Times New Roman" w:hAnsi="Times New Roman"/>
          <w:b/>
          <w:color w:val="auto"/>
        </w:rPr>
        <w:t/>
      </w:r>
      <w:proofErr w:type="spellEnd"/>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交银天利宝货币A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roofErr w:type="spellStart"/>
            <w:r w:rsidR="00636B17" w:rsidRPr="000E4C40">
              <w:rPr>
                <w:rFonts w:ascii="Times New Roman" w:hAnsi="Times New Roman"/>
                <w:color w:val="000000"/>
                <w:szCs w:val="24"/>
              </w:rPr>
              <w:t/>
            </w:r>
            <w:proofErr w:type="spellEnd"/>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0.5135%</w:t>
            </w:r>
          </w:p>
        </w:tc>
        <w:tc>
          <w:tcPr>
            <w:vAlign w:val="center"/>
          </w:tcPr>
          <w:p>
            <w:pPr>
              <w:jc w:val="center"/>
            </w:pPr>
            <w:r>
              <w:rPr>
                <w:rFonts w:ascii="Times New Roman" w:hAnsi="Times New Roman"/>
                <w:color w:val="000000"/>
              </w:rPr>
              <w:t>0.0022%</w:t>
            </w:r>
          </w:p>
        </w:tc>
        <w:tc>
          <w:tcPr>
            <w:vAlign w:val="center"/>
          </w:tcPr>
          <w:p>
            <w:pPr>
              <w:jc w:val="center"/>
            </w:pPr>
            <w:r>
              <w:rPr>
                <w:rFonts w:ascii="Times New Roman" w:hAnsi="Times New Roman"/>
                <w:color w:val="000000"/>
              </w:rPr>
              <w:t>0.0873%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0.4262%</w:t>
            </w:r>
          </w:p>
        </w:tc>
        <w:tc>
          <w:tcPr>
            <w:vAlign w:val="center"/>
          </w:tcPr>
          <w:p>
            <w:pPr>
              <w:jc w:val="center"/>
            </w:pPr>
            <w:r>
              <w:rPr>
                <w:rFonts w:ascii="Times New Roman" w:hAnsi="Times New Roman"/>
                <w:color w:val="000000"/>
              </w:rPr>
              <w:t>0.0022%</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1.1476%</w:t>
            </w:r>
          </w:p>
        </w:tc>
        <w:tc>
          <w:tcPr>
            <w:vAlign w:val="center"/>
          </w:tcPr>
          <w:p>
            <w:pPr>
              <w:jc w:val="center"/>
            </w:pPr>
            <w:r>
              <w:rPr>
                <w:rFonts w:ascii="Times New Roman" w:hAnsi="Times New Roman"/>
                <w:color w:val="000000"/>
              </w:rPr>
              <w:t>0.0021%</w:t>
            </w:r>
          </w:p>
        </w:tc>
        <w:tc>
          <w:tcPr>
            <w:vAlign w:val="center"/>
          </w:tcPr>
          <w:p>
            <w:pPr>
              <w:jc w:val="center"/>
            </w:pPr>
            <w:r>
              <w:rPr>
                <w:rFonts w:ascii="Times New Roman" w:hAnsi="Times New Roman"/>
                <w:color w:val="000000"/>
              </w:rPr>
              <w:t>0.1745%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0.9731%</w:t>
            </w:r>
          </w:p>
        </w:tc>
        <w:tc>
          <w:tcPr>
            <w:vAlign w:val="center"/>
          </w:tcPr>
          <w:p>
            <w:pPr>
              <w:jc w:val="center"/>
            </w:pPr>
            <w:r>
              <w:rPr>
                <w:rFonts w:ascii="Times New Roman" w:hAnsi="Times New Roman"/>
                <w:color w:val="000000"/>
              </w:rPr>
              <w:t>0.0021%</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2.4137%</w:t>
            </w:r>
          </w:p>
        </w:tc>
        <w:tc>
          <w:tcPr>
            <w:vAlign w:val="center"/>
          </w:tcPr>
          <w:p>
            <w:pPr>
              <w:jc w:val="center"/>
            </w:pPr>
            <w:r>
              <w:rPr>
                <w:rFonts w:ascii="Times New Roman" w:hAnsi="Times New Roman"/>
                <w:color w:val="000000"/>
              </w:rPr>
              <w:t>0.0019%</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2.0627%</w:t>
            </w:r>
          </w:p>
        </w:tc>
        <w:tc>
          <w:tcPr>
            <w:vAlign w:val="center"/>
          </w:tcPr>
          <w:p>
            <w:pPr>
              <w:jc w:val="center"/>
            </w:pPr>
            <w:r>
              <w:rPr>
                <w:rFonts w:ascii="Times New Roman" w:hAnsi="Times New Roman"/>
                <w:color w:val="000000"/>
              </w:rPr>
              <w:t>0.0019%</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10.1525%</w:t>
            </w:r>
          </w:p>
        </w:tc>
        <w:tc>
          <w:tcPr>
            <w:vAlign w:val="center"/>
          </w:tcPr>
          <w:p>
            <w:pPr>
              <w:jc w:val="center"/>
            </w:pPr>
            <w:r>
              <w:rPr>
                <w:rFonts w:ascii="Times New Roman" w:hAnsi="Times New Roman"/>
                <w:color w:val="000000"/>
              </w:rPr>
              <w:t>0.0035%</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9.1015%</w:t>
            </w:r>
          </w:p>
        </w:tc>
        <w:tc>
          <w:tcPr>
            <w:vAlign w:val="center"/>
          </w:tcPr>
          <w:p>
            <w:pPr>
              <w:jc w:val="center"/>
            </w:pPr>
            <w:r>
              <w:rPr>
                <w:rFonts w:ascii="Times New Roman" w:hAnsi="Times New Roman"/>
                <w:color w:val="000000"/>
              </w:rPr>
              <w:t>0.0035%</w:t>
            </w:r>
          </w:p>
        </w:tc>
      </w:tr>
      <w:tr>
        <w:tc>
          <w:tcPr>
            <w:vAlign w:val="center"/>
          </w:tcPr>
          <w:p>
            <w:pPr>
              <w:jc w:val="left"/>
            </w:pPr>
            <w:r>
              <w:rPr>
                <w:rFonts w:ascii="Times New Roman" w:hAnsi="Times New Roman"/>
                <w:color w:val="000000"/>
              </w:rPr>
              <w:t>自基金合同生效起至今</w:t>
            </w:r>
          </w:p>
        </w:tc>
        <w:tc>
          <w:tcPr>
            <w:vAlign w:val="center"/>
          </w:tcPr>
          <w:p>
            <w:pPr>
              <w:jc w:val="center"/>
            </w:pPr>
            <w:r>
              <w:rPr>
                <w:rFonts w:ascii="Times New Roman" w:hAnsi="Times New Roman"/>
                <w:color w:val="000000"/>
              </w:rPr>
              <w:t>12.8166%</w:t>
            </w:r>
          </w:p>
        </w:tc>
        <w:tc>
          <w:tcPr>
            <w:vAlign w:val="center"/>
          </w:tcPr>
          <w:p>
            <w:pPr>
              <w:jc w:val="center"/>
            </w:pPr>
            <w:r>
              <w:rPr>
                <w:rFonts w:ascii="Times New Roman" w:hAnsi="Times New Roman"/>
                <w:color w:val="000000"/>
              </w:rPr>
              <w:t>0.0033%</w:t>
            </w:r>
          </w:p>
        </w:tc>
        <w:tc>
          <w:tcPr>
            <w:vAlign w:val="center"/>
          </w:tcPr>
          <w:p>
            <w:pPr>
              <w:jc w:val="center"/>
            </w:pPr>
            <w:r>
              <w:rPr>
                <w:rFonts w:ascii="Times New Roman" w:hAnsi="Times New Roman"/>
                <w:color w:val="000000"/>
              </w:rPr>
              <w:t>1.2955%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11.5211%</w:t>
            </w:r>
          </w:p>
        </w:tc>
        <w:tc>
          <w:tcPr>
            <w:vAlign w:val="center"/>
          </w:tcPr>
          <w:p>
            <w:pPr>
              <w:jc w:val="center"/>
            </w:pPr>
            <w:r>
              <w:rPr>
                <w:rFonts w:ascii="Times New Roman" w:hAnsi="Times New Roman"/>
                <w:color w:val="000000"/>
              </w:rPr>
              <w:t>0.0033%</w:t>
            </w:r>
          </w:p>
        </w:tc>
      </w:tr>
    </w:tbl>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r w:rsidR="00ED5511" w:rsidRPr="000E4C40">
        <w:rPr>
          <w:color w:val="000000"/>
          <w:sz w:val="24"/>
        </w:rPr>
        <w:t/>
      </w:r>
      <w:r w:rsidRPr="000E4C40">
        <w:rPr>
          <w:color w:val="000000"/>
          <w:sz w:val="24"/>
        </w:rPr>
        <w:t/>
      </w:r>
      <w:proofErr w:type="gramEnd"/>
      <w:r w:rsidRPr="000E4C40">
        <w:rPr>
          <w:color w:val="000000"/>
          <w:sz w:val="24"/>
        </w:rPr>
        <w:t>注：本基金收益分配按日结转份额。</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交银天利宝货币E</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roofErr w:type="spellStart"/>
            <w:r w:rsidRPr="000E4C40">
              <w:rPr>
                <w:rFonts w:ascii="Times New Roman" w:hAnsi="Times New Roman"/>
                <w:color w:val="000000"/>
                <w:szCs w:val="24"/>
              </w:rPr>
              <w:t/>
            </w:r>
            <w:proofErr w:type="spellEnd"/>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0.5734%</w:t>
            </w:r>
          </w:p>
        </w:tc>
        <w:tc>
          <w:tcPr>
            <w:vAlign w:val="center"/>
          </w:tcPr>
          <w:p>
            <w:pPr>
              <w:jc w:val="center"/>
            </w:pPr>
            <w:r>
              <w:rPr>
                <w:rFonts w:ascii="Times New Roman" w:hAnsi="Times New Roman"/>
                <w:color w:val="000000"/>
              </w:rPr>
              <w:t>0.0022%</w:t>
            </w:r>
          </w:p>
        </w:tc>
        <w:tc>
          <w:tcPr>
            <w:vAlign w:val="center"/>
          </w:tcPr>
          <w:p>
            <w:pPr>
              <w:jc w:val="center"/>
            </w:pPr>
            <w:r>
              <w:rPr>
                <w:rFonts w:ascii="Times New Roman" w:hAnsi="Times New Roman"/>
                <w:color w:val="000000"/>
              </w:rPr>
              <w:t>0.0873%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0.4861%</w:t>
            </w:r>
          </w:p>
        </w:tc>
        <w:tc>
          <w:tcPr>
            <w:vAlign w:val="center"/>
          </w:tcPr>
          <w:p>
            <w:pPr>
              <w:jc w:val="center"/>
            </w:pPr>
            <w:r>
              <w:rPr>
                <w:rFonts w:ascii="Times New Roman" w:hAnsi="Times New Roman"/>
                <w:color w:val="000000"/>
              </w:rPr>
              <w:t>0.0022%</w:t>
            </w:r>
          </w:p>
        </w:tc>
      </w:tr>
      <w:tr>
        <w:tc>
          <w:tcPr>
            <w:vAlign w:val="center"/>
          </w:tcPr>
          <w:p>
            <w:pPr>
              <w:jc w:val="left"/>
            </w:pPr>
            <w:r>
              <w:rPr>
                <w:rFonts w:ascii="Times New Roman" w:hAnsi="Times New Roman"/>
                <w:color w:val="000000"/>
              </w:rPr>
              <w:t>过去六个月</w:t>
            </w:r>
          </w:p>
        </w:tc>
        <w:tc>
          <w:tcPr>
            <w:vAlign w:val="center"/>
          </w:tcPr>
          <w:p>
            <w:pPr>
              <w:jc w:val="center"/>
            </w:pPr>
            <w:r>
              <w:rPr>
                <w:rFonts w:ascii="Times New Roman" w:hAnsi="Times New Roman"/>
                <w:color w:val="000000"/>
              </w:rPr>
              <w:t>1.2680%</w:t>
            </w:r>
          </w:p>
        </w:tc>
        <w:tc>
          <w:tcPr>
            <w:vAlign w:val="center"/>
          </w:tcPr>
          <w:p>
            <w:pPr>
              <w:jc w:val="center"/>
            </w:pPr>
            <w:r>
              <w:rPr>
                <w:rFonts w:ascii="Times New Roman" w:hAnsi="Times New Roman"/>
                <w:color w:val="000000"/>
              </w:rPr>
              <w:t>0.0021%</w:t>
            </w:r>
          </w:p>
        </w:tc>
        <w:tc>
          <w:tcPr>
            <w:vAlign w:val="center"/>
          </w:tcPr>
          <w:p>
            <w:pPr>
              <w:jc w:val="center"/>
            </w:pPr>
            <w:r>
              <w:rPr>
                <w:rFonts w:ascii="Times New Roman" w:hAnsi="Times New Roman"/>
                <w:color w:val="000000"/>
              </w:rPr>
              <w:t>0.1745%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1.0935%</w:t>
            </w:r>
          </w:p>
        </w:tc>
        <w:tc>
          <w:tcPr>
            <w:vAlign w:val="center"/>
          </w:tcPr>
          <w:p>
            <w:pPr>
              <w:jc w:val="center"/>
            </w:pPr>
            <w:r>
              <w:rPr>
                <w:rFonts w:ascii="Times New Roman" w:hAnsi="Times New Roman"/>
                <w:color w:val="000000"/>
              </w:rPr>
              <w:t>0.0021%</w:t>
            </w:r>
          </w:p>
        </w:tc>
      </w:tr>
      <w:tr>
        <w:tc>
          <w:tcPr>
            <w:vAlign w:val="center"/>
          </w:tcPr>
          <w:p>
            <w:pPr>
              <w:jc w:val="left"/>
            </w:pPr>
            <w:r>
              <w:rPr>
                <w:rFonts w:ascii="Times New Roman" w:hAnsi="Times New Roman"/>
                <w:color w:val="000000"/>
              </w:rPr>
              <w:t>过去一年</w:t>
            </w:r>
          </w:p>
        </w:tc>
        <w:tc>
          <w:tcPr>
            <w:vAlign w:val="center"/>
          </w:tcPr>
          <w:p>
            <w:pPr>
              <w:jc w:val="center"/>
            </w:pPr>
            <w:r>
              <w:rPr>
                <w:rFonts w:ascii="Times New Roman" w:hAnsi="Times New Roman"/>
                <w:color w:val="000000"/>
              </w:rPr>
              <w:t>2.6590%</w:t>
            </w:r>
          </w:p>
        </w:tc>
        <w:tc>
          <w:tcPr>
            <w:vAlign w:val="center"/>
          </w:tcPr>
          <w:p>
            <w:pPr>
              <w:jc w:val="center"/>
            </w:pPr>
            <w:r>
              <w:rPr>
                <w:rFonts w:ascii="Times New Roman" w:hAnsi="Times New Roman"/>
                <w:color w:val="000000"/>
              </w:rPr>
              <w:t>0.0019%</w:t>
            </w:r>
          </w:p>
        </w:tc>
        <w:tc>
          <w:tcPr>
            <w:vAlign w:val="center"/>
          </w:tcPr>
          <w:p>
            <w:pPr>
              <w:jc w:val="center"/>
            </w:pPr>
            <w:r>
              <w:rPr>
                <w:rFonts w:ascii="Times New Roman" w:hAnsi="Times New Roman"/>
                <w:color w:val="000000"/>
              </w:rPr>
              <w:t>0.3510%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2.3080%</w:t>
            </w:r>
          </w:p>
        </w:tc>
        <w:tc>
          <w:tcPr>
            <w:vAlign w:val="center"/>
          </w:tcPr>
          <w:p>
            <w:pPr>
              <w:jc w:val="center"/>
            </w:pPr>
            <w:r>
              <w:rPr>
                <w:rFonts w:ascii="Times New Roman" w:hAnsi="Times New Roman"/>
                <w:color w:val="000000"/>
              </w:rPr>
              <w:t>0.0019%</w:t>
            </w:r>
          </w:p>
        </w:tc>
      </w:tr>
      <w:tr>
        <w:tc>
          <w:tcPr>
            <w:vAlign w:val="center"/>
          </w:tcPr>
          <w:p>
            <w:pPr>
              <w:jc w:val="left"/>
            </w:pPr>
            <w:r>
              <w:rPr>
                <w:rFonts w:ascii="Times New Roman" w:hAnsi="Times New Roman"/>
                <w:color w:val="000000"/>
              </w:rPr>
              <w:t>过去三年</w:t>
            </w:r>
          </w:p>
        </w:tc>
        <w:tc>
          <w:tcPr>
            <w:vAlign w:val="center"/>
          </w:tcPr>
          <w:p>
            <w:pPr>
              <w:jc w:val="center"/>
            </w:pPr>
            <w:r>
              <w:rPr>
                <w:rFonts w:ascii="Times New Roman" w:hAnsi="Times New Roman"/>
                <w:color w:val="000000"/>
              </w:rPr>
              <w:t>10.9456%</w:t>
            </w:r>
          </w:p>
        </w:tc>
        <w:tc>
          <w:tcPr>
            <w:vAlign w:val="center"/>
          </w:tcPr>
          <w:p>
            <w:pPr>
              <w:jc w:val="center"/>
            </w:pPr>
            <w:r>
              <w:rPr>
                <w:rFonts w:ascii="Times New Roman" w:hAnsi="Times New Roman"/>
                <w:color w:val="000000"/>
              </w:rPr>
              <w:t>0.0035%</w:t>
            </w:r>
          </w:p>
        </w:tc>
        <w:tc>
          <w:tcPr>
            <w:vAlign w:val="center"/>
          </w:tcPr>
          <w:p>
            <w:pPr>
              <w:jc w:val="center"/>
            </w:pPr>
            <w:r>
              <w:rPr>
                <w:rFonts w:ascii="Times New Roman" w:hAnsi="Times New Roman"/>
                <w:color w:val="000000"/>
              </w:rPr>
              <w:t>1.0510%</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9.8946%</w:t>
            </w:r>
          </w:p>
        </w:tc>
        <w:tc>
          <w:tcPr>
            <w:vAlign w:val="center"/>
          </w:tcPr>
          <w:p>
            <w:pPr>
              <w:jc w:val="center"/>
            </w:pPr>
            <w:r>
              <w:rPr>
                <w:rFonts w:ascii="Times New Roman" w:hAnsi="Times New Roman"/>
                <w:color w:val="000000"/>
              </w:rPr>
              <w:t>0.0035%</w:t>
            </w:r>
          </w:p>
        </w:tc>
      </w:tr>
      <w:tr>
        <w:tc>
          <w:tcPr>
            <w:vAlign w:val="center"/>
          </w:tcPr>
          <w:p>
            <w:pPr>
              <w:jc w:val="left"/>
            </w:pPr>
            <w:r>
              <w:rPr>
                <w:rFonts w:ascii="Times New Roman" w:hAnsi="Times New Roman"/>
                <w:color w:val="000000"/>
              </w:rPr>
              <w:t>自基金合同生效起至今</w:t>
            </w:r>
          </w:p>
        </w:tc>
        <w:tc>
          <w:tcPr>
            <w:vAlign w:val="center"/>
          </w:tcPr>
          <w:p>
            <w:pPr>
              <w:jc w:val="center"/>
            </w:pPr>
            <w:r>
              <w:rPr>
                <w:rFonts w:ascii="Times New Roman" w:hAnsi="Times New Roman"/>
                <w:color w:val="000000"/>
              </w:rPr>
              <w:t>13.8146%</w:t>
            </w:r>
          </w:p>
        </w:tc>
        <w:tc>
          <w:tcPr>
            <w:vAlign w:val="center"/>
          </w:tcPr>
          <w:p>
            <w:pPr>
              <w:jc w:val="center"/>
            </w:pPr>
            <w:r>
              <w:rPr>
                <w:rFonts w:ascii="Times New Roman" w:hAnsi="Times New Roman"/>
                <w:color w:val="000000"/>
              </w:rPr>
              <w:t>0.0033%</w:t>
            </w:r>
          </w:p>
        </w:tc>
        <w:tc>
          <w:tcPr>
            <w:vAlign w:val="center"/>
          </w:tcPr>
          <w:p>
            <w:pPr>
              <w:jc w:val="center"/>
            </w:pPr>
            <w:r>
              <w:rPr>
                <w:rFonts w:ascii="Times New Roman" w:hAnsi="Times New Roman"/>
                <w:color w:val="000000"/>
              </w:rPr>
              <w:t>1.2955%</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12.5191%</w:t>
            </w:r>
          </w:p>
        </w:tc>
        <w:tc>
          <w:tcPr>
            <w:vAlign w:val="center"/>
          </w:tcPr>
          <w:p>
            <w:pPr>
              <w:jc w:val="center"/>
            </w:pPr>
            <w:r>
              <w:rPr>
                <w:rFonts w:ascii="Times New Roman" w:hAnsi="Times New Roman"/>
                <w:color w:val="000000"/>
              </w:rPr>
              <w:t>0.0033%</w:t>
            </w:r>
          </w:p>
        </w:tc>
      </w:tr>
    </w:tbl>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r w:rsidR="00327FB0" w:rsidRPr="000E4C40">
        <w:rPr>
          <w:color w:val="000000"/>
          <w:sz w:val="24"/>
        </w:rPr>
        <w:t/>
      </w:r>
      <w:r w:rsidR="000F78F3">
        <w:rPr>
          <w:rFonts w:hint="eastAsia"/>
          <w:color w:val="000000"/>
          <w:sz w:val="24"/>
        </w:rPr>
        <w:t/>
      </w:r>
      <w:proofErr w:type="gramEnd"/>
      <w:r w:rsidRPr="000E4C40">
        <w:rPr>
          <w:color w:val="000000"/>
          <w:sz w:val="24"/>
        </w:rPr>
        <w:t>注：本基金收益分配按日结转份额。</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
      </w:r>
      <w:proofErr w:type="spellStart"/>
      <w:r w:rsidR="00A21753" w:rsidRPr="00D8505A">
        <w:rPr>
          <w:rFonts w:hint="eastAsia"/>
          <w:b/>
          <w:color w:val="000000"/>
          <w:kern w:val="0"/>
          <w:sz w:val="24"/>
        </w:rPr>
        <w:t/>
      </w:r>
      <w:proofErr w:type="spellEnd"/>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
      </w:r>
      <w:proofErr w:type="spellStart"/>
      <w:proofErr w:type="gramStart"/>
      <w:r w:rsidRPr="000E4C40">
        <w:rPr>
          <w:sz w:val="24"/>
        </w:rPr>
        <w:t/>
      </w:r>
      <w:proofErr w:type="spellEnd"/>
      <w:proofErr w:type="gramEnd"/>
      <w:r w:rsidRPr="000E4C40">
        <w:rPr>
          <w:sz w:val="24"/>
        </w:rPr>
        <w:t>交银施罗德天利宝货币市场基金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
      </w:r>
      <w:proofErr w:type="spellStart"/>
      <w:r w:rsidR="00D87D00" w:rsidRPr="000E4C40">
        <w:rPr>
          <w:color w:val="000000"/>
          <w:kern w:val="0"/>
          <w:sz w:val="24"/>
        </w:rPr>
        <w:t/>
      </w:r>
      <w:proofErr w:type="spellEnd"/>
      <w:r w:rsidR="00D87D00" w:rsidRPr="000E4C40">
        <w:rPr>
          <w:color w:val="000000"/>
          <w:kern w:val="0"/>
          <w:sz w:val="24"/>
        </w:rPr>
        <w:t>2016年10月19日</w:t>
      </w:r>
      <w:r w:rsidR="00A7219D" w:rsidRPr="000E4C40">
        <w:rPr>
          <w:rFonts w:hAnsi="宋体"/>
          <w:color w:val="000000"/>
          <w:kern w:val="0"/>
          <w:sz w:val="24"/>
        </w:rPr>
        <w:t>至</w:t>
      </w:r>
      <w:r w:rsidR="00A7219D" w:rsidRPr="000E4C40">
        <w:rPr>
          <w:color w:val="000000"/>
          <w:kern w:val="0"/>
          <w:sz w:val="24"/>
        </w:rPr>
        <w:t/>
      </w:r>
      <w:proofErr w:type="spellStart"/>
      <w:r w:rsidR="00A7219D" w:rsidRPr="000E4C40">
        <w:rPr>
          <w:color w:val="000000"/>
          <w:kern w:val="0"/>
          <w:sz w:val="24"/>
        </w:rPr>
        <w:t/>
      </w:r>
      <w:proofErr w:type="spellEnd"/>
      <w:r w:rsidR="00A7219D" w:rsidRPr="000E4C40">
        <w:rPr>
          <w:color w:val="000000"/>
          <w:kern w:val="0"/>
          <w:sz w:val="24"/>
        </w:rPr>
        <w:t>2020年6月30日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交银天利宝货币A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proofErr w:type="gramStart"/>
      <w:r w:rsidRPr="000E4C40">
        <w:rPr>
          <w:color w:val="000000"/>
          <w:sz w:val="24"/>
        </w:rPr>
        <w:t/>
      </w:r>
      <w:proofErr w:type="gramEnd"/>
      <w:r w:rsidRPr="000E4C40">
        <w:rPr>
          <w:color w:val="000000"/>
          <w:sz w:val="24"/>
        </w:rPr>
        <w:t>注：本基金建仓期为自基金合同生效日起的6个月。截至建仓期结束，本基金各项资产配置比例符合基金合同及招募说明书有关投资比例的约定。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交银天利宝货币E</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proofErr w:type="gramStart"/>
      <w:r w:rsidRPr="000E4C40">
        <w:rPr>
          <w:color w:val="000000"/>
          <w:sz w:val="24"/>
        </w:rPr>
        <w:t/>
      </w:r>
      <w:r w:rsidR="000F78F3">
        <w:rPr>
          <w:color w:val="000000"/>
          <w:sz w:val="24"/>
        </w:rPr>
        <w:t/>
      </w:r>
      <w:r w:rsidR="000F78F3">
        <w:rPr>
          <w:rFonts w:hint="eastAsia"/>
          <w:color w:val="000000"/>
          <w:sz w:val="24"/>
        </w:rPr>
        <w:t/>
      </w:r>
      <w:proofErr w:type="gramEnd"/>
      <w:r w:rsidRPr="000E4C40">
        <w:rPr>
          <w:color w:val="000000"/>
          <w:sz w:val="24"/>
        </w:rPr>
        <w:t>注：本基金建仓期为自基金合同生效日起的6个月。截至建仓期结束，本基金各项资产配置比例符合基金合同及招募说明书有关投资比例的约定。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roofErr w:type="gramStart"/>
            <w:r w:rsidRPr="000E4C40">
              <w:rPr>
                <w:rFonts w:hAnsi="宋体"/>
                <w:color w:val="000000"/>
                <w:kern w:val="0"/>
                <w:sz w:val="24"/>
              </w:rPr>
              <w:t>任本基金</w:t>
            </w:r>
            <w:proofErr w:type="gramEnd"/>
            <w:r w:rsidRPr="000E4C40">
              <w:rPr>
                <w:rFonts w:hAnsi="宋体"/>
                <w:color w:val="000000"/>
                <w:kern w:val="0"/>
                <w:sz w:val="24"/>
              </w:rPr>
              <w:t>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黄莹洁</w:t>
            </w:r>
          </w:p>
        </w:tc>
        <w:tc>
          <w:tcPr>
            <w:vAlign w:val="center"/>
          </w:tcPr>
          <w:p>
            <w:pPr>
              <w:jc w:val="center"/>
            </w:pPr>
            <w:r>
              <w:rPr>
                <w:color w:val="000000"/>
                <w:sz w:val="24"/>
              </w:rPr>
              <w:t>交银理财21天债券、交银丰享收益债券、交银活期通货币、交银天利宝货币、交银裕隆纯债债券、交银天益宝货币、交银境尚收益债券、交银稳鑫短债债券、交银稳利中短债债券的基金经理</w:t>
            </w:r>
          </w:p>
        </w:tc>
        <w:tc>
          <w:tcPr>
            <w:vAlign w:val="center"/>
          </w:tcPr>
          <w:p>
            <w:pPr>
              <w:jc w:val="center"/>
            </w:pPr>
            <w:r>
              <w:rPr>
                <w:color w:val="000000"/>
                <w:sz w:val="24"/>
              </w:rPr>
              <w:t>2016-10-19</w:t>
            </w:r>
          </w:p>
        </w:tc>
        <w:tc>
          <w:tcPr>
            <w:vAlign w:val="center"/>
          </w:tcPr>
          <w:p>
            <w:pPr>
              <w:jc w:val="center"/>
            </w:pPr>
            <w:r>
              <w:rPr>
                <w:color w:val="000000"/>
                <w:sz w:val="24"/>
              </w:rPr>
              <w:t>-</w:t>
            </w:r>
          </w:p>
        </w:tc>
        <w:tc>
          <w:tcPr>
            <w:vAlign w:val="center"/>
          </w:tcPr>
          <w:p>
            <w:pPr>
              <w:jc w:val="center"/>
            </w:pPr>
            <w:r>
              <w:rPr>
                <w:color w:val="000000"/>
                <w:sz w:val="24"/>
              </w:rPr>
              <w:t>12年</w:t>
            </w:r>
          </w:p>
        </w:tc>
        <w:tc>
          <w:tcPr>
            <w:vAlign w:val="center"/>
          </w:tcPr>
          <w:p>
            <w:pPr>
              <w:jc w:val="both"/>
            </w:pPr>
            <w:r>
              <w:rPr>
                <w:color w:val="000000"/>
                <w:sz w:val="24"/>
              </w:rPr>
              <w:t>黄莹洁女士，香港大学工商管理硕士、北京大学经济学、管理学双学士。历任中海基金管理有限公司交易员。2012年加入交银施罗德基金管理有限公司，历任中央交易室交易员。2015年7月25日至2018年3月18日担任交银施罗德丰泽收益债券型证券投资基金的基金经理。2015年5月27日至2019年8月2日担任交银施罗德货币市场证券投资基金、交银施罗德现金宝货币市场基金的基金经理。2016年12月7日至2019年8月2日担任交银施罗德天鑫宝货币市场基金的基金经理。2015年12月29日至2019年10月23日担任交银施罗德裕通纯债债券型证券投资基金的基金经理。</w:t>
            </w:r>
          </w:p>
        </w:tc>
      </w:tr>
    </w:tbl>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proofErr w:type="gramEnd"/>
      <w:r w:rsidRPr="000E4C40">
        <w:rPr>
          <w:color w:val="000000"/>
          <w:sz w:val="24"/>
        </w:rPr>
        <w:t>注：基金经理（或基金经理小组）期后变动（如有）敬请关注基金管理人发布的相关公告。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本报告期内，受到经济回升预期、地方债和特别国债的供给放量冲击、对货币政策进一步大幅放松预期的落空等几方面因素的影响，债券收益率呈上行走势。由于短端资金价格中枢的明显上移，使得债券短端收益率上行幅度更大，收益率曲线呈现熊平态势。截止6月30日，一年国债和十年国债分别收于2.18%和2.82%，较一季度末分别上行49bp和23bp。</w:t>
      </w:r>
    </w:p>
    <w:p>
      <w:pPr>
        <w:spacing w:before="29" w:line="288" w:lineRule="auto"/>
        <w:ind w:firstLine="480" w:firstLineChars="200"/>
        <w:rPr>
          <w:color w:val="000000"/>
          <w:sz w:val="24"/>
        </w:rPr>
      </w:pPr>
      <w:r>
        <w:rPr>
          <w:color w:val="000000"/>
          <w:sz w:val="24"/>
        </w:rPr>
        <w:t>由于货币政策边际略有收紧，货币市场工具利率上行明显，三个月股份制银行的同业存单利率上行到2.15%附近，较一季度末有45bp幅度的上行。</w:t>
      </w:r>
    </w:p>
    <w:p>
      <w:pPr>
        <w:spacing w:before="29" w:line="288" w:lineRule="auto"/>
        <w:ind w:firstLine="480" w:firstLineChars="200"/>
        <w:rPr>
          <w:color w:val="000000"/>
          <w:sz w:val="24"/>
        </w:rPr>
      </w:pPr>
      <w:r>
        <w:rPr>
          <w:color w:val="000000"/>
          <w:sz w:val="24"/>
        </w:rPr>
        <w:t>基金操作方面，在货币市场绝对收益较低的市场环境下，我们仍旧保持短久期的操作思路，组合运作平稳。在季度末资产价格相对较好的时点适当运用杠杆增配资产增厚组合收益。由于同等评级信用债收益率较同业存单利率略高，高等级信用债的性价比相对更优，组合适当增配了高等级信用债，组合整体流动性良好。</w:t>
      </w:r>
    </w:p>
    <w:p>
      <w:pPr>
        <w:spacing w:before="29" w:line="288" w:lineRule="auto"/>
        <w:ind w:firstLine="480" w:firstLineChars="200"/>
        <w:rPr>
          <w:color w:val="000000"/>
          <w:sz w:val="24"/>
        </w:rPr>
      </w:pPr>
      <w:r>
        <w:rPr>
          <w:color w:val="000000"/>
          <w:sz w:val="24"/>
        </w:rPr>
        <w:t>展望2020年三季度，在服务消费的带动下经济增速有望逐步回升，但近期观测到的工业增加值不及预期，显示经济复苏的基础并不牢固，在全球经济受疫情影响时间拉长、程度加深的背景下，经济更可能是一个弱复苏的态势。资金面方面，我们认为经过最近的调整，资金利率已经回归到了政策利率附近，考虑货币政策整体并未转向，国务院常务会议要求引导贷款与债券利率下行，资金利率继续上行的空间已经有限。</w:t>
      </w:r>
    </w:p>
    <w:p w:rsidP="00281564" w:rsidR="00C4627A" w:rsidRDefault="00C4627A"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将根据不同资产收益率的动态变化，适时调整组合结构，根据期限利差动态调整组合杠杆率，通过对市场利率的前瞻性判断进行合理有效的久期管理，严格控制信用风险、流动性风险和利率风险，努力为持有人创造稳健的收益。</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
      </w:r>
      <w:proofErr w:type="spellStart"/>
      <w:r w:rsidRPr="002070B4">
        <w:rPr>
          <w:b/>
          <w:color w:val="000000"/>
          <w:kern w:val="0"/>
          <w:sz w:val="24"/>
        </w:rPr>
        <w:t/>
      </w:r>
      <w:proofErr w:type="spellEnd"/>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
      </w:r>
      <w:proofErr w:type="gramStart"/>
      <w:r w:rsidRPr="002070B4">
        <w:rPr>
          <w:color w:val="000000"/>
          <w:sz w:val="24"/>
        </w:rPr>
        <w:t/>
      </w:r>
      <w:proofErr w:type="gramEnd"/>
      <w:r w:rsidRPr="002070B4">
        <w:rPr>
          <w:color w:val="000000"/>
          <w:sz w:val="24"/>
        </w:rPr>
        <w:t>本基金本报告期内无需预警说明。</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proofErr w:type="spellStart"/>
      <w:r w:rsidRPr="000F4B69">
        <w:rPr>
          <w:rFonts w:hint="eastAsia"/>
          <w:color w:val="000000"/>
          <w:kern w:val="0"/>
          <w:sz w:val="24"/>
        </w:rPr>
        <w:t/>
      </w:r>
      <w:proofErr w:type="spellEnd"/>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998,712,124.16</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40.40</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918,712,124.16</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37.16</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80,000,000.00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3.24</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698,847,288.27</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28.27</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695,419,347.74</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28.13</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79,109,955.01</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3.20</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2,472,088,715.18</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15.58</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405,124,077.43</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19.61</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
            </w:r>
            <w:proofErr w:type="spellStart"/>
            <w:r w:rsidRPr="000E4C40">
              <w:rPr>
                <w:sz w:val="24"/>
              </w:rPr>
              <w:t/>
            </w:r>
            <w:proofErr w:type="spellEnd"/>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
      </w:r>
      <w:proofErr w:type="spellStart"/>
      <w:r w:rsidRPr="000E4C40">
        <w:rPr>
          <w:color w:val="000000"/>
          <w:sz w:val="24"/>
        </w:rPr>
        <w:t/>
      </w:r>
      <w:proofErr w:type="spellEnd"/>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
      </w:r>
      <w:proofErr w:type="gramStart"/>
      <w:r w:rsidRPr="000E4C40">
        <w:rPr>
          <w:color w:val="000000"/>
          <w:sz w:val="24"/>
        </w:rPr>
        <w:t/>
      </w:r>
      <w:proofErr w:type="gramEnd"/>
      <w:r w:rsidRPr="000E4C40">
        <w:rPr>
          <w:color w:val="000000"/>
          <w:sz w:val="24"/>
        </w:rPr>
        <w:t>本基金本报告期内债券正回购的资金余额未超过资产净值的20%。</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57</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proofErr w:type="spellEnd"/>
            <w:r w:rsidRPr="000E4C40">
              <w:rPr>
                <w:color w:val="000000"/>
                <w:sz w:val="24"/>
              </w:rPr>
              <w:t>76</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proofErr w:type="spellStart"/>
            <w:r w:rsidRPr="000E4C40">
              <w:rPr>
                <w:color w:val="000000"/>
                <w:sz w:val="24"/>
              </w:rPr>
              <w:t/>
            </w:r>
            <w:r w:rsidR="002E040C" w:rsidRPr="000E4C40">
              <w:rPr>
                <w:color w:val="000000"/>
                <w:sz w:val="24"/>
              </w:rPr>
              <w:t/>
            </w:r>
            <w:r w:rsidRPr="000E4C40">
              <w:rPr>
                <w:color w:val="000000"/>
                <w:sz w:val="24"/>
              </w:rPr>
              <w:t/>
            </w:r>
            <w:r w:rsidRPr="000E4C40">
              <w:rPr>
                <w:sz w:val="24"/>
              </w:rPr>
              <w:t/>
            </w:r>
            <w:proofErr w:type="spellEnd"/>
            <w:r w:rsidRPr="000E4C40">
              <w:rPr>
                <w:sz w:val="24"/>
              </w:rPr>
              <w:t>49</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
      </w:r>
      <w:proofErr w:type="gramStart"/>
      <w:r w:rsidRPr="000E5695">
        <w:rPr>
          <w:kern w:val="0"/>
          <w:sz w:val="24"/>
        </w:rPr>
        <w:t/>
      </w:r>
      <w:proofErr w:type="gramEnd"/>
      <w:r w:rsidRPr="000E5695">
        <w:rPr>
          <w:kern w:val="0"/>
          <w:sz w:val="24"/>
        </w:rPr>
        <w:t>本基金合同约定：“本基金投资组合的平均剩余期限在每个交易日均不得超过120天”。本报告期内，本基金未发生超标情况。</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roofErr w:type="spellStart"/>
            <w:r w:rsidR="00114C97" w:rsidRPr="000E4C40">
              <w:rPr>
                <w:color w:val="000000"/>
                <w:kern w:val="0"/>
                <w:sz w:val="24"/>
              </w:rPr>
              <w:t/>
            </w:r>
            <w:proofErr w:type="spellEnd"/>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41.83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19.61</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11.12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45.98</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6.74</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10.15</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115.83</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19.61</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
      </w:r>
      <w:proofErr w:type="gramStart"/>
      <w:r w:rsidRPr="00F046FB">
        <w:rPr>
          <w:rFonts w:ascii="宋体" w:hAnsi="宋体" w:hint="eastAsia"/>
          <w:color w:val="000000"/>
          <w:sz w:val="24"/>
        </w:rPr>
        <w:t/>
      </w:r>
      <w:proofErr w:type="gramEnd"/>
      <w:r w:rsidRPr="00F046FB">
        <w:rPr>
          <w:rFonts w:ascii="宋体" w:hAnsi="宋体" w:hint="eastAsia"/>
          <w:color w:val="000000"/>
          <w:sz w:val="24"/>
        </w:rPr>
        <w:t>本基金本报告期内投资组合平均剩余存续期限未超过240天。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proofErr w:type="spellStart"/>
      <w:r w:rsidRPr="00FE3EEE">
        <w:rPr>
          <w:rFonts w:hint="eastAsia"/>
          <w:color w:val="000000"/>
          <w:kern w:val="0"/>
          <w:sz w:val="24"/>
        </w:rPr>
        <w:t/>
      </w:r>
      <w:proofErr w:type="spellEnd"/>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roofErr w:type="spellStart"/>
            <w:r w:rsidR="006214E4" w:rsidRPr="000E4C40">
              <w:rPr>
                <w:color w:val="000000"/>
                <w:sz w:val="24"/>
              </w:rPr>
              <w:t/>
            </w:r>
            <w:proofErr w:type="spellEnd"/>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w:t>
            </w:r>
            <w:proofErr w:type="gramStart"/>
            <w:r>
              <w:rPr>
                <w:rFonts w:hAnsi="宋体"/>
                <w:sz w:val="24"/>
              </w:rPr>
              <w:t>余成本</w:t>
            </w:r>
            <w:proofErr w:type="gramEnd"/>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80,033,336.76</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3.87</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30,153,909.55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1.46</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30,153,909.55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1.46</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proofErr w:type="gramStart"/>
            <w:r w:rsidR="00BC0205" w:rsidRPr="000E4C40">
              <w:rPr>
                <w:rFonts w:hAnsi="宋体"/>
                <w:color w:val="000000"/>
                <w:sz w:val="24"/>
              </w:rPr>
              <w:t>券</w:t>
            </w:r>
            <w:proofErr w:type="gramEnd"/>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550,113,678.11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26.63</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258,411,199.74</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proofErr w:type="spellStart"/>
            <w:r w:rsidRPr="00432A2C">
              <w:rPr>
                <w:color w:val="000000"/>
                <w:sz w:val="24"/>
              </w:rPr>
              <w:t/>
            </w:r>
            <w:proofErr w:type="spellEnd"/>
            <w:r w:rsidRPr="00432A2C">
              <w:rPr>
                <w:rFonts w:hint="eastAsia"/>
                <w:color w:val="000000"/>
                <w:sz w:val="24"/>
              </w:rPr>
              <w:t>12.51</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proofErr w:type="spellStart"/>
            <w:r w:rsidRPr="000E4C40">
              <w:rPr>
                <w:color w:val="000000"/>
                <w:sz w:val="24"/>
              </w:rPr>
              <w:t/>
            </w:r>
            <w:r w:rsidRPr="000E4C40">
              <w:rPr>
                <w:color w:val="000000"/>
                <w:sz w:val="24"/>
              </w:rPr>
              <w:lastRenderedPageBreak/>
              <w:t/>
            </w:r>
            <w:proofErr w:type="spellEnd"/>
            <w:r w:rsidRPr="000E4C40">
              <w:rPr>
                <w:color w:val="000000"/>
                <w:sz w:val="24"/>
              </w:rPr>
              <w:t>918,712,124.16</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proofErr w:type="spellStart"/>
            <w:r w:rsidRPr="000E4C40">
              <w:rPr>
                <w:color w:val="000000"/>
                <w:sz w:val="24"/>
              </w:rPr>
              <w:t/>
            </w:r>
            <w:r w:rsidRPr="000E4C40">
              <w:rPr>
                <w:color w:val="000000"/>
                <w:sz w:val="24"/>
              </w:rPr>
              <w:lastRenderedPageBreak/>
              <w:t/>
            </w:r>
            <w:proofErr w:type="spellEnd"/>
            <w:r w:rsidRPr="000E4C40">
              <w:rPr>
                <w:color w:val="000000"/>
                <w:sz w:val="24"/>
              </w:rPr>
              <w:t>44.47</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w:t>
      </w:r>
      <w:proofErr w:type="gramStart"/>
      <w:r w:rsidR="00902E3F" w:rsidRPr="000E4C40">
        <w:rPr>
          <w:rFonts w:hAnsi="宋体"/>
          <w:b/>
          <w:color w:val="000000"/>
          <w:kern w:val="0"/>
          <w:sz w:val="24"/>
        </w:rPr>
        <w:t>按摊余成本</w:t>
      </w:r>
      <w:proofErr w:type="gramEnd"/>
      <w:r w:rsidR="00902E3F" w:rsidRPr="000E4C40">
        <w:rPr>
          <w:rFonts w:hAnsi="宋体"/>
          <w:b/>
          <w:color w:val="000000"/>
          <w:kern w:val="0"/>
          <w:sz w:val="24"/>
        </w:rPr>
        <w:t>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proofErr w:type="spellStart"/>
      <w:r w:rsidRPr="00E5775C">
        <w:rPr>
          <w:rFonts w:hint="eastAsia"/>
          <w:color w:val="000000"/>
          <w:kern w:val="0"/>
          <w:sz w:val="24"/>
        </w:rPr>
        <w:t/>
      </w:r>
      <w:proofErr w:type="spellEnd"/>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w:t>
            </w:r>
            <w:proofErr w:type="gramStart"/>
            <w:r>
              <w:rPr>
                <w:rFonts w:hAnsi="宋体"/>
                <w:color w:val="000000"/>
                <w:kern w:val="0"/>
                <w:sz w:val="24"/>
              </w:rPr>
              <w:t>余成本</w:t>
            </w:r>
            <w:proofErr w:type="gramEnd"/>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011903021</w:t>
            </w:r>
          </w:p>
        </w:tc>
        <w:tc>
          <w:tcPr>
            <w:vAlign w:val="center"/>
          </w:tcPr>
          <w:p>
            <w:pPr>
              <w:jc w:val="center"/>
            </w:pPr>
            <w:r>
              <w:rPr>
                <w:color w:val="000000"/>
                <w:sz w:val="24"/>
              </w:rPr>
              <w:t>19浙能源SCP013</w:t>
            </w:r>
          </w:p>
        </w:tc>
        <w:tc>
          <w:tcPr>
            <w:vAlign w:val="center"/>
          </w:tcPr>
          <w:p>
            <w:pPr>
              <w:jc w:val="right"/>
            </w:pPr>
            <w:r>
              <w:rPr>
                <w:color w:val="000000"/>
                <w:sz w:val="24"/>
              </w:rPr>
              <w:t>800,000</w:t>
            </w:r>
          </w:p>
        </w:tc>
        <w:tc>
          <w:tcPr>
            <w:vAlign w:val="center"/>
          </w:tcPr>
          <w:p>
            <w:pPr>
              <w:jc w:val="right"/>
            </w:pPr>
            <w:r>
              <w:rPr>
                <w:color w:val="000000"/>
                <w:sz w:val="24"/>
              </w:rPr>
              <w:t>80,208,369.43</w:t>
            </w:r>
          </w:p>
        </w:tc>
        <w:tc>
          <w:tcPr>
            <w:vAlign w:val="center"/>
          </w:tcPr>
          <w:p>
            <w:pPr>
              <w:jc w:val="right"/>
            </w:pPr>
            <w:r>
              <w:rPr>
                <w:color w:val="000000"/>
                <w:sz w:val="24"/>
              </w:rPr>
              <w:t>3.88</w:t>
            </w:r>
          </w:p>
        </w:tc>
      </w:tr>
      <w:tr>
        <w:tc>
          <w:tcPr>
            <w:vAlign w:val="center"/>
          </w:tcPr>
          <w:p>
            <w:pPr>
              <w:jc w:val="center"/>
            </w:pPr>
            <w:r>
              <w:rPr>
                <w:color w:val="000000"/>
                <w:sz w:val="24"/>
              </w:rPr>
              <w:t>2</w:t>
            </w:r>
          </w:p>
        </w:tc>
        <w:tc>
          <w:tcPr>
            <w:vAlign w:val="center"/>
          </w:tcPr>
          <w:p>
            <w:pPr>
              <w:jc w:val="center"/>
            </w:pPr>
            <w:r>
              <w:rPr>
                <w:color w:val="000000"/>
                <w:sz w:val="24"/>
              </w:rPr>
              <w:t>011903005</w:t>
            </w:r>
          </w:p>
        </w:tc>
        <w:tc>
          <w:tcPr>
            <w:vAlign w:val="center"/>
          </w:tcPr>
          <w:p>
            <w:pPr>
              <w:jc w:val="center"/>
            </w:pPr>
            <w:r>
              <w:rPr>
                <w:color w:val="000000"/>
                <w:sz w:val="24"/>
              </w:rPr>
              <w:t>19中油股SCP002</w:t>
            </w:r>
          </w:p>
        </w:tc>
        <w:tc>
          <w:tcPr>
            <w:vAlign w:val="center"/>
          </w:tcPr>
          <w:p>
            <w:pPr>
              <w:jc w:val="right"/>
            </w:pPr>
            <w:r>
              <w:rPr>
                <w:color w:val="000000"/>
                <w:sz w:val="24"/>
              </w:rPr>
              <w:t>600,000</w:t>
            </w:r>
          </w:p>
        </w:tc>
        <w:tc>
          <w:tcPr>
            <w:vAlign w:val="center"/>
          </w:tcPr>
          <w:p>
            <w:pPr>
              <w:jc w:val="right"/>
            </w:pPr>
            <w:r>
              <w:rPr>
                <w:color w:val="000000"/>
                <w:sz w:val="24"/>
              </w:rPr>
              <w:t>60,098,493.15</w:t>
            </w:r>
          </w:p>
        </w:tc>
        <w:tc>
          <w:tcPr>
            <w:vAlign w:val="center"/>
          </w:tcPr>
          <w:p>
            <w:pPr>
              <w:jc w:val="right"/>
            </w:pPr>
            <w:r>
              <w:rPr>
                <w:color w:val="000000"/>
                <w:sz w:val="24"/>
              </w:rPr>
              <w:t>2.91</w:t>
            </w:r>
          </w:p>
        </w:tc>
      </w:tr>
      <w:tr>
        <w:tc>
          <w:tcPr>
            <w:vAlign w:val="center"/>
          </w:tcPr>
          <w:p>
            <w:pPr>
              <w:jc w:val="center"/>
            </w:pPr>
            <w:r>
              <w:rPr>
                <w:color w:val="000000"/>
                <w:sz w:val="24"/>
              </w:rPr>
              <w:t>3</w:t>
            </w:r>
          </w:p>
        </w:tc>
        <w:tc>
          <w:tcPr>
            <w:vAlign w:val="center"/>
          </w:tcPr>
          <w:p>
            <w:pPr>
              <w:jc w:val="center"/>
            </w:pPr>
            <w:r>
              <w:rPr>
                <w:color w:val="000000"/>
                <w:sz w:val="24"/>
              </w:rPr>
              <w:t>112082100</w:t>
            </w:r>
          </w:p>
        </w:tc>
        <w:tc>
          <w:tcPr>
            <w:vAlign w:val="center"/>
          </w:tcPr>
          <w:p>
            <w:pPr>
              <w:jc w:val="center"/>
            </w:pPr>
            <w:r>
              <w:rPr>
                <w:color w:val="000000"/>
                <w:sz w:val="24"/>
              </w:rPr>
              <w:t>20广西北部湾银行CD207</w:t>
            </w:r>
          </w:p>
        </w:tc>
        <w:tc>
          <w:tcPr>
            <w:vAlign w:val="center"/>
          </w:tcPr>
          <w:p>
            <w:pPr>
              <w:jc w:val="right"/>
            </w:pPr>
            <w:r>
              <w:rPr>
                <w:color w:val="000000"/>
                <w:sz w:val="24"/>
              </w:rPr>
              <w:t>600,000</w:t>
            </w:r>
          </w:p>
        </w:tc>
        <w:tc>
          <w:tcPr>
            <w:vAlign w:val="center"/>
          </w:tcPr>
          <w:p>
            <w:pPr>
              <w:jc w:val="right"/>
            </w:pPr>
            <w:r>
              <w:rPr>
                <w:color w:val="000000"/>
                <w:sz w:val="24"/>
              </w:rPr>
              <w:t>59,647,348.21</w:t>
            </w:r>
          </w:p>
        </w:tc>
        <w:tc>
          <w:tcPr>
            <w:vAlign w:val="center"/>
          </w:tcPr>
          <w:p>
            <w:pPr>
              <w:jc w:val="right"/>
            </w:pPr>
            <w:r>
              <w:rPr>
                <w:color w:val="000000"/>
                <w:sz w:val="24"/>
              </w:rPr>
              <w:t>2.89</w:t>
            </w:r>
          </w:p>
        </w:tc>
      </w:tr>
      <w:tr>
        <w:tc>
          <w:tcPr>
            <w:vAlign w:val="center"/>
          </w:tcPr>
          <w:p>
            <w:pPr>
              <w:jc w:val="center"/>
            </w:pPr>
            <w:r>
              <w:rPr>
                <w:color w:val="000000"/>
                <w:sz w:val="24"/>
              </w:rPr>
              <w:t>4</w:t>
            </w:r>
          </w:p>
        </w:tc>
        <w:tc>
          <w:tcPr>
            <w:vAlign w:val="center"/>
          </w:tcPr>
          <w:p>
            <w:pPr>
              <w:jc w:val="center"/>
            </w:pPr>
            <w:r>
              <w:rPr>
                <w:color w:val="000000"/>
                <w:sz w:val="24"/>
              </w:rPr>
              <w:t>190012</w:t>
            </w:r>
          </w:p>
        </w:tc>
        <w:tc>
          <w:tcPr>
            <w:vAlign w:val="center"/>
          </w:tcPr>
          <w:p>
            <w:pPr>
              <w:jc w:val="center"/>
            </w:pPr>
            <w:r>
              <w:rPr>
                <w:color w:val="000000"/>
                <w:sz w:val="24"/>
              </w:rPr>
              <w:t>19附息国债12</w:t>
            </w:r>
          </w:p>
        </w:tc>
        <w:tc>
          <w:tcPr>
            <w:vAlign w:val="center"/>
          </w:tcPr>
          <w:p>
            <w:pPr>
              <w:jc w:val="right"/>
            </w:pPr>
            <w:r>
              <w:rPr>
                <w:color w:val="000000"/>
                <w:sz w:val="24"/>
              </w:rPr>
              <w:t>500,000</w:t>
            </w:r>
          </w:p>
        </w:tc>
        <w:tc>
          <w:tcPr>
            <w:vAlign w:val="center"/>
          </w:tcPr>
          <w:p>
            <w:pPr>
              <w:jc w:val="right"/>
            </w:pPr>
            <w:r>
              <w:rPr>
                <w:color w:val="000000"/>
                <w:sz w:val="24"/>
              </w:rPr>
              <w:t>50,077,550.81</w:t>
            </w:r>
          </w:p>
        </w:tc>
        <w:tc>
          <w:tcPr>
            <w:vAlign w:val="center"/>
          </w:tcPr>
          <w:p>
            <w:pPr>
              <w:jc w:val="right"/>
            </w:pPr>
            <w:r>
              <w:rPr>
                <w:color w:val="000000"/>
                <w:sz w:val="24"/>
              </w:rPr>
              <w:t>2.42</w:t>
            </w:r>
          </w:p>
        </w:tc>
      </w:tr>
      <w:tr>
        <w:tc>
          <w:tcPr>
            <w:vAlign w:val="center"/>
          </w:tcPr>
          <w:p>
            <w:pPr>
              <w:jc w:val="center"/>
            </w:pPr>
            <w:r>
              <w:rPr>
                <w:color w:val="000000"/>
                <w:sz w:val="24"/>
              </w:rPr>
              <w:t>5</w:t>
            </w:r>
          </w:p>
        </w:tc>
        <w:tc>
          <w:tcPr>
            <w:vAlign w:val="center"/>
          </w:tcPr>
          <w:p>
            <w:pPr>
              <w:jc w:val="center"/>
            </w:pPr>
            <w:r>
              <w:rPr>
                <w:color w:val="000000"/>
                <w:sz w:val="24"/>
              </w:rPr>
              <w:t>012000866</w:t>
            </w:r>
          </w:p>
        </w:tc>
        <w:tc>
          <w:tcPr>
            <w:vAlign w:val="center"/>
          </w:tcPr>
          <w:p>
            <w:pPr>
              <w:jc w:val="center"/>
            </w:pPr>
            <w:r>
              <w:rPr>
                <w:color w:val="000000"/>
                <w:sz w:val="24"/>
              </w:rPr>
              <w:t>20中石化SCP002</w:t>
            </w:r>
          </w:p>
        </w:tc>
        <w:tc>
          <w:tcPr>
            <w:vAlign w:val="center"/>
          </w:tcPr>
          <w:p>
            <w:pPr>
              <w:jc w:val="right"/>
            </w:pPr>
            <w:r>
              <w:rPr>
                <w:color w:val="000000"/>
                <w:sz w:val="24"/>
              </w:rPr>
              <w:t>500,000</w:t>
            </w:r>
          </w:p>
        </w:tc>
        <w:tc>
          <w:tcPr>
            <w:vAlign w:val="center"/>
          </w:tcPr>
          <w:p>
            <w:pPr>
              <w:jc w:val="right"/>
            </w:pPr>
            <w:r>
              <w:rPr>
                <w:color w:val="000000"/>
                <w:sz w:val="24"/>
              </w:rPr>
              <w:t>50,057,258.45</w:t>
            </w:r>
          </w:p>
        </w:tc>
        <w:tc>
          <w:tcPr>
            <w:vAlign w:val="center"/>
          </w:tcPr>
          <w:p>
            <w:pPr>
              <w:jc w:val="right"/>
            </w:pPr>
            <w:r>
              <w:rPr>
                <w:color w:val="000000"/>
                <w:sz w:val="24"/>
              </w:rPr>
              <w:t>2.42</w:t>
            </w:r>
          </w:p>
        </w:tc>
      </w:tr>
      <w:tr>
        <w:tc>
          <w:tcPr>
            <w:vAlign w:val="center"/>
          </w:tcPr>
          <w:p>
            <w:pPr>
              <w:jc w:val="center"/>
            </w:pPr>
            <w:r>
              <w:rPr>
                <w:color w:val="000000"/>
                <w:sz w:val="24"/>
              </w:rPr>
              <w:t>6</w:t>
            </w:r>
          </w:p>
        </w:tc>
        <w:tc>
          <w:tcPr>
            <w:vAlign w:val="center"/>
          </w:tcPr>
          <w:p>
            <w:pPr>
              <w:jc w:val="center"/>
            </w:pPr>
            <w:r>
              <w:rPr>
                <w:color w:val="000000"/>
                <w:sz w:val="24"/>
              </w:rPr>
              <w:t>012000914</w:t>
            </w:r>
          </w:p>
        </w:tc>
        <w:tc>
          <w:tcPr>
            <w:vAlign w:val="center"/>
          </w:tcPr>
          <w:p>
            <w:pPr>
              <w:jc w:val="center"/>
            </w:pPr>
            <w:r>
              <w:rPr>
                <w:color w:val="000000"/>
                <w:sz w:val="24"/>
              </w:rPr>
              <w:t>20苏交通SCP006</w:t>
            </w:r>
          </w:p>
        </w:tc>
        <w:tc>
          <w:tcPr>
            <w:vAlign w:val="center"/>
          </w:tcPr>
          <w:p>
            <w:pPr>
              <w:jc w:val="right"/>
            </w:pPr>
            <w:r>
              <w:rPr>
                <w:color w:val="000000"/>
                <w:sz w:val="24"/>
              </w:rPr>
              <w:t>500,000</w:t>
            </w:r>
          </w:p>
        </w:tc>
        <w:tc>
          <w:tcPr>
            <w:vAlign w:val="center"/>
          </w:tcPr>
          <w:p>
            <w:pPr>
              <w:jc w:val="right"/>
            </w:pPr>
            <w:r>
              <w:rPr>
                <w:color w:val="000000"/>
                <w:sz w:val="24"/>
              </w:rPr>
              <w:t>50,010,939.11</w:t>
            </w:r>
          </w:p>
        </w:tc>
        <w:tc>
          <w:tcPr>
            <w:vAlign w:val="center"/>
          </w:tcPr>
          <w:p>
            <w:pPr>
              <w:jc w:val="right"/>
            </w:pPr>
            <w:r>
              <w:rPr>
                <w:color w:val="000000"/>
                <w:sz w:val="24"/>
              </w:rPr>
              <w:t>2.42</w:t>
            </w:r>
          </w:p>
        </w:tc>
      </w:tr>
      <w:tr>
        <w:tc>
          <w:tcPr>
            <w:vAlign w:val="center"/>
          </w:tcPr>
          <w:p>
            <w:pPr>
              <w:jc w:val="center"/>
            </w:pPr>
            <w:r>
              <w:rPr>
                <w:color w:val="000000"/>
                <w:sz w:val="24"/>
              </w:rPr>
              <w:t>7</w:t>
            </w:r>
          </w:p>
        </w:tc>
        <w:tc>
          <w:tcPr>
            <w:vAlign w:val="center"/>
          </w:tcPr>
          <w:p>
            <w:pPr>
              <w:jc w:val="center"/>
            </w:pPr>
            <w:r>
              <w:rPr>
                <w:color w:val="000000"/>
                <w:sz w:val="24"/>
              </w:rPr>
              <w:t>072000156</w:t>
            </w:r>
          </w:p>
        </w:tc>
        <w:tc>
          <w:tcPr>
            <w:vAlign w:val="center"/>
          </w:tcPr>
          <w:p>
            <w:pPr>
              <w:jc w:val="center"/>
            </w:pPr>
            <w:r>
              <w:rPr>
                <w:color w:val="000000"/>
                <w:sz w:val="24"/>
              </w:rPr>
              <w:t>20华泰证券CP006</w:t>
            </w:r>
          </w:p>
        </w:tc>
        <w:tc>
          <w:tcPr>
            <w:vAlign w:val="center"/>
          </w:tcPr>
          <w:p>
            <w:pPr>
              <w:jc w:val="right"/>
            </w:pPr>
            <w:r>
              <w:rPr>
                <w:color w:val="000000"/>
                <w:sz w:val="24"/>
              </w:rPr>
              <w:t>500,000</w:t>
            </w:r>
          </w:p>
        </w:tc>
        <w:tc>
          <w:tcPr>
            <w:vAlign w:val="center"/>
          </w:tcPr>
          <w:p>
            <w:pPr>
              <w:jc w:val="right"/>
            </w:pPr>
            <w:r>
              <w:rPr>
                <w:color w:val="000000"/>
                <w:sz w:val="24"/>
              </w:rPr>
              <w:t>49,994,752.74</w:t>
            </w:r>
          </w:p>
        </w:tc>
        <w:tc>
          <w:tcPr>
            <w:vAlign w:val="center"/>
          </w:tcPr>
          <w:p>
            <w:pPr>
              <w:jc w:val="right"/>
            </w:pPr>
            <w:r>
              <w:rPr>
                <w:color w:val="000000"/>
                <w:sz w:val="24"/>
              </w:rPr>
              <w:t>2.42</w:t>
            </w:r>
          </w:p>
        </w:tc>
      </w:tr>
      <w:tr>
        <w:tc>
          <w:tcPr>
            <w:vAlign w:val="center"/>
          </w:tcPr>
          <w:p>
            <w:pPr>
              <w:jc w:val="center"/>
            </w:pPr>
            <w:r>
              <w:rPr>
                <w:color w:val="000000"/>
                <w:sz w:val="24"/>
              </w:rPr>
              <w:t>8</w:t>
            </w:r>
          </w:p>
        </w:tc>
        <w:tc>
          <w:tcPr>
            <w:vAlign w:val="center"/>
          </w:tcPr>
          <w:p>
            <w:pPr>
              <w:jc w:val="center"/>
            </w:pPr>
            <w:r>
              <w:rPr>
                <w:color w:val="000000"/>
                <w:sz w:val="24"/>
              </w:rPr>
              <w:t>012000884</w:t>
            </w:r>
          </w:p>
        </w:tc>
        <w:tc>
          <w:tcPr>
            <w:vAlign w:val="center"/>
          </w:tcPr>
          <w:p>
            <w:pPr>
              <w:jc w:val="center"/>
            </w:pPr>
            <w:r>
              <w:rPr>
                <w:color w:val="000000"/>
                <w:sz w:val="24"/>
              </w:rPr>
              <w:t>20铁塔股份SCP003</w:t>
            </w:r>
          </w:p>
        </w:tc>
        <w:tc>
          <w:tcPr>
            <w:vAlign w:val="center"/>
          </w:tcPr>
          <w:p>
            <w:pPr>
              <w:jc w:val="right"/>
            </w:pPr>
            <w:r>
              <w:rPr>
                <w:color w:val="000000"/>
                <w:sz w:val="24"/>
              </w:rPr>
              <w:t>500,000</w:t>
            </w:r>
          </w:p>
        </w:tc>
        <w:tc>
          <w:tcPr>
            <w:vAlign w:val="center"/>
          </w:tcPr>
          <w:p>
            <w:pPr>
              <w:jc w:val="right"/>
            </w:pPr>
            <w:r>
              <w:rPr>
                <w:color w:val="000000"/>
                <w:sz w:val="24"/>
              </w:rPr>
              <w:t>49,966,513.10</w:t>
            </w:r>
          </w:p>
        </w:tc>
        <w:tc>
          <w:tcPr>
            <w:vAlign w:val="center"/>
          </w:tcPr>
          <w:p>
            <w:pPr>
              <w:jc w:val="right"/>
            </w:pPr>
            <w:r>
              <w:rPr>
                <w:color w:val="000000"/>
                <w:sz w:val="24"/>
              </w:rPr>
              <w:t>2.42</w:t>
            </w:r>
          </w:p>
        </w:tc>
      </w:tr>
      <w:tr>
        <w:tc>
          <w:tcPr>
            <w:vAlign w:val="center"/>
          </w:tcPr>
          <w:p>
            <w:pPr>
              <w:jc w:val="center"/>
            </w:pPr>
            <w:r>
              <w:rPr>
                <w:color w:val="000000"/>
                <w:sz w:val="24"/>
              </w:rPr>
              <w:t>9</w:t>
            </w:r>
          </w:p>
        </w:tc>
        <w:tc>
          <w:tcPr>
            <w:vAlign w:val="center"/>
          </w:tcPr>
          <w:p>
            <w:pPr>
              <w:jc w:val="center"/>
            </w:pPr>
            <w:r>
              <w:rPr>
                <w:color w:val="000000"/>
                <w:sz w:val="24"/>
              </w:rPr>
              <w:t>012001977</w:t>
            </w:r>
          </w:p>
        </w:tc>
        <w:tc>
          <w:tcPr>
            <w:vAlign w:val="center"/>
          </w:tcPr>
          <w:p>
            <w:pPr>
              <w:jc w:val="center"/>
            </w:pPr>
            <w:r>
              <w:rPr>
                <w:color w:val="000000"/>
                <w:sz w:val="24"/>
              </w:rPr>
              <w:t>20苏交通SCP014</w:t>
            </w:r>
          </w:p>
        </w:tc>
        <w:tc>
          <w:tcPr>
            <w:vAlign w:val="center"/>
          </w:tcPr>
          <w:p>
            <w:pPr>
              <w:jc w:val="right"/>
            </w:pPr>
            <w:r>
              <w:rPr>
                <w:color w:val="000000"/>
                <w:sz w:val="24"/>
              </w:rPr>
              <w:t>500,000</w:t>
            </w:r>
          </w:p>
        </w:tc>
        <w:tc>
          <w:tcPr>
            <w:vAlign w:val="center"/>
          </w:tcPr>
          <w:p>
            <w:pPr>
              <w:jc w:val="right"/>
            </w:pPr>
            <w:r>
              <w:rPr>
                <w:color w:val="000000"/>
                <w:sz w:val="24"/>
              </w:rPr>
              <w:t>49,960,954.33</w:t>
            </w:r>
          </w:p>
        </w:tc>
        <w:tc>
          <w:tcPr>
            <w:vAlign w:val="center"/>
          </w:tcPr>
          <w:p>
            <w:pPr>
              <w:jc w:val="right"/>
            </w:pPr>
            <w:r>
              <w:rPr>
                <w:color w:val="000000"/>
                <w:sz w:val="24"/>
              </w:rPr>
              <w:t>2.42</w:t>
            </w:r>
          </w:p>
        </w:tc>
      </w:tr>
      <w:tr>
        <w:tc>
          <w:tcPr>
            <w:vAlign w:val="center"/>
          </w:tcPr>
          <w:p>
            <w:pPr>
              <w:jc w:val="center"/>
            </w:pPr>
            <w:r>
              <w:rPr>
                <w:color w:val="000000"/>
                <w:sz w:val="24"/>
              </w:rPr>
              <w:t>10</w:t>
            </w:r>
          </w:p>
        </w:tc>
        <w:tc>
          <w:tcPr>
            <w:vAlign w:val="center"/>
          </w:tcPr>
          <w:p>
            <w:pPr>
              <w:jc w:val="center"/>
            </w:pPr>
            <w:r>
              <w:rPr>
                <w:color w:val="000000"/>
                <w:sz w:val="24"/>
              </w:rPr>
              <w:t>012000855</w:t>
            </w:r>
          </w:p>
        </w:tc>
        <w:tc>
          <w:tcPr>
            <w:vAlign w:val="center"/>
          </w:tcPr>
          <w:p>
            <w:pPr>
              <w:jc w:val="center"/>
            </w:pPr>
            <w:r>
              <w:rPr>
                <w:color w:val="000000"/>
                <w:sz w:val="24"/>
              </w:rPr>
              <w:t>20沪港务SCP001</w:t>
            </w:r>
          </w:p>
        </w:tc>
        <w:tc>
          <w:tcPr>
            <w:vAlign w:val="center"/>
          </w:tcPr>
          <w:p>
            <w:pPr>
              <w:jc w:val="right"/>
            </w:pPr>
            <w:r>
              <w:rPr>
                <w:color w:val="000000"/>
                <w:sz w:val="24"/>
              </w:rPr>
              <w:t>500,000</w:t>
            </w:r>
          </w:p>
        </w:tc>
        <w:tc>
          <w:tcPr>
            <w:vAlign w:val="center"/>
          </w:tcPr>
          <w:p>
            <w:pPr>
              <w:jc w:val="right"/>
            </w:pPr>
            <w:r>
              <w:rPr>
                <w:color w:val="000000"/>
                <w:sz w:val="24"/>
              </w:rPr>
              <w:t>49,942,053.42</w:t>
            </w:r>
          </w:p>
        </w:tc>
        <w:tc>
          <w:tcPr>
            <w:vAlign w:val="center"/>
          </w:tcPr>
          <w:p>
            <w:pPr>
              <w:jc w:val="right"/>
            </w:pPr>
            <w:r>
              <w:rPr>
                <w:color w:val="000000"/>
                <w:sz w:val="24"/>
              </w:rPr>
              <w:t>2.42</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roofErr w:type="spellStart"/>
            <w:r w:rsidR="006D4647" w:rsidRPr="000E4C40">
              <w:rPr>
                <w:color w:val="000000"/>
                <w:kern w:val="0"/>
                <w:sz w:val="24"/>
              </w:rPr>
              <w:t/>
            </w:r>
            <w:proofErr w:type="spellEnd"/>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0.1730%</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proofErr w:type="spellStart"/>
            <w:r w:rsidRPr="000E4C40">
              <w:rPr>
                <w:color w:val="000000"/>
                <w:sz w:val="24"/>
              </w:rPr>
              <w:t/>
            </w:r>
            <w:proofErr w:type="spellEnd"/>
            <w:r w:rsidRPr="000E4C40">
              <w:rPr>
                <w:color w:val="000000"/>
                <w:sz w:val="24"/>
              </w:rPr>
              <w:t>-0.0171%</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0.0838%</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
      </w:r>
      <w:proofErr w:type="gramStart"/>
      <w:r w:rsidRPr="002304D5">
        <w:rPr>
          <w:color w:val="000000"/>
          <w:sz w:val="24"/>
        </w:rPr>
        <w:t/>
      </w:r>
      <w:proofErr w:type="gramEnd"/>
      <w:r w:rsidRPr="002304D5">
        <w:rPr>
          <w:color w:val="000000"/>
          <w:sz w:val="24"/>
        </w:rPr>
        <w:t>本基金本报告期内未存在负偏离度的绝对值达到0.25%的情况。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
      </w:r>
      <w:proofErr w:type="gramStart"/>
      <w:r w:rsidRPr="002304D5">
        <w:rPr>
          <w:color w:val="000000"/>
          <w:sz w:val="24"/>
        </w:rPr>
        <w:t/>
      </w:r>
      <w:proofErr w:type="gramEnd"/>
      <w:r w:rsidRPr="002304D5">
        <w:rPr>
          <w:color w:val="000000"/>
          <w:sz w:val="24"/>
        </w:rPr>
        <w:t>本基金本报告期内未存在正偏离度的绝对值达到0.5%的情况。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proofErr w:type="spellStart"/>
      <w:r w:rsidRPr="00E97D49">
        <w:rPr>
          <w:rFonts w:hint="eastAsia"/>
          <w:color w:val="000000"/>
          <w:kern w:val="0"/>
          <w:sz w:val="24"/>
        </w:rPr>
        <w:t/>
      </w:r>
      <w:proofErr w:type="spellEnd"/>
      <w:r w:rsidRPr="00E97D49">
        <w:rPr>
          <w:rFonts w:hint="eastAsia"/>
          <w:color w:val="000000"/>
          <w:kern w:val="0"/>
          <w:sz w:val="24"/>
        </w:rPr>
        <w:t/>
      </w:r>
      <w:r w:rsidRPr="00E97D49">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470"/>
        <w:gridCol w:w="1469"/>
        <w:gridCol w:w="1469"/>
        <w:gridCol w:w="1646"/>
        <w:gridCol w:w="1580"/>
        <w:gridCol w:w="1668"/>
      </w:tblGrid>
      <w:tr w:rsidR="00BF1111" w:rsidRPr="000E4C40" w:rsidTr="008F34CE">
        <w:trPr>
          <w:jc w:val="center"/>
        </w:trPr>
        <w:tc>
          <w:tcPr>
            <w:tcW w:type="dxa" w:w="1503"/>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01"/>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60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08"/>
            <w:vAlign w:val="center"/>
          </w:tcPr>
          <w:p w:rsidP="00B34175" w:rsidR="00BF1111" w:rsidRDefault="00BD3669" w:rsidRPr="000E4C40">
            <w:pPr>
              <w:autoSpaceDE w:val="0"/>
              <w:autoSpaceDN w:val="0"/>
              <w:adjustRightInd w:val="0"/>
              <w:spacing w:before="29" w:line="288" w:lineRule="auto"/>
              <w:ind w:left="15"/>
              <w:jc w:val="center"/>
              <w:rPr>
                <w:rFonts w:hint="eastAsia"/>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bookmarkStart w:id="2" w:name="_GoBack"/>
            <w:bookmarkEnd w:id="2"/>
          </w:p>
        </w:tc>
        <w:tc>
          <w:tcPr>
            <w:tcW w:type="dxa" w:w="1681"/>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168001</w:t>
            </w:r>
          </w:p>
        </w:tc>
        <w:tc>
          <w:tcPr>
            <w:vAlign w:val="center"/>
          </w:tcPr>
          <w:p>
            <w:pPr>
              <w:jc w:val="center"/>
            </w:pPr>
            <w:r>
              <w:rPr>
                <w:color w:val="000000"/>
                <w:sz w:val="24"/>
              </w:rPr>
              <w:t>4如日A02</w:t>
            </w:r>
          </w:p>
        </w:tc>
        <w:tc>
          <w:tcPr>
            <w:vAlign w:val="center"/>
          </w:tcPr>
          <w:p>
            <w:pPr>
              <w:jc w:val="right"/>
            </w:pPr>
            <w:r>
              <w:rPr>
                <w:color w:val="000000"/>
                <w:sz w:val="24"/>
              </w:rPr>
              <w:t>800,000</w:t>
            </w:r>
          </w:p>
        </w:tc>
        <w:tc>
          <w:tcPr>
            <w:vAlign w:val="center"/>
          </w:tcPr>
          <w:p>
            <w:pPr>
              <w:jc w:val="right"/>
            </w:pPr>
            <w:r>
              <w:rPr>
                <w:color w:val="000000"/>
                <w:sz w:val="24"/>
              </w:rPr>
              <w:t>80,000,000.00</w:t>
            </w:r>
          </w:p>
        </w:tc>
        <w:tc>
          <w:tcPr>
            <w:vAlign w:val="center"/>
          </w:tcPr>
          <w:p>
            <w:pPr>
              <w:jc w:val="right"/>
            </w:pPr>
            <w:r>
              <w:rPr>
                <w:color w:val="000000"/>
                <w:sz w:val="24"/>
              </w:rPr>
              <w:t>3.87</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
      </w:r>
      <w:proofErr w:type="gramStart"/>
      <w:r w:rsidR="00EB25E4" w:rsidRPr="000E4C40">
        <w:rPr>
          <w:color w:val="000000"/>
          <w:sz w:val="24"/>
        </w:rPr>
        <w:t/>
      </w:r>
      <w:proofErr w:type="gramEnd"/>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proofErr w:type="spellStart"/>
      <w:r w:rsidRPr="00A53C6C">
        <w:rPr>
          <w:rFonts w:hint="eastAsia"/>
          <w:color w:val="000000"/>
          <w:kern w:val="0"/>
          <w:sz w:val="24"/>
        </w:rPr>
        <w:t/>
      </w:r>
      <w:proofErr w:type="spellEnd"/>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7,846,380.07</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71,263,449.94</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125.00</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79,109,955.01</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r w:rsidRPr="00346DC3">
        <w:rPr>
          <w:b/>
          <w:color w:val="000000"/>
          <w:kern w:val="0"/>
          <w:sz w:val="24"/>
        </w:rPr>
        <w:t/>
      </w:r>
      <w:proofErr w:type="spellStart"/>
      <w:r w:rsidRPr="00346DC3">
        <w:rPr>
          <w:b/>
          <w:color w:val="000000"/>
          <w:kern w:val="0"/>
          <w:sz w:val="24"/>
        </w:rPr>
        <w:t/>
      </w:r>
      <w:proofErr w:type="spellEnd"/>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p w:rsidP="00930856" w:rsidR="00452D31" w:rsidRDefault="00452D31" w:rsidRPr="000E4C40">
      <w:pPr>
        <w:spacing w:before="29" w:line="288" w:lineRule="auto"/>
        <w:rPr>
          <w:color w:val="000000"/>
          <w:sz w:val="24"/>
        </w:rPr>
      </w:pPr>
      <w:r w:rsidRPr="000E4C40">
        <w:rPr>
          <w:color w:val="000000"/>
          <w:sz w:val="24"/>
        </w:rPr>
        <w:t/>
      </w:r>
      <w:proofErr w:type="spellStart"/>
      <w:proofErr w:type="gramStart"/>
      <w:r w:rsidR="000C469F" w:rsidRPr="000E4C40">
        <w:rPr>
          <w:color w:val="000000"/>
          <w:sz w:val="24"/>
        </w:rPr>
        <w:t/>
      </w:r>
      <w:proofErr w:type="spellEnd"/>
      <w:proofErr w:type="gramEnd"/>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proofErr w:type="spellStart"/>
            <w:r w:rsidRPr="000E4C40">
              <w:rPr>
                <w:sz w:val="24"/>
              </w:rPr>
              <w:t/>
            </w:r>
            <w:r w:rsidRPr="000E4C40">
              <w:rPr>
                <w:sz w:val="24"/>
              </w:rPr>
              <w:lastRenderedPageBreak/>
              <w:t/>
            </w:r>
            <w:proofErr w:type="spellEnd"/>
            <w:r w:rsidRPr="000E4C40">
              <w:rPr>
                <w:sz w:val="24"/>
              </w:rPr>
              <w:t/>
            </w:r>
            <w:r w:rsidR="00327FB0" w:rsidRPr="000E4C40">
              <w:rPr>
                <w:sz w:val="24"/>
              </w:rPr>
              <w:t/>
            </w:r>
            <w:r w:rsidRPr="000E4C40">
              <w:rPr>
                <w:sz w:val="24"/>
              </w:rPr>
              <w:t>交银天利宝货币A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交银天利宝货币E</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w:t>
            </w:r>
            <w:proofErr w:type="gramStart"/>
            <w:r w:rsidRPr="000E4C40">
              <w:rPr>
                <w:rFonts w:hAnsi="宋体"/>
                <w:color w:val="000000"/>
                <w:kern w:val="0"/>
                <w:sz w:val="24"/>
              </w:rPr>
              <w:t>初基金</w:t>
            </w:r>
            <w:proofErr w:type="gramEnd"/>
            <w:r w:rsidRPr="000E4C40">
              <w:rPr>
                <w:rFonts w:hAnsi="宋体"/>
                <w:color w:val="000000"/>
                <w:kern w:val="0"/>
                <w:sz w:val="24"/>
              </w:rPr>
              <w:t>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1,243,377,987.20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842,559,671.00</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327FB0" w:rsidRPr="000E4C40">
              <w:rPr>
                <w:color w:val="000000"/>
                <w:kern w:val="0"/>
                <w:sz w:val="24"/>
              </w:rPr>
              <w:t/>
            </w:r>
            <w:r w:rsidRPr="000E4C40">
              <w:rPr>
                <w:color w:val="000000"/>
                <w:kern w:val="0"/>
                <w:sz w:val="24"/>
              </w:rPr>
              <w:t>1,790,788,012.90</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391,739,773.46</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proofErr w:type="spellEnd"/>
            <w:r w:rsidRPr="000E4C40">
              <w:rPr>
                <w:color w:val="000000"/>
                <w:kern w:val="0"/>
                <w:sz w:val="24"/>
              </w:rPr>
              <w:t/>
            </w:r>
            <w:r w:rsidR="00327FB0" w:rsidRPr="000E4C40">
              <w:rPr>
                <w:color w:val="000000"/>
                <w:kern w:val="0"/>
                <w:sz w:val="24"/>
              </w:rPr>
              <w:t/>
            </w:r>
            <w:r w:rsidRPr="000E4C40">
              <w:rPr>
                <w:color w:val="000000"/>
                <w:kern w:val="0"/>
                <w:sz w:val="24"/>
              </w:rPr>
              <w:t>1,613,015,907.15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589,462,722.86</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proofErr w:type="spellStart"/>
            <w:r w:rsidRPr="000E4C40">
              <w:rPr>
                <w:color w:val="000000"/>
                <w:kern w:val="0"/>
                <w:sz w:val="24"/>
              </w:rPr>
              <w:t/>
            </w:r>
            <w:r w:rsidR="003D1ECF" w:rsidRPr="000E4C40">
              <w:rPr>
                <w:color w:val="000000"/>
                <w:kern w:val="0"/>
                <w:sz w:val="24"/>
              </w:rPr>
              <w:t/>
            </w:r>
            <w:r w:rsidRPr="000E4C40">
              <w:rPr>
                <w:color w:val="000000"/>
                <w:kern w:val="0"/>
                <w:sz w:val="24"/>
              </w:rPr>
              <w:t/>
            </w:r>
            <w:proofErr w:type="spellEnd"/>
            <w:r w:rsidRPr="000E4C40">
              <w:rPr>
                <w:color w:val="000000"/>
                <w:kern w:val="0"/>
                <w:sz w:val="24"/>
              </w:rPr>
              <w:t>1,421,150,092.95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644,836,721.60</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pPr>
        <w:autoSpaceDE w:val="0"/>
        <w:autoSpaceDN w:val="0"/>
        <w:adjustRightInd w:val="0"/>
        <w:spacing w:before="29" w:line="288" w:lineRule="auto"/>
        <w:jc w:val="left"/>
        <w:rPr>
          <w:color w:val="000000"/>
          <w:sz w:val="24"/>
        </w:rPr>
      </w:pPr>
      <w:r>
        <w:rPr>
          <w:color w:val="000000"/>
          <w:sz w:val="24"/>
        </w:rPr>
        <w:t xml:space="preserve">        2、如果本报告期间发生转换出、份额类别调整业务，则总赎回份额中包含该业务；</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r w:rsidR="00AA5B03" w:rsidRPr="000E4C40">
        <w:rPr>
          <w:color w:val="000000"/>
          <w:sz w:val="24"/>
        </w:rPr>
        <w:t/>
      </w:r>
      <w:proofErr w:type="spellStart"/>
      <w:proofErr w:type="gramStart"/>
      <w:r w:rsidR="00AA5B03" w:rsidRPr="000E4C40">
        <w:rPr>
          <w:color w:val="000000"/>
          <w:sz w:val="24"/>
        </w:rPr>
        <w:t/>
      </w:r>
      <w:proofErr w:type="spellEnd"/>
      <w:proofErr w:type="gramEnd"/>
      <w:r w:rsidR="00AA5B03" w:rsidRPr="000E4C40">
        <w:rPr>
          <w:color w:val="000000"/>
          <w:sz w:val="24"/>
        </w:rPr>
        <w:t xml:space="preserve">        </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w:r>
      <w:proofErr w:type="spellStart"/>
      <w:r w:rsidRPr="000E4C40">
        <w:rPr>
          <w:color w:val="000000"/>
          <w:kern w:val="0"/>
          <w:sz w:val="24"/>
          <w:szCs w:val="24"/>
        </w:rPr>
        <w:t/>
      </w:r>
      <w:proofErr w:type="spellEnd"/>
      <w:r w:rsidRPr="000E4C40">
        <w:rPr>
          <w:color w:val="000000"/>
          <w:kern w:val="0"/>
          <w:sz w:val="24"/>
          <w:szCs w:val="24"/>
        </w:rPr>
        <w:t xml:space="preserve">§7  </w:t>
      </w:r>
      <w:r w:rsidRPr="000E4C40">
        <w:rPr>
          <w:rFonts w:hAnsi="宋体"/>
          <w:color w:val="000000"/>
          <w:kern w:val="0"/>
          <w:sz w:val="24"/>
          <w:szCs w:val="24"/>
        </w:rPr>
        <w:t>基金管理人运用</w:t>
      </w:r>
      <w:proofErr w:type="gramStart"/>
      <w:r w:rsidRPr="000E4C40">
        <w:rPr>
          <w:rFonts w:hAnsi="宋体"/>
          <w:color w:val="000000"/>
          <w:kern w:val="0"/>
          <w:sz w:val="24"/>
          <w:szCs w:val="24"/>
        </w:rPr>
        <w:t>固有资金</w:t>
      </w:r>
      <w:proofErr w:type="gramEnd"/>
      <w:r w:rsidRPr="000E4C40">
        <w:rPr>
          <w:rFonts w:hAnsi="宋体"/>
          <w:color w:val="000000"/>
          <w:kern w:val="0"/>
          <w:sz w:val="24"/>
          <w:szCs w:val="24"/>
        </w:rPr>
        <w:t>投资本基金交易明细</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108"/>
          <w:bottom w:type="dxa" w:w="108"/>
        </w:tblCellMar>
        <w:tblLook w:firstColumn="0" w:firstRow="0" w:lastColumn="0" w:lastRow="0" w:noHBand="0" w:noVBand="0" w:val="0000"/>
      </w:tblPr>
      <w:tblGrid>
        <w:gridCol w:w="1454"/>
        <w:gridCol w:w="1678"/>
        <w:gridCol w:w="1249"/>
        <w:gridCol w:w="1544"/>
        <w:gridCol w:w="1670"/>
        <w:gridCol w:w="1273"/>
      </w:tblGrid>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序号</w:t>
            </w:r>
            <w:r w:rsidRPr="000E4C40">
              <w:rPr>
                <w:color w:val="000000"/>
                <w:kern w:val="0"/>
              </w:rPr>
              <w:t/>
            </w:r>
            <w:proofErr w:type="spellStart"/>
            <w:r w:rsidRPr="000E4C40">
              <w:rPr>
                <w:color w:val="000000"/>
                <w:kern w:val="0"/>
              </w:rPr>
              <w:t/>
            </w:r>
            <w:proofErr w:type="spellEnd"/>
            <w:r w:rsidRPr="000E4C40">
              <w:rPr>
                <w:color w:val="000000"/>
                <w:kern w:val="0"/>
              </w:rPr>
              <w:t/>
            </w:r>
            <w:proofErr w:type="spellStart"/>
            <w:r w:rsidRPr="000E4C40">
              <w:rPr>
                <w:color w:val="000000"/>
                <w:kern w:val="0"/>
              </w:rPr>
              <w:t/>
            </w:r>
            <w:proofErr w:type="spellEnd"/>
            <w:r w:rsidRPr="000E4C40">
              <w:rPr>
                <w:color w:val="000000"/>
                <w:kern w:val="0"/>
              </w:rPr>
              <w:t/>
            </w:r>
          </w:p>
        </w:tc>
        <w:tc>
          <w:tcPr>
            <w:tcW w:type="dxa" w:w="185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type="dxa" w:w="1370"/>
            <w:vAlign w:val="center"/>
          </w:tcPr>
          <w:p w:rsidP="00281564" w:rsidR="000F2DA3" w:rsidRDefault="000F2DA3" w:rsidRPr="000E4C40">
            <w:pPr>
              <w:adjustRightInd w:val="0"/>
              <w:snapToGrid w:val="0"/>
              <w:spacing w:before="29" w:line="288" w:lineRule="auto"/>
              <w:rPr>
                <w:color w:val="000000"/>
                <w:kern w:val="0"/>
                <w:sz w:val="24"/>
              </w:rPr>
            </w:pPr>
            <w:r w:rsidRPr="000E4C40">
              <w:rPr>
                <w:rFonts w:hAnsi="宋体"/>
                <w:color w:val="000000"/>
                <w:kern w:val="0"/>
                <w:sz w:val="24"/>
              </w:rPr>
              <w:t>交易日期</w:t>
            </w:r>
          </w:p>
        </w:tc>
        <w:tc>
          <w:tcPr>
            <w:tcW w:type="dxa" w:w="1701"/>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type="dxa" w:w="1842"/>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type="dxa" w:w="1397"/>
            <w:vAlign w:val="center"/>
          </w:tcPr>
          <w:p w:rsidP="00281564" w:rsidR="000F2DA3" w:rsidRDefault="000F2DA3" w:rsidRPr="000E4C40">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tc>
          <w:tcPr>
            <w:vAlign w:val="center"/>
          </w:tcPr>
          <w:p>
            <w:pPr>
              <w:jc w:val="center"/>
            </w:pPr>
            <w:r>
              <w:rPr>
                <w:color w:val="000000"/>
                <w:sz w:val="24"/>
              </w:rPr>
              <w:t>1</w:t>
            </w:r>
          </w:p>
        </w:tc>
        <w:tc>
          <w:tcPr>
            <w:vAlign w:val="center"/>
          </w:tcPr>
          <w:p>
            <w:pPr>
              <w:jc w:val="center"/>
            </w:pPr>
            <w:r>
              <w:rPr>
                <w:color w:val="000000"/>
                <w:sz w:val="24"/>
              </w:rPr>
              <w:t>E类份额红利再投</w:t>
            </w:r>
          </w:p>
        </w:tc>
        <w:tc>
          <w:tcPr>
            <w:vAlign w:val="center"/>
          </w:tcPr>
          <w:p>
            <w:pPr>
              <w:jc w:val="center"/>
            </w:pPr>
            <w:r>
              <w:rPr>
                <w:color w:val="000000"/>
                <w:sz w:val="24"/>
              </w:rPr>
              <w:t>-</w:t>
            </w:r>
          </w:p>
        </w:tc>
        <w:tc>
          <w:tcPr>
            <w:vAlign w:val="center"/>
          </w:tcPr>
          <w:p>
            <w:pPr>
              <w:jc w:val="right"/>
            </w:pPr>
            <w:r>
              <w:rPr>
                <w:color w:val="000000"/>
                <w:sz w:val="24"/>
              </w:rPr>
              <w:t>1,167,869.92</w:t>
            </w:r>
          </w:p>
        </w:tc>
        <w:tc>
          <w:tcPr>
            <w:vAlign w:val="center"/>
          </w:tcPr>
          <w:p>
            <w:pPr>
              <w:jc w:val="right"/>
            </w:pPr>
            <w:r>
              <w:rPr>
                <w:color w:val="000000"/>
                <w:sz w:val="24"/>
              </w:rPr>
              <w:t>1,167,869.92</w:t>
            </w:r>
          </w:p>
        </w:tc>
        <w:tc>
          <w:tcPr>
            <w:vAlign w:val="center"/>
          </w:tcPr>
          <w:p>
            <w:pPr>
              <w:jc w:val="center"/>
            </w:pPr>
            <w:r>
              <w:rPr>
                <w:color w:val="000000"/>
                <w:sz w:val="24"/>
              </w:rPr>
              <w:t>-</w:t>
            </w:r>
          </w:p>
        </w:tc>
      </w:tr>
      <w:tr w:rsidR="000F2DA3" w:rsidRPr="000E4C40" w:rsidTr="009D1870">
        <w:trPr>
          <w:trHeight w:val="340"/>
          <w:jc w:val="center"/>
        </w:trPr>
        <w:tc>
          <w:tcPr>
            <w:tcW w:type="dxa" w:w="1600"/>
            <w:vAlign w:val="center"/>
          </w:tcPr>
          <w:p w:rsidP="00281564" w:rsidR="000F2DA3" w:rsidRDefault="000F2DA3" w:rsidRPr="000E4C40">
            <w:pPr>
              <w:pStyle w:val="ac"/>
              <w:adjustRightInd w:val="0"/>
              <w:snapToGrid w:val="0"/>
              <w:spacing w:before="29" w:line="288" w:lineRule="auto"/>
              <w:jc w:val="center"/>
              <w:rPr>
                <w:color w:val="000000"/>
                <w:kern w:val="0"/>
              </w:rPr>
            </w:pPr>
            <w:r w:rsidRPr="000E4C40">
              <w:rPr>
                <w:rFonts w:hAnsi="宋体"/>
                <w:color w:val="000000"/>
                <w:kern w:val="0"/>
              </w:rPr>
              <w:t>合计</w:t>
            </w:r>
          </w:p>
        </w:tc>
        <w:tc>
          <w:tcPr>
            <w:tcW w:type="dxa" w:w="1851"/>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370"/>
            <w:vAlign w:val="center"/>
          </w:tcPr>
          <w:p w:rsidP="00281564" w:rsidR="000F2DA3" w:rsidRDefault="000F2DA3" w:rsidRPr="000E4C40">
            <w:pPr>
              <w:adjustRightInd w:val="0"/>
              <w:snapToGrid w:val="0"/>
              <w:spacing w:before="29" w:line="288" w:lineRule="auto"/>
              <w:jc w:val="right"/>
              <w:rPr>
                <w:color w:val="0000FF"/>
                <w:kern w:val="0"/>
                <w:sz w:val="18"/>
              </w:rPr>
            </w:pPr>
          </w:p>
        </w:tc>
        <w:tc>
          <w:tcPr>
            <w:tcW w:type="dxa" w:w="1701"/>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1,167,869.92</w:t>
            </w:r>
          </w:p>
        </w:tc>
        <w:tc>
          <w:tcPr>
            <w:tcW w:type="dxa" w:w="1842"/>
            <w:vAlign w:val="center"/>
          </w:tcPr>
          <w:p w:rsidP="00281564" w:rsidR="000F2DA3" w:rsidRDefault="000F2DA3" w:rsidRPr="000E4C40">
            <w:pPr>
              <w:adjustRightInd w:val="0"/>
              <w:snapToGrid w:val="0"/>
              <w:spacing w:before="29" w:line="288" w:lineRule="auto"/>
              <w:jc w:val="righ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1,167,869.92</w:t>
            </w:r>
          </w:p>
        </w:tc>
        <w:tc>
          <w:tcPr>
            <w:tcW w:type="dxa" w:w="1397"/>
            <w:vAlign w:val="center"/>
          </w:tcPr>
          <w:p w:rsidP="00281564" w:rsidR="000F2DA3" w:rsidRDefault="000F2DA3" w:rsidRPr="000E4C40">
            <w:pPr>
              <w:adjustRightInd w:val="0"/>
              <w:snapToGrid w:val="0"/>
              <w:spacing w:before="29" w:line="288" w:lineRule="auto"/>
              <w:jc w:val="right"/>
              <w:rPr>
                <w:color w:val="0000FF"/>
                <w:kern w:val="0"/>
                <w:sz w:val="18"/>
              </w:rPr>
            </w:pPr>
          </w:p>
        </w:tc>
      </w:tr>
    </w:tbl>
    <w:p>
      <w:pPr>
        <w:autoSpaceDE w:val="0"/>
        <w:autoSpaceDN w:val="0"/>
        <w:adjustRightInd w:val="0"/>
        <w:spacing w:before="29" w:line="288" w:lineRule="auto"/>
        <w:jc w:val="left"/>
        <w:rPr>
          <w:color w:val="000000"/>
          <w:sz w:val="24"/>
        </w:rPr>
      </w:pPr>
      <w:r>
        <w:rPr>
          <w:color w:val="000000"/>
          <w:sz w:val="24"/>
        </w:rPr>
        <w:t>注：1、本基金管理人本报告期末持有本基金E类份额204,619,483.72份，占本基金期末E类基金总份额的31.73%，本基金管理人本报告期末持有本基金A类份额0.00份，占本基金期末A类基金总份额的0.00%。</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
      </w:r>
      <w:proofErr w:type="spellStart"/>
      <w:r w:rsidRPr="000E4C40">
        <w:rPr>
          <w:color w:val="000000"/>
          <w:sz w:val="24"/>
        </w:rPr>
        <w:t/>
      </w:r>
      <w:proofErr w:type="spellEnd"/>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2、本基金收益分配按日结转份额。</w:t>
      </w:r>
    </w:p>
    <w:p w:rsidP="00281564" w:rsidR="0018245B" w:rsidRDefault="0018245B" w:rsidRPr="000E4C40">
      <w:pPr>
        <w:autoSpaceDE w:val="0"/>
        <w:autoSpaceDN w:val="0"/>
        <w:adjustRightInd w:val="0"/>
        <w:spacing w:before="29" w:line="288" w:lineRule="auto"/>
        <w:jc w:val="left"/>
        <w:rPr>
          <w:color w:val="000000"/>
          <w:sz w:val="24"/>
        </w:rPr>
      </w:pPr>
    </w:p>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8</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1、中国证监会准予交银施罗德天利宝货币市场基金募集注册的文件； </w:t>
      </w:r>
    </w:p>
    <w:p>
      <w:pPr>
        <w:spacing w:before="29" w:line="288" w:lineRule="auto"/>
        <w:ind w:firstLine="480" w:firstLineChars="200"/>
        <w:rPr>
          <w:color w:val="000000"/>
          <w:sz w:val="24"/>
        </w:rPr>
      </w:pPr>
      <w:r>
        <w:rPr>
          <w:color w:val="000000"/>
          <w:sz w:val="24"/>
        </w:rPr>
        <w:t xml:space="preserve">2、《交银施罗德天利宝货币市场基金基金合同》； </w:t>
      </w:r>
    </w:p>
    <w:p>
      <w:pPr>
        <w:spacing w:before="29" w:line="288" w:lineRule="auto"/>
        <w:ind w:firstLine="480" w:firstLineChars="200"/>
        <w:rPr>
          <w:color w:val="000000"/>
          <w:sz w:val="24"/>
        </w:rPr>
      </w:pPr>
      <w:r>
        <w:rPr>
          <w:color w:val="000000"/>
          <w:sz w:val="24"/>
        </w:rPr>
        <w:t xml:space="preserve">3、《交银施罗德天利宝货币市场基金招募说明书》； </w:t>
      </w:r>
    </w:p>
    <w:p>
      <w:pPr>
        <w:spacing w:before="29" w:line="288" w:lineRule="auto"/>
        <w:ind w:firstLine="480" w:firstLineChars="200"/>
        <w:rPr>
          <w:color w:val="000000"/>
          <w:sz w:val="24"/>
        </w:rPr>
      </w:pPr>
      <w:r>
        <w:rPr>
          <w:color w:val="000000"/>
          <w:sz w:val="24"/>
        </w:rPr>
        <w:t xml:space="preserve">4、《交银施罗德天利宝货币市场基金托管协议》； </w:t>
      </w:r>
    </w:p>
    <w:p>
      <w:pPr>
        <w:spacing w:before="29" w:line="288" w:lineRule="auto"/>
        <w:ind w:firstLine="480" w:firstLineChars="200"/>
        <w:rPr>
          <w:color w:val="000000"/>
          <w:sz w:val="24"/>
        </w:rPr>
      </w:pPr>
      <w:r>
        <w:rPr>
          <w:color w:val="000000"/>
          <w:sz w:val="24"/>
        </w:rPr>
        <w:t xml:space="preserve">5、关于申请募集注册交银施罗德天利宝货币市场基金的法律意见书；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8、报告期内交银施罗德天利宝货币市场基金在指定报刊上各项公告的原稿。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proofErr w:type="gramStart"/>
      <w:r w:rsidR="00F1658B" w:rsidRPr="000E4C40">
        <w:rPr>
          <w:b/>
          <w:color w:val="000000"/>
          <w:kern w:val="0"/>
          <w:sz w:val="24"/>
        </w:rPr>
        <w:t/>
      </w:r>
      <w:proofErr w:type="gramEnd"/>
      <w:r w:rsidRPr="000E4C40">
        <w:rPr>
          <w:b/>
          <w:color w:val="000000"/>
          <w:kern w:val="0"/>
          <w:sz w:val="24"/>
        </w:rPr>
        <w:t>8</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
      </w:r>
      <w:proofErr w:type="spellStart"/>
      <w:proofErr w:type="gramStart"/>
      <w:r w:rsidRPr="000E4C40">
        <w:rPr>
          <w:color w:val="000000"/>
          <w:sz w:val="24"/>
        </w:rPr>
        <w:t/>
      </w:r>
      <w:proofErr w:type="spellEnd"/>
      <w:proofErr w:type="gramEnd"/>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539A" w:rsidRDefault="00D3539A">
      <w:r>
        <w:separator/>
      </w:r>
    </w:p>
  </w:endnote>
  <w:endnote w:type="continuationSeparator" w:id="0">
    <w:p w:rsidR="00D3539A" w:rsidRDefault="00D3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F34CE">
      <w:rPr>
        <w:noProof/>
        <w:kern w:val="0"/>
        <w:szCs w:val="21"/>
      </w:rPr>
      <w:t>23</w:t>
    </w:r>
    <w:r>
      <w:rPr>
        <w:kern w:val="0"/>
        <w:szCs w:val="21"/>
      </w:rPr>
      <w:fldChar w:fldCharType="end"/>
    </w:r>
    <w:proofErr w:type="gramStart"/>
    <w:r>
      <w:rPr>
        <w:rFonts w:hint="eastAsia"/>
        <w:kern w:val="0"/>
        <w:szCs w:val="21"/>
      </w:rPr>
      <w:t>页共</w:t>
    </w:r>
    <w:proofErr w:type="gramEnd"/>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8F34CE">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D3539A" w:rsidRDefault="00D3539A">
      <w:r>
        <w:separator/>
      </w:r>
    </w:p>
  </w:footnote>
  <w:footnote w:id="0" w:type="continuationSeparator">
    <w:p w:rsidR="00D3539A" w:rsidRDefault="00D3539A">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
    </w:r>
    <w:proofErr w:type="spellStart"/>
    <w:proofErr w:type="gramStart"/>
    <w:r w:rsidRPr="003E676C">
      <w:rPr>
        <w:sz w:val="24"/>
        <w:szCs w:val="24"/>
      </w:rPr>
      <w:t/>
    </w:r>
    <w:proofErr w:type="spellEnd"/>
    <w:proofErr w:type="gramEnd"/>
    <w:r w:rsidRPr="003E676C">
      <w:rPr>
        <w:sz w:val="24"/>
        <w:szCs w:val="24"/>
      </w:rPr>
      <w:t>交银施罗德天利宝货币市场基金</w:t>
    </w:r>
    <w:proofErr w:type="spellStart"/>
    <w:r w:rsidRPr="003E676C">
      <w:rPr>
        <w:sz w:val="24"/>
        <w:szCs w:val="24"/>
      </w:rPr>
      <w:t/>
    </w:r>
    <w:proofErr w:type="spellEnd"/>
    <w:r w:rsidRPr="003E676C">
      <w:rPr>
        <w:sz w:val="24"/>
        <w:szCs w:val="24"/>
      </w:rPr>
      <w:t>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proofState w:grammar="clean" w:spelling="clean"/>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673816A4-F601-4D3D-A69D-0F61F348C9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23</Pages>
  <Words>3613</Words>
  <Characters>20600</Characters>
  <Application>Microsoft Office Word</Application>
  <DocSecurity>0</DocSecurity>
  <Lines>171</Lines>
  <Paragraphs>48</Paragraphs>
  <ScaleCrop>false</ScaleCrop>
  <Company>jysld</Company>
  <LinksUpToDate>false</LinksUpToDate>
  <CharactersWithSpaces>24165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2020-04-08T01:27:00Z</dcterms:modified>
  <cp:revision>336</cp:revision>
</cp:coreProperties>
</file>