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交银施罗德丰享收益债券型证券投资基金</w:t>
      </w:r>
      <w:bookmarkStart w:id="0" w:name="_GoBack"/>
      <w:bookmarkEnd w:id="0"/>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交银丰享收益债券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19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513,012,128.17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在严格控制风险和追求资产稳健增值的基础上</w:t>
            </w:r>
            <w:r w:rsidRPr="007F52FA">
              <w:rPr>
                <w:color w:val="000000"/>
                <w:kern w:val="0"/>
                <w:sz w:val="24"/>
              </w:rPr>
              <w:t>,</w:t>
            </w:r>
            <w:r w:rsidRPr="007F52FA">
              <w:rPr>
                <w:color w:val="000000"/>
                <w:kern w:val="0"/>
                <w:sz w:val="24"/>
              </w:rPr>
              <w:t>力求获得高于业绩基准的投资收益。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577460" w:rsidRDefault="000E0DFA">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577460" w:rsidRDefault="00577460">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lastRenderedPageBreak/>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577460" w:rsidRDefault="000E0DFA">
            <w:pPr>
              <w:adjustRightInd w:val="0"/>
              <w:spacing w:before="29" w:line="288" w:lineRule="auto"/>
              <w:ind w:left="17"/>
              <w:jc w:val="left"/>
              <w:rPr>
                <w:color w:val="000000"/>
                <w:sz w:val="24"/>
              </w:rPr>
            </w:pPr>
            <w:r>
              <w:rPr>
                <w:color w:val="000000"/>
                <w:kern w:val="0"/>
                <w:sz w:val="24"/>
              </w:rPr>
              <w:t>封闭期内业绩比较基准：两年期银行定期存款税后收益率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交银丰享收益债券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519746</w:t>
            </w:r>
          </w:p>
        </w:tc>
        <w:tc>
          <w:tcPr>
            <w:tcW w:w="3048" w:type="dxa"/>
            <w:vAlign w:val="center"/>
          </w:tcPr>
          <w:p w:rsidR="00C23B30" w:rsidRPr="000E4C40" w:rsidRDefault="00C23B30" w:rsidP="00A52A9E">
            <w:pPr>
              <w:spacing w:before="29" w:line="288" w:lineRule="auto"/>
              <w:jc w:val="left"/>
              <w:rPr>
                <w:sz w:val="24"/>
              </w:rPr>
            </w:pPr>
            <w:r w:rsidRPr="000E4C40">
              <w:rPr>
                <w:sz w:val="24"/>
              </w:rPr>
              <w:t>519748</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504,971,861.45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8,040,266.72</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20</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交银丰享收益债券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交银丰享收益债券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10,759,289.78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84,947.21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2,866,459.40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17,479.87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1,074,741,367.97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8,872,667.24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2.128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1.104</w:t>
            </w:r>
          </w:p>
        </w:tc>
      </w:tr>
    </w:tbl>
    <w:p w:rsidR="00577460" w:rsidRDefault="000E0DF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交银丰享收益债券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77460">
        <w:trPr>
          <w:jc w:val="center"/>
        </w:trPr>
        <w:tc>
          <w:tcPr>
            <w:tcW w:w="1266" w:type="dxa"/>
            <w:vAlign w:val="center"/>
          </w:tcPr>
          <w:p w:rsidR="00577460" w:rsidRDefault="000E0DFA">
            <w:pPr>
              <w:jc w:val="left"/>
            </w:pPr>
            <w:r>
              <w:rPr>
                <w:color w:val="000000"/>
                <w:sz w:val="24"/>
              </w:rPr>
              <w:t>过去三个月</w:t>
            </w:r>
          </w:p>
        </w:tc>
        <w:tc>
          <w:tcPr>
            <w:tcW w:w="1267" w:type="dxa"/>
            <w:vAlign w:val="center"/>
          </w:tcPr>
          <w:p w:rsidR="00577460" w:rsidRDefault="000E0DFA">
            <w:pPr>
              <w:jc w:val="center"/>
            </w:pPr>
            <w:r>
              <w:rPr>
                <w:color w:val="000000"/>
                <w:sz w:val="24"/>
              </w:rPr>
              <w:t>0.24%</w:t>
            </w:r>
          </w:p>
        </w:tc>
        <w:tc>
          <w:tcPr>
            <w:tcW w:w="1267" w:type="dxa"/>
            <w:vAlign w:val="center"/>
          </w:tcPr>
          <w:p w:rsidR="00577460" w:rsidRDefault="000E0DFA">
            <w:pPr>
              <w:jc w:val="center"/>
            </w:pPr>
            <w:r>
              <w:rPr>
                <w:color w:val="000000"/>
                <w:sz w:val="24"/>
              </w:rPr>
              <w:t>0.06%</w:t>
            </w:r>
          </w:p>
        </w:tc>
        <w:tc>
          <w:tcPr>
            <w:tcW w:w="1267" w:type="dxa"/>
            <w:vAlign w:val="center"/>
          </w:tcPr>
          <w:p w:rsidR="00577460" w:rsidRDefault="000E0DFA">
            <w:pPr>
              <w:jc w:val="center"/>
            </w:pPr>
            <w:r>
              <w:rPr>
                <w:color w:val="000000"/>
                <w:sz w:val="24"/>
              </w:rPr>
              <w:t>-1.04%</w:t>
            </w:r>
          </w:p>
        </w:tc>
        <w:tc>
          <w:tcPr>
            <w:tcW w:w="1267" w:type="dxa"/>
            <w:vAlign w:val="center"/>
          </w:tcPr>
          <w:p w:rsidR="00577460" w:rsidRDefault="000E0DFA">
            <w:pPr>
              <w:jc w:val="center"/>
            </w:pPr>
            <w:r>
              <w:rPr>
                <w:color w:val="000000"/>
                <w:sz w:val="24"/>
              </w:rPr>
              <w:t>0.12%</w:t>
            </w:r>
          </w:p>
        </w:tc>
        <w:tc>
          <w:tcPr>
            <w:tcW w:w="1267" w:type="dxa"/>
            <w:vAlign w:val="center"/>
          </w:tcPr>
          <w:p w:rsidR="00577460" w:rsidRDefault="000E0DFA">
            <w:pPr>
              <w:jc w:val="center"/>
            </w:pPr>
            <w:r>
              <w:rPr>
                <w:color w:val="000000"/>
                <w:sz w:val="24"/>
              </w:rPr>
              <w:t>1.28%</w:t>
            </w:r>
          </w:p>
        </w:tc>
        <w:tc>
          <w:tcPr>
            <w:tcW w:w="1267" w:type="dxa"/>
            <w:vAlign w:val="center"/>
          </w:tcPr>
          <w:p w:rsidR="00577460" w:rsidRDefault="000E0DFA">
            <w:pPr>
              <w:jc w:val="center"/>
            </w:pPr>
            <w:r>
              <w:rPr>
                <w:color w:val="000000"/>
                <w:sz w:val="24"/>
              </w:rPr>
              <w:t>-0.06%</w:t>
            </w:r>
          </w:p>
        </w:tc>
      </w:tr>
      <w:tr w:rsidR="00577460">
        <w:trPr>
          <w:jc w:val="center"/>
        </w:trPr>
        <w:tc>
          <w:tcPr>
            <w:tcW w:w="1266" w:type="dxa"/>
            <w:vAlign w:val="center"/>
          </w:tcPr>
          <w:p w:rsidR="00577460" w:rsidRDefault="000E0DFA">
            <w:pPr>
              <w:jc w:val="left"/>
            </w:pPr>
            <w:r>
              <w:rPr>
                <w:color w:val="000000"/>
                <w:sz w:val="24"/>
              </w:rPr>
              <w:t>过去六个月</w:t>
            </w:r>
          </w:p>
        </w:tc>
        <w:tc>
          <w:tcPr>
            <w:tcW w:w="1267" w:type="dxa"/>
            <w:vAlign w:val="center"/>
          </w:tcPr>
          <w:p w:rsidR="00577460" w:rsidRDefault="000E0DFA">
            <w:pPr>
              <w:jc w:val="center"/>
            </w:pPr>
            <w:r>
              <w:rPr>
                <w:color w:val="000000"/>
                <w:sz w:val="24"/>
              </w:rPr>
              <w:t>2.01%</w:t>
            </w:r>
          </w:p>
        </w:tc>
        <w:tc>
          <w:tcPr>
            <w:tcW w:w="1267" w:type="dxa"/>
            <w:vAlign w:val="center"/>
          </w:tcPr>
          <w:p w:rsidR="00577460" w:rsidRDefault="000E0DFA">
            <w:pPr>
              <w:jc w:val="center"/>
            </w:pPr>
            <w:r>
              <w:rPr>
                <w:color w:val="000000"/>
                <w:sz w:val="24"/>
              </w:rPr>
              <w:t>0.06%</w:t>
            </w:r>
          </w:p>
        </w:tc>
        <w:tc>
          <w:tcPr>
            <w:tcW w:w="1267" w:type="dxa"/>
            <w:vAlign w:val="center"/>
          </w:tcPr>
          <w:p w:rsidR="00577460" w:rsidRDefault="000E0DFA">
            <w:pPr>
              <w:jc w:val="center"/>
            </w:pPr>
            <w:r>
              <w:rPr>
                <w:color w:val="000000"/>
                <w:sz w:val="24"/>
              </w:rPr>
              <w:t>0.79%</w:t>
            </w:r>
          </w:p>
        </w:tc>
        <w:tc>
          <w:tcPr>
            <w:tcW w:w="1267" w:type="dxa"/>
            <w:vAlign w:val="center"/>
          </w:tcPr>
          <w:p w:rsidR="00577460" w:rsidRDefault="000E0DFA">
            <w:pPr>
              <w:jc w:val="center"/>
            </w:pPr>
            <w:r>
              <w:rPr>
                <w:color w:val="000000"/>
                <w:sz w:val="24"/>
              </w:rPr>
              <w:t>0.11%</w:t>
            </w:r>
          </w:p>
        </w:tc>
        <w:tc>
          <w:tcPr>
            <w:tcW w:w="1267" w:type="dxa"/>
            <w:vAlign w:val="center"/>
          </w:tcPr>
          <w:p w:rsidR="00577460" w:rsidRDefault="000E0DFA">
            <w:pPr>
              <w:jc w:val="center"/>
            </w:pPr>
            <w:r>
              <w:rPr>
                <w:color w:val="000000"/>
                <w:sz w:val="24"/>
              </w:rPr>
              <w:t>1.22%</w:t>
            </w:r>
          </w:p>
        </w:tc>
        <w:tc>
          <w:tcPr>
            <w:tcW w:w="1267" w:type="dxa"/>
            <w:vAlign w:val="center"/>
          </w:tcPr>
          <w:p w:rsidR="00577460" w:rsidRDefault="000E0DFA">
            <w:pPr>
              <w:jc w:val="center"/>
            </w:pPr>
            <w:r>
              <w:rPr>
                <w:color w:val="000000"/>
                <w:sz w:val="24"/>
              </w:rPr>
              <w:t>-0.05%</w:t>
            </w:r>
          </w:p>
        </w:tc>
      </w:tr>
      <w:tr w:rsidR="00577460">
        <w:trPr>
          <w:jc w:val="center"/>
        </w:trPr>
        <w:tc>
          <w:tcPr>
            <w:tcW w:w="1266" w:type="dxa"/>
            <w:vAlign w:val="center"/>
          </w:tcPr>
          <w:p w:rsidR="00577460" w:rsidRDefault="000E0DFA">
            <w:pPr>
              <w:jc w:val="left"/>
            </w:pPr>
            <w:r>
              <w:rPr>
                <w:color w:val="000000"/>
                <w:sz w:val="24"/>
              </w:rPr>
              <w:t>过去一年</w:t>
            </w:r>
          </w:p>
        </w:tc>
        <w:tc>
          <w:tcPr>
            <w:tcW w:w="1267" w:type="dxa"/>
            <w:vAlign w:val="center"/>
          </w:tcPr>
          <w:p w:rsidR="00577460" w:rsidRDefault="000E0DFA">
            <w:pPr>
              <w:jc w:val="center"/>
            </w:pPr>
            <w:r>
              <w:rPr>
                <w:color w:val="000000"/>
                <w:sz w:val="24"/>
              </w:rPr>
              <w:t>4.31%</w:t>
            </w:r>
          </w:p>
        </w:tc>
        <w:tc>
          <w:tcPr>
            <w:tcW w:w="1267" w:type="dxa"/>
            <w:vAlign w:val="center"/>
          </w:tcPr>
          <w:p w:rsidR="00577460" w:rsidRDefault="000E0DFA">
            <w:pPr>
              <w:jc w:val="center"/>
            </w:pPr>
            <w:r>
              <w:rPr>
                <w:color w:val="000000"/>
                <w:sz w:val="24"/>
              </w:rPr>
              <w:t>0.05%</w:t>
            </w:r>
          </w:p>
        </w:tc>
        <w:tc>
          <w:tcPr>
            <w:tcW w:w="1267" w:type="dxa"/>
            <w:vAlign w:val="center"/>
          </w:tcPr>
          <w:p w:rsidR="00577460" w:rsidRDefault="000E0DFA">
            <w:pPr>
              <w:jc w:val="center"/>
            </w:pPr>
            <w:r>
              <w:rPr>
                <w:color w:val="000000"/>
                <w:sz w:val="24"/>
              </w:rPr>
              <w:t>1.87%</w:t>
            </w:r>
          </w:p>
        </w:tc>
        <w:tc>
          <w:tcPr>
            <w:tcW w:w="1267" w:type="dxa"/>
            <w:vAlign w:val="center"/>
          </w:tcPr>
          <w:p w:rsidR="00577460" w:rsidRDefault="000E0DFA">
            <w:pPr>
              <w:jc w:val="center"/>
            </w:pPr>
            <w:r>
              <w:rPr>
                <w:color w:val="000000"/>
                <w:sz w:val="24"/>
              </w:rPr>
              <w:t>0.08%</w:t>
            </w:r>
          </w:p>
        </w:tc>
        <w:tc>
          <w:tcPr>
            <w:tcW w:w="1267" w:type="dxa"/>
            <w:vAlign w:val="center"/>
          </w:tcPr>
          <w:p w:rsidR="00577460" w:rsidRDefault="000E0DFA">
            <w:pPr>
              <w:jc w:val="center"/>
            </w:pPr>
            <w:r>
              <w:rPr>
                <w:color w:val="000000"/>
                <w:sz w:val="24"/>
              </w:rPr>
              <w:t>2.44%</w:t>
            </w:r>
          </w:p>
        </w:tc>
        <w:tc>
          <w:tcPr>
            <w:tcW w:w="1267" w:type="dxa"/>
            <w:vAlign w:val="center"/>
          </w:tcPr>
          <w:p w:rsidR="00577460" w:rsidRDefault="000E0DFA">
            <w:pPr>
              <w:jc w:val="center"/>
            </w:pPr>
            <w:r>
              <w:rPr>
                <w:color w:val="000000"/>
                <w:sz w:val="24"/>
              </w:rPr>
              <w:t>-0.03%</w:t>
            </w:r>
          </w:p>
        </w:tc>
      </w:tr>
      <w:tr w:rsidR="00577460">
        <w:trPr>
          <w:jc w:val="center"/>
        </w:trPr>
        <w:tc>
          <w:tcPr>
            <w:tcW w:w="1266" w:type="dxa"/>
            <w:vAlign w:val="center"/>
          </w:tcPr>
          <w:p w:rsidR="00577460" w:rsidRDefault="000E0DFA">
            <w:pPr>
              <w:jc w:val="left"/>
            </w:pPr>
            <w:r>
              <w:rPr>
                <w:color w:val="000000"/>
                <w:sz w:val="24"/>
              </w:rPr>
              <w:t>过去三年</w:t>
            </w:r>
          </w:p>
        </w:tc>
        <w:tc>
          <w:tcPr>
            <w:tcW w:w="1267" w:type="dxa"/>
            <w:vAlign w:val="center"/>
          </w:tcPr>
          <w:p w:rsidR="00577460" w:rsidRDefault="000E0DFA">
            <w:pPr>
              <w:jc w:val="center"/>
            </w:pPr>
            <w:r>
              <w:rPr>
                <w:color w:val="000000"/>
                <w:sz w:val="24"/>
              </w:rPr>
              <w:t>11.85%</w:t>
            </w:r>
          </w:p>
        </w:tc>
        <w:tc>
          <w:tcPr>
            <w:tcW w:w="1267" w:type="dxa"/>
            <w:vAlign w:val="center"/>
          </w:tcPr>
          <w:p w:rsidR="00577460" w:rsidRDefault="000E0DFA">
            <w:pPr>
              <w:jc w:val="center"/>
            </w:pPr>
            <w:r>
              <w:rPr>
                <w:color w:val="000000"/>
                <w:sz w:val="24"/>
              </w:rPr>
              <w:t>0.04%</w:t>
            </w:r>
          </w:p>
        </w:tc>
        <w:tc>
          <w:tcPr>
            <w:tcW w:w="1267" w:type="dxa"/>
            <w:vAlign w:val="center"/>
          </w:tcPr>
          <w:p w:rsidR="00577460" w:rsidRDefault="000E0DFA">
            <w:pPr>
              <w:jc w:val="center"/>
            </w:pPr>
            <w:r>
              <w:rPr>
                <w:color w:val="000000"/>
                <w:sz w:val="24"/>
              </w:rPr>
              <w:t>5.61%</w:t>
            </w:r>
          </w:p>
        </w:tc>
        <w:tc>
          <w:tcPr>
            <w:tcW w:w="1267" w:type="dxa"/>
            <w:vAlign w:val="center"/>
          </w:tcPr>
          <w:p w:rsidR="00577460" w:rsidRDefault="000E0DFA">
            <w:pPr>
              <w:jc w:val="center"/>
            </w:pPr>
            <w:r>
              <w:rPr>
                <w:color w:val="000000"/>
                <w:sz w:val="24"/>
              </w:rPr>
              <w:t>0.07%</w:t>
            </w:r>
          </w:p>
        </w:tc>
        <w:tc>
          <w:tcPr>
            <w:tcW w:w="1267" w:type="dxa"/>
            <w:vAlign w:val="center"/>
          </w:tcPr>
          <w:p w:rsidR="00577460" w:rsidRDefault="000E0DFA">
            <w:pPr>
              <w:jc w:val="center"/>
            </w:pPr>
            <w:r>
              <w:rPr>
                <w:color w:val="000000"/>
                <w:sz w:val="24"/>
              </w:rPr>
              <w:t>6.24%</w:t>
            </w:r>
          </w:p>
        </w:tc>
        <w:tc>
          <w:tcPr>
            <w:tcW w:w="1267" w:type="dxa"/>
            <w:vAlign w:val="center"/>
          </w:tcPr>
          <w:p w:rsidR="00577460" w:rsidRDefault="000E0DFA">
            <w:pPr>
              <w:jc w:val="center"/>
            </w:pPr>
            <w:r>
              <w:rPr>
                <w:color w:val="000000"/>
                <w:sz w:val="24"/>
              </w:rPr>
              <w:t>-0.03%</w:t>
            </w:r>
          </w:p>
        </w:tc>
      </w:tr>
      <w:tr w:rsidR="00577460">
        <w:trPr>
          <w:jc w:val="center"/>
        </w:trPr>
        <w:tc>
          <w:tcPr>
            <w:tcW w:w="1266" w:type="dxa"/>
            <w:vAlign w:val="center"/>
          </w:tcPr>
          <w:p w:rsidR="00577460" w:rsidRDefault="000E0DFA">
            <w:pPr>
              <w:jc w:val="left"/>
            </w:pPr>
            <w:r>
              <w:rPr>
                <w:color w:val="000000"/>
                <w:sz w:val="24"/>
              </w:rPr>
              <w:t>自基金合同生效起至今</w:t>
            </w:r>
          </w:p>
        </w:tc>
        <w:tc>
          <w:tcPr>
            <w:tcW w:w="1267" w:type="dxa"/>
            <w:vAlign w:val="center"/>
          </w:tcPr>
          <w:p w:rsidR="00577460" w:rsidRDefault="000E0DFA">
            <w:pPr>
              <w:jc w:val="center"/>
            </w:pPr>
            <w:r>
              <w:rPr>
                <w:color w:val="000000"/>
                <w:sz w:val="24"/>
              </w:rPr>
              <w:t>123.79%</w:t>
            </w:r>
          </w:p>
        </w:tc>
        <w:tc>
          <w:tcPr>
            <w:tcW w:w="1267" w:type="dxa"/>
            <w:vAlign w:val="center"/>
          </w:tcPr>
          <w:p w:rsidR="00577460" w:rsidRDefault="000E0DFA">
            <w:pPr>
              <w:jc w:val="center"/>
            </w:pPr>
            <w:r>
              <w:rPr>
                <w:color w:val="000000"/>
                <w:sz w:val="24"/>
              </w:rPr>
              <w:t>3.36%</w:t>
            </w:r>
          </w:p>
        </w:tc>
        <w:tc>
          <w:tcPr>
            <w:tcW w:w="1267" w:type="dxa"/>
            <w:vAlign w:val="center"/>
          </w:tcPr>
          <w:p w:rsidR="00577460" w:rsidRDefault="000E0DFA">
            <w:pPr>
              <w:jc w:val="center"/>
            </w:pPr>
            <w:r>
              <w:rPr>
                <w:color w:val="000000"/>
                <w:sz w:val="24"/>
              </w:rPr>
              <w:t>3.76%</w:t>
            </w:r>
          </w:p>
        </w:tc>
        <w:tc>
          <w:tcPr>
            <w:tcW w:w="1267" w:type="dxa"/>
            <w:vAlign w:val="center"/>
          </w:tcPr>
          <w:p w:rsidR="00577460" w:rsidRDefault="000E0DFA">
            <w:pPr>
              <w:jc w:val="center"/>
            </w:pPr>
            <w:r>
              <w:rPr>
                <w:color w:val="000000"/>
                <w:sz w:val="24"/>
              </w:rPr>
              <w:t>0.07%</w:t>
            </w:r>
          </w:p>
        </w:tc>
        <w:tc>
          <w:tcPr>
            <w:tcW w:w="1267" w:type="dxa"/>
            <w:vAlign w:val="center"/>
          </w:tcPr>
          <w:p w:rsidR="00577460" w:rsidRDefault="000E0DFA">
            <w:pPr>
              <w:jc w:val="center"/>
            </w:pPr>
            <w:r>
              <w:rPr>
                <w:color w:val="000000"/>
                <w:sz w:val="24"/>
              </w:rPr>
              <w:t>120.03%</w:t>
            </w:r>
          </w:p>
        </w:tc>
        <w:tc>
          <w:tcPr>
            <w:tcW w:w="1267" w:type="dxa"/>
            <w:vAlign w:val="center"/>
          </w:tcPr>
          <w:p w:rsidR="00577460" w:rsidRDefault="000E0DFA">
            <w:pPr>
              <w:jc w:val="center"/>
            </w:pPr>
            <w:r>
              <w:rPr>
                <w:color w:val="000000"/>
                <w:sz w:val="24"/>
              </w:rPr>
              <w:t>3.29%</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交银丰享收益债券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77460">
        <w:trPr>
          <w:jc w:val="center"/>
        </w:trPr>
        <w:tc>
          <w:tcPr>
            <w:tcW w:w="1266" w:type="dxa"/>
            <w:vAlign w:val="center"/>
          </w:tcPr>
          <w:p w:rsidR="00577460" w:rsidRDefault="000E0DFA">
            <w:pPr>
              <w:jc w:val="left"/>
            </w:pPr>
            <w:r>
              <w:rPr>
                <w:color w:val="000000"/>
                <w:sz w:val="24"/>
              </w:rPr>
              <w:t>过去三个月</w:t>
            </w:r>
          </w:p>
        </w:tc>
        <w:tc>
          <w:tcPr>
            <w:tcW w:w="1267" w:type="dxa"/>
            <w:vAlign w:val="center"/>
          </w:tcPr>
          <w:p w:rsidR="00577460" w:rsidRDefault="000E0DFA">
            <w:pPr>
              <w:jc w:val="center"/>
            </w:pPr>
            <w:r>
              <w:rPr>
                <w:color w:val="000000"/>
                <w:sz w:val="24"/>
              </w:rPr>
              <w:t>0.18%</w:t>
            </w:r>
          </w:p>
        </w:tc>
        <w:tc>
          <w:tcPr>
            <w:tcW w:w="1267" w:type="dxa"/>
            <w:vAlign w:val="center"/>
          </w:tcPr>
          <w:p w:rsidR="00577460" w:rsidRDefault="000E0DFA">
            <w:pPr>
              <w:jc w:val="center"/>
            </w:pPr>
            <w:r>
              <w:rPr>
                <w:color w:val="000000"/>
                <w:sz w:val="24"/>
              </w:rPr>
              <w:t>0.07%</w:t>
            </w:r>
          </w:p>
        </w:tc>
        <w:tc>
          <w:tcPr>
            <w:tcW w:w="1267" w:type="dxa"/>
            <w:vAlign w:val="center"/>
          </w:tcPr>
          <w:p w:rsidR="00577460" w:rsidRDefault="000E0DFA">
            <w:pPr>
              <w:jc w:val="center"/>
            </w:pPr>
            <w:r>
              <w:rPr>
                <w:color w:val="000000"/>
                <w:sz w:val="24"/>
              </w:rPr>
              <w:t>-1.04%</w:t>
            </w:r>
          </w:p>
        </w:tc>
        <w:tc>
          <w:tcPr>
            <w:tcW w:w="1267" w:type="dxa"/>
            <w:vAlign w:val="center"/>
          </w:tcPr>
          <w:p w:rsidR="00577460" w:rsidRDefault="000E0DFA">
            <w:pPr>
              <w:jc w:val="center"/>
            </w:pPr>
            <w:r>
              <w:rPr>
                <w:color w:val="000000"/>
                <w:sz w:val="24"/>
              </w:rPr>
              <w:t>0.12%</w:t>
            </w:r>
          </w:p>
        </w:tc>
        <w:tc>
          <w:tcPr>
            <w:tcW w:w="1267" w:type="dxa"/>
            <w:vAlign w:val="center"/>
          </w:tcPr>
          <w:p w:rsidR="00577460" w:rsidRDefault="000E0DFA">
            <w:pPr>
              <w:jc w:val="center"/>
            </w:pPr>
            <w:r>
              <w:rPr>
                <w:color w:val="000000"/>
                <w:sz w:val="24"/>
              </w:rPr>
              <w:t>1.22%</w:t>
            </w:r>
          </w:p>
        </w:tc>
        <w:tc>
          <w:tcPr>
            <w:tcW w:w="1267" w:type="dxa"/>
            <w:vAlign w:val="center"/>
          </w:tcPr>
          <w:p w:rsidR="00577460" w:rsidRDefault="000E0DFA">
            <w:pPr>
              <w:jc w:val="center"/>
            </w:pPr>
            <w:r>
              <w:rPr>
                <w:color w:val="000000"/>
                <w:sz w:val="24"/>
              </w:rPr>
              <w:t>-0.05%</w:t>
            </w:r>
          </w:p>
        </w:tc>
      </w:tr>
      <w:tr w:rsidR="00577460">
        <w:trPr>
          <w:jc w:val="center"/>
        </w:trPr>
        <w:tc>
          <w:tcPr>
            <w:tcW w:w="1266" w:type="dxa"/>
            <w:vAlign w:val="center"/>
          </w:tcPr>
          <w:p w:rsidR="00577460" w:rsidRDefault="000E0DFA">
            <w:pPr>
              <w:jc w:val="left"/>
            </w:pPr>
            <w:r>
              <w:rPr>
                <w:color w:val="000000"/>
                <w:sz w:val="24"/>
              </w:rPr>
              <w:t>过去六个月</w:t>
            </w:r>
          </w:p>
        </w:tc>
        <w:tc>
          <w:tcPr>
            <w:tcW w:w="1267" w:type="dxa"/>
            <w:vAlign w:val="center"/>
          </w:tcPr>
          <w:p w:rsidR="00577460" w:rsidRDefault="000E0DFA">
            <w:pPr>
              <w:jc w:val="center"/>
            </w:pPr>
            <w:r>
              <w:rPr>
                <w:color w:val="000000"/>
                <w:sz w:val="24"/>
              </w:rPr>
              <w:t>1.85%</w:t>
            </w:r>
          </w:p>
        </w:tc>
        <w:tc>
          <w:tcPr>
            <w:tcW w:w="1267" w:type="dxa"/>
            <w:vAlign w:val="center"/>
          </w:tcPr>
          <w:p w:rsidR="00577460" w:rsidRDefault="000E0DFA">
            <w:pPr>
              <w:jc w:val="center"/>
            </w:pPr>
            <w:r>
              <w:rPr>
                <w:color w:val="000000"/>
                <w:sz w:val="24"/>
              </w:rPr>
              <w:t>0.07%</w:t>
            </w:r>
          </w:p>
        </w:tc>
        <w:tc>
          <w:tcPr>
            <w:tcW w:w="1267" w:type="dxa"/>
            <w:vAlign w:val="center"/>
          </w:tcPr>
          <w:p w:rsidR="00577460" w:rsidRDefault="000E0DFA">
            <w:pPr>
              <w:jc w:val="center"/>
            </w:pPr>
            <w:r>
              <w:rPr>
                <w:color w:val="000000"/>
                <w:sz w:val="24"/>
              </w:rPr>
              <w:t>0.79%</w:t>
            </w:r>
          </w:p>
        </w:tc>
        <w:tc>
          <w:tcPr>
            <w:tcW w:w="1267" w:type="dxa"/>
            <w:vAlign w:val="center"/>
          </w:tcPr>
          <w:p w:rsidR="00577460" w:rsidRDefault="000E0DFA">
            <w:pPr>
              <w:jc w:val="center"/>
            </w:pPr>
            <w:r>
              <w:rPr>
                <w:color w:val="000000"/>
                <w:sz w:val="24"/>
              </w:rPr>
              <w:t>0.11%</w:t>
            </w:r>
          </w:p>
        </w:tc>
        <w:tc>
          <w:tcPr>
            <w:tcW w:w="1267" w:type="dxa"/>
            <w:vAlign w:val="center"/>
          </w:tcPr>
          <w:p w:rsidR="00577460" w:rsidRDefault="000E0DFA">
            <w:pPr>
              <w:jc w:val="center"/>
            </w:pPr>
            <w:r>
              <w:rPr>
                <w:color w:val="000000"/>
                <w:sz w:val="24"/>
              </w:rPr>
              <w:t>1.06%</w:t>
            </w:r>
          </w:p>
        </w:tc>
        <w:tc>
          <w:tcPr>
            <w:tcW w:w="1267" w:type="dxa"/>
            <w:vAlign w:val="center"/>
          </w:tcPr>
          <w:p w:rsidR="00577460" w:rsidRDefault="000E0DFA">
            <w:pPr>
              <w:jc w:val="center"/>
            </w:pPr>
            <w:r>
              <w:rPr>
                <w:color w:val="000000"/>
                <w:sz w:val="24"/>
              </w:rPr>
              <w:t>-0.04%</w:t>
            </w:r>
          </w:p>
        </w:tc>
      </w:tr>
      <w:tr w:rsidR="00577460">
        <w:trPr>
          <w:jc w:val="center"/>
        </w:trPr>
        <w:tc>
          <w:tcPr>
            <w:tcW w:w="1266" w:type="dxa"/>
            <w:vAlign w:val="center"/>
          </w:tcPr>
          <w:p w:rsidR="00577460" w:rsidRDefault="000E0DFA">
            <w:pPr>
              <w:jc w:val="left"/>
            </w:pPr>
            <w:r>
              <w:rPr>
                <w:color w:val="000000"/>
                <w:sz w:val="24"/>
              </w:rPr>
              <w:lastRenderedPageBreak/>
              <w:t>过去一年</w:t>
            </w:r>
          </w:p>
        </w:tc>
        <w:tc>
          <w:tcPr>
            <w:tcW w:w="1267" w:type="dxa"/>
            <w:vAlign w:val="center"/>
          </w:tcPr>
          <w:p w:rsidR="00577460" w:rsidRDefault="000E0DFA">
            <w:pPr>
              <w:jc w:val="center"/>
            </w:pPr>
            <w:r>
              <w:rPr>
                <w:color w:val="000000"/>
                <w:sz w:val="24"/>
              </w:rPr>
              <w:t>3.95%</w:t>
            </w:r>
          </w:p>
        </w:tc>
        <w:tc>
          <w:tcPr>
            <w:tcW w:w="1267" w:type="dxa"/>
            <w:vAlign w:val="center"/>
          </w:tcPr>
          <w:p w:rsidR="00577460" w:rsidRDefault="000E0DFA">
            <w:pPr>
              <w:jc w:val="center"/>
            </w:pPr>
            <w:r>
              <w:rPr>
                <w:color w:val="000000"/>
                <w:sz w:val="24"/>
              </w:rPr>
              <w:t>0.05%</w:t>
            </w:r>
          </w:p>
        </w:tc>
        <w:tc>
          <w:tcPr>
            <w:tcW w:w="1267" w:type="dxa"/>
            <w:vAlign w:val="center"/>
          </w:tcPr>
          <w:p w:rsidR="00577460" w:rsidRDefault="000E0DFA">
            <w:pPr>
              <w:jc w:val="center"/>
            </w:pPr>
            <w:r>
              <w:rPr>
                <w:color w:val="000000"/>
                <w:sz w:val="24"/>
              </w:rPr>
              <w:t>1.87%</w:t>
            </w:r>
          </w:p>
        </w:tc>
        <w:tc>
          <w:tcPr>
            <w:tcW w:w="1267" w:type="dxa"/>
            <w:vAlign w:val="center"/>
          </w:tcPr>
          <w:p w:rsidR="00577460" w:rsidRDefault="000E0DFA">
            <w:pPr>
              <w:jc w:val="center"/>
            </w:pPr>
            <w:r>
              <w:rPr>
                <w:color w:val="000000"/>
                <w:sz w:val="24"/>
              </w:rPr>
              <w:t>0.08%</w:t>
            </w:r>
          </w:p>
        </w:tc>
        <w:tc>
          <w:tcPr>
            <w:tcW w:w="1267" w:type="dxa"/>
            <w:vAlign w:val="center"/>
          </w:tcPr>
          <w:p w:rsidR="00577460" w:rsidRDefault="000E0DFA">
            <w:pPr>
              <w:jc w:val="center"/>
            </w:pPr>
            <w:r>
              <w:rPr>
                <w:color w:val="000000"/>
                <w:sz w:val="24"/>
              </w:rPr>
              <w:t>2.08%</w:t>
            </w:r>
          </w:p>
        </w:tc>
        <w:tc>
          <w:tcPr>
            <w:tcW w:w="1267" w:type="dxa"/>
            <w:vAlign w:val="center"/>
          </w:tcPr>
          <w:p w:rsidR="00577460" w:rsidRDefault="000E0DFA">
            <w:pPr>
              <w:jc w:val="center"/>
            </w:pPr>
            <w:r>
              <w:rPr>
                <w:color w:val="000000"/>
                <w:sz w:val="24"/>
              </w:rPr>
              <w:t>-0.03%</w:t>
            </w:r>
          </w:p>
        </w:tc>
      </w:tr>
      <w:tr w:rsidR="00577460">
        <w:trPr>
          <w:jc w:val="center"/>
        </w:trPr>
        <w:tc>
          <w:tcPr>
            <w:tcW w:w="1266" w:type="dxa"/>
            <w:vAlign w:val="center"/>
          </w:tcPr>
          <w:p w:rsidR="00577460" w:rsidRDefault="000E0DFA">
            <w:pPr>
              <w:jc w:val="left"/>
            </w:pPr>
            <w:r>
              <w:rPr>
                <w:color w:val="000000"/>
                <w:sz w:val="24"/>
              </w:rPr>
              <w:t>过去三年</w:t>
            </w:r>
          </w:p>
        </w:tc>
        <w:tc>
          <w:tcPr>
            <w:tcW w:w="1267" w:type="dxa"/>
            <w:vAlign w:val="center"/>
          </w:tcPr>
          <w:p w:rsidR="00577460" w:rsidRDefault="000E0DFA">
            <w:pPr>
              <w:jc w:val="center"/>
            </w:pPr>
            <w:r>
              <w:rPr>
                <w:color w:val="000000"/>
                <w:sz w:val="24"/>
              </w:rPr>
              <w:t>11.13%</w:t>
            </w:r>
          </w:p>
        </w:tc>
        <w:tc>
          <w:tcPr>
            <w:tcW w:w="1267" w:type="dxa"/>
            <w:vAlign w:val="center"/>
          </w:tcPr>
          <w:p w:rsidR="00577460" w:rsidRDefault="000E0DFA">
            <w:pPr>
              <w:jc w:val="center"/>
            </w:pPr>
            <w:r>
              <w:rPr>
                <w:color w:val="000000"/>
                <w:sz w:val="24"/>
              </w:rPr>
              <w:t>0.05%</w:t>
            </w:r>
          </w:p>
        </w:tc>
        <w:tc>
          <w:tcPr>
            <w:tcW w:w="1267" w:type="dxa"/>
            <w:vAlign w:val="center"/>
          </w:tcPr>
          <w:p w:rsidR="00577460" w:rsidRDefault="000E0DFA">
            <w:pPr>
              <w:jc w:val="center"/>
            </w:pPr>
            <w:r>
              <w:rPr>
                <w:color w:val="000000"/>
                <w:sz w:val="24"/>
              </w:rPr>
              <w:t>5.61%</w:t>
            </w:r>
          </w:p>
        </w:tc>
        <w:tc>
          <w:tcPr>
            <w:tcW w:w="1267" w:type="dxa"/>
            <w:vAlign w:val="center"/>
          </w:tcPr>
          <w:p w:rsidR="00577460" w:rsidRDefault="000E0DFA">
            <w:pPr>
              <w:jc w:val="center"/>
            </w:pPr>
            <w:r>
              <w:rPr>
                <w:color w:val="000000"/>
                <w:sz w:val="24"/>
              </w:rPr>
              <w:t>0.07%</w:t>
            </w:r>
          </w:p>
        </w:tc>
        <w:tc>
          <w:tcPr>
            <w:tcW w:w="1267" w:type="dxa"/>
            <w:vAlign w:val="center"/>
          </w:tcPr>
          <w:p w:rsidR="00577460" w:rsidRDefault="000E0DFA">
            <w:pPr>
              <w:jc w:val="center"/>
            </w:pPr>
            <w:r>
              <w:rPr>
                <w:color w:val="000000"/>
                <w:sz w:val="24"/>
              </w:rPr>
              <w:t>5.52%</w:t>
            </w:r>
          </w:p>
        </w:tc>
        <w:tc>
          <w:tcPr>
            <w:tcW w:w="1267" w:type="dxa"/>
            <w:vAlign w:val="center"/>
          </w:tcPr>
          <w:p w:rsidR="00577460" w:rsidRDefault="000E0DFA">
            <w:pPr>
              <w:jc w:val="center"/>
            </w:pPr>
            <w:r>
              <w:rPr>
                <w:color w:val="000000"/>
                <w:sz w:val="24"/>
              </w:rPr>
              <w:t>-0.02%</w:t>
            </w:r>
          </w:p>
        </w:tc>
      </w:tr>
      <w:tr w:rsidR="00577460">
        <w:trPr>
          <w:jc w:val="center"/>
        </w:trPr>
        <w:tc>
          <w:tcPr>
            <w:tcW w:w="1266" w:type="dxa"/>
            <w:vAlign w:val="center"/>
          </w:tcPr>
          <w:p w:rsidR="00577460" w:rsidRDefault="000E0DFA">
            <w:pPr>
              <w:jc w:val="left"/>
            </w:pPr>
            <w:r>
              <w:rPr>
                <w:color w:val="000000"/>
                <w:sz w:val="24"/>
              </w:rPr>
              <w:t>过去五年</w:t>
            </w:r>
          </w:p>
        </w:tc>
        <w:tc>
          <w:tcPr>
            <w:tcW w:w="1267" w:type="dxa"/>
            <w:vAlign w:val="center"/>
          </w:tcPr>
          <w:p w:rsidR="00577460" w:rsidRDefault="000E0DFA">
            <w:pPr>
              <w:jc w:val="center"/>
            </w:pPr>
            <w:r>
              <w:rPr>
                <w:color w:val="000000"/>
                <w:sz w:val="24"/>
              </w:rPr>
              <w:t>21.23%</w:t>
            </w:r>
          </w:p>
        </w:tc>
        <w:tc>
          <w:tcPr>
            <w:tcW w:w="1267" w:type="dxa"/>
            <w:vAlign w:val="center"/>
          </w:tcPr>
          <w:p w:rsidR="00577460" w:rsidRDefault="000E0DFA">
            <w:pPr>
              <w:jc w:val="center"/>
            </w:pPr>
            <w:r>
              <w:rPr>
                <w:color w:val="000000"/>
                <w:sz w:val="24"/>
              </w:rPr>
              <w:t>0.06%</w:t>
            </w:r>
          </w:p>
        </w:tc>
        <w:tc>
          <w:tcPr>
            <w:tcW w:w="1267" w:type="dxa"/>
            <w:vAlign w:val="center"/>
          </w:tcPr>
          <w:p w:rsidR="00577460" w:rsidRDefault="000E0DFA">
            <w:pPr>
              <w:jc w:val="center"/>
            </w:pPr>
            <w:r>
              <w:rPr>
                <w:color w:val="000000"/>
                <w:sz w:val="24"/>
              </w:rPr>
              <w:t>7.28%</w:t>
            </w:r>
          </w:p>
        </w:tc>
        <w:tc>
          <w:tcPr>
            <w:tcW w:w="1267" w:type="dxa"/>
            <w:vAlign w:val="center"/>
          </w:tcPr>
          <w:p w:rsidR="00577460" w:rsidRDefault="000E0DFA">
            <w:pPr>
              <w:jc w:val="center"/>
            </w:pPr>
            <w:r>
              <w:rPr>
                <w:color w:val="000000"/>
                <w:sz w:val="24"/>
              </w:rPr>
              <w:t>0.06%</w:t>
            </w:r>
          </w:p>
        </w:tc>
        <w:tc>
          <w:tcPr>
            <w:tcW w:w="1267" w:type="dxa"/>
            <w:vAlign w:val="center"/>
          </w:tcPr>
          <w:p w:rsidR="00577460" w:rsidRDefault="000E0DFA">
            <w:pPr>
              <w:jc w:val="center"/>
            </w:pPr>
            <w:r>
              <w:rPr>
                <w:color w:val="000000"/>
                <w:sz w:val="24"/>
              </w:rPr>
              <w:t>13.95%</w:t>
            </w:r>
          </w:p>
        </w:tc>
        <w:tc>
          <w:tcPr>
            <w:tcW w:w="1267" w:type="dxa"/>
            <w:vAlign w:val="center"/>
          </w:tcPr>
          <w:p w:rsidR="00577460" w:rsidRDefault="000E0DFA">
            <w:pPr>
              <w:jc w:val="center"/>
            </w:pPr>
            <w:r>
              <w:rPr>
                <w:color w:val="000000"/>
                <w:sz w:val="24"/>
              </w:rPr>
              <w:t>0.00%</w:t>
            </w:r>
          </w:p>
        </w:tc>
      </w:tr>
      <w:tr w:rsidR="00577460">
        <w:trPr>
          <w:jc w:val="center"/>
        </w:trPr>
        <w:tc>
          <w:tcPr>
            <w:tcW w:w="1266" w:type="dxa"/>
            <w:vAlign w:val="center"/>
          </w:tcPr>
          <w:p w:rsidR="00577460" w:rsidRDefault="000E0DFA">
            <w:pPr>
              <w:jc w:val="left"/>
            </w:pPr>
            <w:r>
              <w:rPr>
                <w:color w:val="000000"/>
                <w:sz w:val="24"/>
              </w:rPr>
              <w:t>自基金合同生效起至今</w:t>
            </w:r>
          </w:p>
        </w:tc>
        <w:tc>
          <w:tcPr>
            <w:tcW w:w="1267" w:type="dxa"/>
            <w:vAlign w:val="center"/>
          </w:tcPr>
          <w:p w:rsidR="00577460" w:rsidRDefault="000E0DFA">
            <w:pPr>
              <w:jc w:val="center"/>
            </w:pPr>
            <w:r>
              <w:rPr>
                <w:color w:val="000000"/>
                <w:sz w:val="24"/>
              </w:rPr>
              <w:t>26.32%</w:t>
            </w:r>
          </w:p>
        </w:tc>
        <w:tc>
          <w:tcPr>
            <w:tcW w:w="1267" w:type="dxa"/>
            <w:vAlign w:val="center"/>
          </w:tcPr>
          <w:p w:rsidR="00577460" w:rsidRDefault="000E0DFA">
            <w:pPr>
              <w:jc w:val="center"/>
            </w:pPr>
            <w:r>
              <w:rPr>
                <w:color w:val="000000"/>
                <w:sz w:val="24"/>
              </w:rPr>
              <w:t>0.06%</w:t>
            </w:r>
          </w:p>
        </w:tc>
        <w:tc>
          <w:tcPr>
            <w:tcW w:w="1267" w:type="dxa"/>
            <w:vAlign w:val="center"/>
          </w:tcPr>
          <w:p w:rsidR="00577460" w:rsidRDefault="000E0DFA">
            <w:pPr>
              <w:jc w:val="center"/>
            </w:pPr>
            <w:r>
              <w:rPr>
                <w:color w:val="000000"/>
                <w:sz w:val="24"/>
              </w:rPr>
              <w:t>8.78%</w:t>
            </w:r>
          </w:p>
        </w:tc>
        <w:tc>
          <w:tcPr>
            <w:tcW w:w="1267" w:type="dxa"/>
            <w:vAlign w:val="center"/>
          </w:tcPr>
          <w:p w:rsidR="00577460" w:rsidRDefault="000E0DFA">
            <w:pPr>
              <w:jc w:val="center"/>
            </w:pPr>
            <w:r>
              <w:rPr>
                <w:color w:val="000000"/>
                <w:sz w:val="24"/>
              </w:rPr>
              <w:t>0.06%</w:t>
            </w:r>
          </w:p>
        </w:tc>
        <w:tc>
          <w:tcPr>
            <w:tcW w:w="1267" w:type="dxa"/>
            <w:vAlign w:val="center"/>
          </w:tcPr>
          <w:p w:rsidR="00577460" w:rsidRDefault="000E0DFA">
            <w:pPr>
              <w:jc w:val="center"/>
            </w:pPr>
            <w:r>
              <w:rPr>
                <w:color w:val="000000"/>
                <w:sz w:val="24"/>
              </w:rPr>
              <w:t>17.54%</w:t>
            </w:r>
          </w:p>
        </w:tc>
        <w:tc>
          <w:tcPr>
            <w:tcW w:w="1267" w:type="dxa"/>
            <w:vAlign w:val="center"/>
          </w:tcPr>
          <w:p w:rsidR="00577460" w:rsidRDefault="000E0DFA">
            <w:pPr>
              <w:jc w:val="center"/>
            </w:pPr>
            <w:r>
              <w:rPr>
                <w:color w:val="000000"/>
                <w:sz w:val="24"/>
              </w:rPr>
              <w:t>0.00%</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日起转为开放式运作，本基金的业绩比较基准由</w:t>
      </w:r>
      <w:r w:rsidRPr="007F52FA">
        <w:rPr>
          <w:color w:val="000000"/>
          <w:sz w:val="24"/>
        </w:rPr>
        <w:t>“</w:t>
      </w:r>
      <w:r w:rsidRPr="007F52FA">
        <w:rPr>
          <w:color w:val="000000"/>
          <w:sz w:val="24"/>
        </w:rPr>
        <w:t>两年期银行定期存款税后收益率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交银施罗德丰享收益债券型证券投资基金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19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交银丰享收益债券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20</w:t>
      </w:r>
      <w:r w:rsidRPr="007F52FA">
        <w:rPr>
          <w:color w:val="000000"/>
          <w:sz w:val="24"/>
        </w:rPr>
        <w:t>日起，开始销售</w:t>
      </w:r>
      <w:r w:rsidRPr="007F52FA">
        <w:rPr>
          <w:color w:val="000000"/>
          <w:sz w:val="24"/>
        </w:rPr>
        <w:t>A</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1</w:t>
      </w:r>
      <w:r w:rsidRPr="007F52FA">
        <w:rPr>
          <w:color w:val="000000"/>
          <w:sz w:val="24"/>
        </w:rPr>
        <w:t>月</w:t>
      </w:r>
      <w:r w:rsidRPr="007F52FA">
        <w:rPr>
          <w:color w:val="000000"/>
          <w:sz w:val="24"/>
        </w:rPr>
        <w:t>25</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交银丰享收益债券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19</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77460">
        <w:trPr>
          <w:jc w:val="center"/>
        </w:trPr>
        <w:tc>
          <w:tcPr>
            <w:tcW w:w="946" w:type="dxa"/>
            <w:vAlign w:val="center"/>
          </w:tcPr>
          <w:p w:rsidR="00577460" w:rsidRDefault="000E0DFA">
            <w:pPr>
              <w:jc w:val="center"/>
            </w:pPr>
            <w:r>
              <w:rPr>
                <w:color w:val="000000"/>
                <w:sz w:val="24"/>
              </w:rPr>
              <w:t>黄莹洁</w:t>
            </w:r>
          </w:p>
        </w:tc>
        <w:tc>
          <w:tcPr>
            <w:tcW w:w="924" w:type="dxa"/>
            <w:vAlign w:val="center"/>
          </w:tcPr>
          <w:p w:rsidR="00577460" w:rsidRDefault="000E0DFA">
            <w:pPr>
              <w:jc w:val="center"/>
            </w:pPr>
            <w:r>
              <w:rPr>
                <w:color w:val="000000"/>
                <w:sz w:val="24"/>
              </w:rPr>
              <w:t>交银理财</w:t>
            </w:r>
            <w:r>
              <w:rPr>
                <w:color w:val="000000"/>
                <w:sz w:val="24"/>
              </w:rPr>
              <w:t>21</w:t>
            </w:r>
            <w:r>
              <w:rPr>
                <w:color w:val="000000"/>
                <w:sz w:val="24"/>
              </w:rPr>
              <w:t>天债券、交银丰享收益债券、交银活期</w:t>
            </w:r>
            <w:r>
              <w:rPr>
                <w:color w:val="000000"/>
                <w:sz w:val="24"/>
              </w:rPr>
              <w:lastRenderedPageBreak/>
              <w:t>通货币、交银天利宝货币、交银裕隆纯债债券、交银天益宝货币、交银境尚收益债券、交银稳鑫短债债券、交银稳利中短债债券的基金经理</w:t>
            </w:r>
          </w:p>
        </w:tc>
        <w:tc>
          <w:tcPr>
            <w:tcW w:w="1202" w:type="dxa"/>
            <w:vAlign w:val="center"/>
          </w:tcPr>
          <w:p w:rsidR="00577460" w:rsidRDefault="000E0DFA">
            <w:pPr>
              <w:jc w:val="center"/>
            </w:pPr>
            <w:r>
              <w:rPr>
                <w:color w:val="000000"/>
                <w:sz w:val="24"/>
              </w:rPr>
              <w:lastRenderedPageBreak/>
              <w:t>2015-07-25</w:t>
            </w:r>
          </w:p>
        </w:tc>
        <w:tc>
          <w:tcPr>
            <w:tcW w:w="1300" w:type="dxa"/>
            <w:vAlign w:val="center"/>
          </w:tcPr>
          <w:p w:rsidR="00577460" w:rsidRDefault="000E0DFA">
            <w:pPr>
              <w:jc w:val="center"/>
            </w:pPr>
            <w:r>
              <w:rPr>
                <w:color w:val="000000"/>
                <w:sz w:val="24"/>
              </w:rPr>
              <w:t>-</w:t>
            </w:r>
          </w:p>
        </w:tc>
        <w:tc>
          <w:tcPr>
            <w:tcW w:w="1245" w:type="dxa"/>
            <w:vAlign w:val="center"/>
          </w:tcPr>
          <w:p w:rsidR="00577460" w:rsidRDefault="000E0DFA">
            <w:pPr>
              <w:jc w:val="center"/>
            </w:pPr>
            <w:r>
              <w:rPr>
                <w:color w:val="000000"/>
                <w:sz w:val="24"/>
              </w:rPr>
              <w:t>12</w:t>
            </w:r>
            <w:r>
              <w:rPr>
                <w:color w:val="000000"/>
                <w:sz w:val="24"/>
              </w:rPr>
              <w:t>年</w:t>
            </w:r>
          </w:p>
        </w:tc>
        <w:tc>
          <w:tcPr>
            <w:tcW w:w="3251" w:type="dxa"/>
            <w:vAlign w:val="center"/>
          </w:tcPr>
          <w:p w:rsidR="00577460" w:rsidRDefault="000E0DF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lastRenderedPageBreak/>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w:t>
            </w:r>
            <w:r>
              <w:rPr>
                <w:color w:val="000000"/>
                <w:sz w:val="24"/>
              </w:rPr>
              <w:t>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577460" w:rsidRDefault="000E0DF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77460" w:rsidRDefault="000E0DFA">
      <w:pPr>
        <w:spacing w:before="29" w:line="288" w:lineRule="auto"/>
        <w:ind w:firstLineChars="200" w:firstLine="480"/>
        <w:rPr>
          <w:color w:val="000000"/>
          <w:sz w:val="24"/>
        </w:rPr>
      </w:pPr>
      <w:r>
        <w:rPr>
          <w:color w:val="000000"/>
          <w:sz w:val="24"/>
        </w:rPr>
        <w:lastRenderedPageBreak/>
        <w:t>公司建立资源共享的投资研究信息平台，确保各投资组合在获得</w:t>
      </w:r>
      <w:r>
        <w:rPr>
          <w:color w:val="000000"/>
          <w:sz w:val="24"/>
        </w:rPr>
        <w:t>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77460" w:rsidRDefault="000E0DF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w:t>
      </w:r>
      <w:r>
        <w:rPr>
          <w:color w:val="000000"/>
          <w:sz w:val="24"/>
        </w:rPr>
        <w:t>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77460" w:rsidRDefault="000E0DFA">
      <w:pPr>
        <w:spacing w:before="29" w:line="288" w:lineRule="auto"/>
        <w:ind w:firstLineChars="200" w:firstLine="480"/>
        <w:rPr>
          <w:color w:val="000000"/>
          <w:sz w:val="24"/>
        </w:rPr>
      </w:pPr>
      <w:r>
        <w:rPr>
          <w:color w:val="000000"/>
          <w:sz w:val="24"/>
        </w:rPr>
        <w:t>本报告期内，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止</w:t>
      </w:r>
      <w:r>
        <w:rPr>
          <w:color w:val="000000"/>
          <w:sz w:val="24"/>
        </w:rPr>
        <w:t>6</w:t>
      </w:r>
      <w:r>
        <w:rPr>
          <w:color w:val="000000"/>
          <w:sz w:val="24"/>
        </w:rPr>
        <w:t>月</w:t>
      </w:r>
      <w:r>
        <w:rPr>
          <w:color w:val="000000"/>
          <w:sz w:val="24"/>
        </w:rPr>
        <w:t>30</w:t>
      </w:r>
      <w:r>
        <w:rPr>
          <w:color w:val="000000"/>
          <w:sz w:val="24"/>
        </w:rPr>
        <w:t>日，一年国债和十年国债分别收于</w:t>
      </w:r>
      <w:r>
        <w:rPr>
          <w:color w:val="000000"/>
          <w:sz w:val="24"/>
        </w:rPr>
        <w:t>2.18%</w:t>
      </w:r>
      <w:r>
        <w:rPr>
          <w:color w:val="000000"/>
          <w:sz w:val="24"/>
        </w:rPr>
        <w:t>和</w:t>
      </w:r>
      <w:r>
        <w:rPr>
          <w:color w:val="000000"/>
          <w:sz w:val="24"/>
        </w:rPr>
        <w:t>2.82%</w:t>
      </w:r>
      <w:r>
        <w:rPr>
          <w:color w:val="000000"/>
          <w:sz w:val="24"/>
        </w:rPr>
        <w:t>，较一季度末分别上行</w:t>
      </w:r>
      <w:r>
        <w:rPr>
          <w:color w:val="000000"/>
          <w:sz w:val="24"/>
        </w:rPr>
        <w:t>49bp</w:t>
      </w:r>
      <w:r>
        <w:rPr>
          <w:color w:val="000000"/>
          <w:sz w:val="24"/>
        </w:rPr>
        <w:t>和</w:t>
      </w:r>
      <w:r>
        <w:rPr>
          <w:color w:val="000000"/>
          <w:sz w:val="24"/>
        </w:rPr>
        <w:t>23bp</w:t>
      </w:r>
      <w:r>
        <w:rPr>
          <w:color w:val="000000"/>
          <w:sz w:val="24"/>
        </w:rPr>
        <w:t>。</w:t>
      </w:r>
    </w:p>
    <w:p w:rsidR="00577460" w:rsidRDefault="000E0DFA">
      <w:pPr>
        <w:spacing w:before="29" w:line="288" w:lineRule="auto"/>
        <w:ind w:firstLineChars="200" w:firstLine="480"/>
        <w:rPr>
          <w:color w:val="000000"/>
          <w:sz w:val="24"/>
        </w:rPr>
      </w:pPr>
      <w:r>
        <w:rPr>
          <w:color w:val="000000"/>
          <w:sz w:val="24"/>
        </w:rPr>
        <w:t>基金操作方面，本基金仍然是以信用债票息策略为主，适当降低了组合的久期。具体配置方面仍以</w:t>
      </w:r>
      <w:r>
        <w:rPr>
          <w:color w:val="000000"/>
          <w:sz w:val="24"/>
        </w:rPr>
        <w:t>1-3</w:t>
      </w:r>
      <w:r>
        <w:rPr>
          <w:color w:val="000000"/>
          <w:sz w:val="24"/>
        </w:rPr>
        <w:t>年中高等级信用债为底仓，同时择机配置了部分中长端利率债。由于资金成本相对较低，本基金适度运用杠杆操作增厚组合收益。</w:t>
      </w:r>
    </w:p>
    <w:p w:rsidR="00577460" w:rsidRDefault="000E0DFA">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三季度，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w:t>
      </w:r>
      <w:r>
        <w:rPr>
          <w:color w:val="000000"/>
          <w:sz w:val="24"/>
        </w:rPr>
        <w:t>常务会议要求引导贷款与债券利率下行，资金利率继续上行的空间已经有限。</w:t>
      </w:r>
    </w:p>
    <w:p w:rsidR="00952A72" w:rsidRPr="007F52FA" w:rsidRDefault="00323F25" w:rsidP="007C14DF">
      <w:pPr>
        <w:spacing w:before="29" w:line="288" w:lineRule="auto"/>
        <w:ind w:firstLineChars="200" w:firstLine="480"/>
        <w:rPr>
          <w:color w:val="000000"/>
          <w:sz w:val="24"/>
        </w:rPr>
      </w:pPr>
      <w:r w:rsidRPr="007F52FA">
        <w:rPr>
          <w:color w:val="000000"/>
          <w:sz w:val="24"/>
        </w:rPr>
        <w:t>在此背景下，我们认为债券收益率继续大幅上行的空间相对有限，债券大概率维持震荡格局。组合操作方面，我们将会控制整体组合久期，采取票息策略为主的思路，在严控信用风险的基础上，对各类债券品种精耕细作，加强收益挖掘。同时，鉴于短端资金和资产收益利差空间仍然较为显著，我们会辅以合理杠杆水平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1,193,788,000.00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1,193,788,000.00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98.10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4,528,403.93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18,557,662.73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1,216,874,066.66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142,504,000.00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142,504,000.00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13.15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1,051,284,000.00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97.02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1,193,788,000.00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110.17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77460">
        <w:trPr>
          <w:jc w:val="center"/>
        </w:trPr>
        <w:tc>
          <w:tcPr>
            <w:tcW w:w="1075" w:type="dxa"/>
            <w:vAlign w:val="center"/>
          </w:tcPr>
          <w:p w:rsidR="00577460" w:rsidRDefault="000E0DFA">
            <w:pPr>
              <w:jc w:val="center"/>
            </w:pPr>
            <w:r>
              <w:rPr>
                <w:color w:val="000000"/>
                <w:sz w:val="24"/>
              </w:rPr>
              <w:t>1</w:t>
            </w:r>
          </w:p>
        </w:tc>
        <w:tc>
          <w:tcPr>
            <w:tcW w:w="1533" w:type="dxa"/>
            <w:vAlign w:val="center"/>
          </w:tcPr>
          <w:p w:rsidR="00577460" w:rsidRDefault="000E0DFA">
            <w:pPr>
              <w:jc w:val="center"/>
            </w:pPr>
            <w:r>
              <w:rPr>
                <w:color w:val="000000"/>
                <w:sz w:val="24"/>
              </w:rPr>
              <w:t>101763007</w:t>
            </w:r>
          </w:p>
        </w:tc>
        <w:tc>
          <w:tcPr>
            <w:tcW w:w="1533" w:type="dxa"/>
            <w:vAlign w:val="center"/>
          </w:tcPr>
          <w:p w:rsidR="00577460" w:rsidRDefault="000E0DFA">
            <w:pPr>
              <w:jc w:val="center"/>
            </w:pPr>
            <w:r>
              <w:rPr>
                <w:color w:val="000000"/>
                <w:sz w:val="24"/>
              </w:rPr>
              <w:t>17</w:t>
            </w:r>
            <w:r>
              <w:rPr>
                <w:color w:val="000000"/>
                <w:sz w:val="24"/>
              </w:rPr>
              <w:t>即墨城投</w:t>
            </w:r>
            <w:r>
              <w:rPr>
                <w:color w:val="000000"/>
                <w:sz w:val="24"/>
              </w:rPr>
              <w:t>MTN001</w:t>
            </w:r>
          </w:p>
        </w:tc>
        <w:tc>
          <w:tcPr>
            <w:tcW w:w="1394" w:type="dxa"/>
            <w:vAlign w:val="center"/>
          </w:tcPr>
          <w:p w:rsidR="00577460" w:rsidRDefault="000E0DFA">
            <w:pPr>
              <w:jc w:val="right"/>
            </w:pPr>
            <w:r>
              <w:rPr>
                <w:color w:val="000000"/>
                <w:sz w:val="24"/>
              </w:rPr>
              <w:t>700,000</w:t>
            </w:r>
          </w:p>
        </w:tc>
        <w:tc>
          <w:tcPr>
            <w:tcW w:w="1944" w:type="dxa"/>
            <w:vAlign w:val="center"/>
          </w:tcPr>
          <w:p w:rsidR="00577460" w:rsidRDefault="000E0DFA">
            <w:pPr>
              <w:jc w:val="right"/>
            </w:pPr>
            <w:r>
              <w:rPr>
                <w:color w:val="000000"/>
                <w:sz w:val="24"/>
              </w:rPr>
              <w:t>72,737,000.00</w:t>
            </w:r>
          </w:p>
        </w:tc>
        <w:tc>
          <w:tcPr>
            <w:tcW w:w="1389" w:type="dxa"/>
            <w:vAlign w:val="center"/>
          </w:tcPr>
          <w:p w:rsidR="00577460" w:rsidRDefault="000E0DFA">
            <w:pPr>
              <w:jc w:val="right"/>
            </w:pPr>
            <w:r>
              <w:rPr>
                <w:color w:val="000000"/>
                <w:sz w:val="24"/>
              </w:rPr>
              <w:t>6.71</w:t>
            </w:r>
          </w:p>
        </w:tc>
      </w:tr>
      <w:tr w:rsidR="00577460">
        <w:trPr>
          <w:jc w:val="center"/>
        </w:trPr>
        <w:tc>
          <w:tcPr>
            <w:tcW w:w="1075" w:type="dxa"/>
            <w:vAlign w:val="center"/>
          </w:tcPr>
          <w:p w:rsidR="00577460" w:rsidRDefault="000E0DFA">
            <w:pPr>
              <w:jc w:val="center"/>
            </w:pPr>
            <w:r>
              <w:rPr>
                <w:color w:val="000000"/>
                <w:sz w:val="24"/>
              </w:rPr>
              <w:t>2</w:t>
            </w:r>
          </w:p>
        </w:tc>
        <w:tc>
          <w:tcPr>
            <w:tcW w:w="1533" w:type="dxa"/>
            <w:vAlign w:val="center"/>
          </w:tcPr>
          <w:p w:rsidR="00577460" w:rsidRDefault="000E0DFA">
            <w:pPr>
              <w:jc w:val="center"/>
            </w:pPr>
            <w:r>
              <w:rPr>
                <w:color w:val="000000"/>
                <w:sz w:val="24"/>
              </w:rPr>
              <w:t>101800181</w:t>
            </w:r>
          </w:p>
        </w:tc>
        <w:tc>
          <w:tcPr>
            <w:tcW w:w="1533" w:type="dxa"/>
            <w:vAlign w:val="center"/>
          </w:tcPr>
          <w:p w:rsidR="00577460" w:rsidRDefault="000E0DFA">
            <w:pPr>
              <w:jc w:val="center"/>
            </w:pPr>
            <w:r>
              <w:rPr>
                <w:color w:val="000000"/>
                <w:sz w:val="24"/>
              </w:rPr>
              <w:t>18</w:t>
            </w:r>
            <w:r>
              <w:rPr>
                <w:color w:val="000000"/>
                <w:sz w:val="24"/>
              </w:rPr>
              <w:t>南昌工业</w:t>
            </w:r>
            <w:r>
              <w:rPr>
                <w:color w:val="000000"/>
                <w:sz w:val="24"/>
              </w:rPr>
              <w:lastRenderedPageBreak/>
              <w:t>MTN001</w:t>
            </w:r>
          </w:p>
        </w:tc>
        <w:tc>
          <w:tcPr>
            <w:tcW w:w="1394" w:type="dxa"/>
            <w:vAlign w:val="center"/>
          </w:tcPr>
          <w:p w:rsidR="00577460" w:rsidRDefault="000E0DFA">
            <w:pPr>
              <w:jc w:val="right"/>
            </w:pPr>
            <w:r>
              <w:rPr>
                <w:color w:val="000000"/>
                <w:sz w:val="24"/>
              </w:rPr>
              <w:lastRenderedPageBreak/>
              <w:t>700,000</w:t>
            </w:r>
          </w:p>
        </w:tc>
        <w:tc>
          <w:tcPr>
            <w:tcW w:w="1944" w:type="dxa"/>
            <w:vAlign w:val="center"/>
          </w:tcPr>
          <w:p w:rsidR="00577460" w:rsidRDefault="000E0DFA">
            <w:pPr>
              <w:jc w:val="right"/>
            </w:pPr>
            <w:r>
              <w:rPr>
                <w:color w:val="000000"/>
                <w:sz w:val="24"/>
              </w:rPr>
              <w:t>71,540,000.00</w:t>
            </w:r>
          </w:p>
        </w:tc>
        <w:tc>
          <w:tcPr>
            <w:tcW w:w="1389" w:type="dxa"/>
            <w:vAlign w:val="center"/>
          </w:tcPr>
          <w:p w:rsidR="00577460" w:rsidRDefault="000E0DFA">
            <w:pPr>
              <w:jc w:val="right"/>
            </w:pPr>
            <w:r>
              <w:rPr>
                <w:color w:val="000000"/>
                <w:sz w:val="24"/>
              </w:rPr>
              <w:t>6.60</w:t>
            </w:r>
          </w:p>
        </w:tc>
      </w:tr>
      <w:tr w:rsidR="00577460">
        <w:trPr>
          <w:jc w:val="center"/>
        </w:trPr>
        <w:tc>
          <w:tcPr>
            <w:tcW w:w="1075" w:type="dxa"/>
            <w:vAlign w:val="center"/>
          </w:tcPr>
          <w:p w:rsidR="00577460" w:rsidRDefault="000E0DFA">
            <w:pPr>
              <w:jc w:val="center"/>
            </w:pPr>
            <w:r>
              <w:rPr>
                <w:color w:val="000000"/>
                <w:sz w:val="24"/>
              </w:rPr>
              <w:t>3</w:t>
            </w:r>
          </w:p>
        </w:tc>
        <w:tc>
          <w:tcPr>
            <w:tcW w:w="1533" w:type="dxa"/>
            <w:vAlign w:val="center"/>
          </w:tcPr>
          <w:p w:rsidR="00577460" w:rsidRDefault="000E0DFA">
            <w:pPr>
              <w:jc w:val="center"/>
            </w:pPr>
            <w:r>
              <w:rPr>
                <w:color w:val="000000"/>
                <w:sz w:val="24"/>
              </w:rPr>
              <w:t>101800261</w:t>
            </w:r>
          </w:p>
        </w:tc>
        <w:tc>
          <w:tcPr>
            <w:tcW w:w="1533" w:type="dxa"/>
            <w:vAlign w:val="center"/>
          </w:tcPr>
          <w:p w:rsidR="00577460" w:rsidRDefault="000E0DFA">
            <w:pPr>
              <w:jc w:val="center"/>
            </w:pPr>
            <w:r>
              <w:rPr>
                <w:color w:val="000000"/>
                <w:sz w:val="24"/>
              </w:rPr>
              <w:t>18</w:t>
            </w:r>
            <w:r>
              <w:rPr>
                <w:color w:val="000000"/>
                <w:sz w:val="24"/>
              </w:rPr>
              <w:t>即墨旅投</w:t>
            </w:r>
            <w:r>
              <w:rPr>
                <w:color w:val="000000"/>
                <w:sz w:val="24"/>
              </w:rPr>
              <w:t>MTN001</w:t>
            </w:r>
          </w:p>
        </w:tc>
        <w:tc>
          <w:tcPr>
            <w:tcW w:w="1394" w:type="dxa"/>
            <w:vAlign w:val="center"/>
          </w:tcPr>
          <w:p w:rsidR="00577460" w:rsidRDefault="000E0DFA">
            <w:pPr>
              <w:jc w:val="right"/>
            </w:pPr>
            <w:r>
              <w:rPr>
                <w:color w:val="000000"/>
                <w:sz w:val="24"/>
              </w:rPr>
              <w:t>600,000</w:t>
            </w:r>
          </w:p>
        </w:tc>
        <w:tc>
          <w:tcPr>
            <w:tcW w:w="1944" w:type="dxa"/>
            <w:vAlign w:val="center"/>
          </w:tcPr>
          <w:p w:rsidR="00577460" w:rsidRDefault="000E0DFA">
            <w:pPr>
              <w:jc w:val="right"/>
            </w:pPr>
            <w:r>
              <w:rPr>
                <w:color w:val="000000"/>
                <w:sz w:val="24"/>
              </w:rPr>
              <w:t>61,458,000.00</w:t>
            </w:r>
          </w:p>
        </w:tc>
        <w:tc>
          <w:tcPr>
            <w:tcW w:w="1389" w:type="dxa"/>
            <w:vAlign w:val="center"/>
          </w:tcPr>
          <w:p w:rsidR="00577460" w:rsidRDefault="000E0DFA">
            <w:pPr>
              <w:jc w:val="right"/>
            </w:pPr>
            <w:r>
              <w:rPr>
                <w:color w:val="000000"/>
                <w:sz w:val="24"/>
              </w:rPr>
              <w:t>5.67</w:t>
            </w:r>
          </w:p>
        </w:tc>
      </w:tr>
      <w:tr w:rsidR="00577460">
        <w:trPr>
          <w:jc w:val="center"/>
        </w:trPr>
        <w:tc>
          <w:tcPr>
            <w:tcW w:w="1075" w:type="dxa"/>
            <w:vAlign w:val="center"/>
          </w:tcPr>
          <w:p w:rsidR="00577460" w:rsidRDefault="000E0DFA">
            <w:pPr>
              <w:jc w:val="center"/>
            </w:pPr>
            <w:r>
              <w:rPr>
                <w:color w:val="000000"/>
                <w:sz w:val="24"/>
              </w:rPr>
              <w:t>4</w:t>
            </w:r>
          </w:p>
        </w:tc>
        <w:tc>
          <w:tcPr>
            <w:tcW w:w="1533" w:type="dxa"/>
            <w:vAlign w:val="center"/>
          </w:tcPr>
          <w:p w:rsidR="00577460" w:rsidRDefault="000E0DFA">
            <w:pPr>
              <w:jc w:val="center"/>
            </w:pPr>
            <w:r>
              <w:rPr>
                <w:color w:val="000000"/>
                <w:sz w:val="24"/>
              </w:rPr>
              <w:t>101800640</w:t>
            </w:r>
          </w:p>
        </w:tc>
        <w:tc>
          <w:tcPr>
            <w:tcW w:w="1533" w:type="dxa"/>
            <w:vAlign w:val="center"/>
          </w:tcPr>
          <w:p w:rsidR="00577460" w:rsidRDefault="000E0DFA">
            <w:pPr>
              <w:jc w:val="center"/>
            </w:pPr>
            <w:r>
              <w:rPr>
                <w:color w:val="000000"/>
                <w:sz w:val="24"/>
              </w:rPr>
              <w:t>18</w:t>
            </w:r>
            <w:r>
              <w:rPr>
                <w:color w:val="000000"/>
                <w:sz w:val="24"/>
              </w:rPr>
              <w:t>环球租赁</w:t>
            </w:r>
            <w:r>
              <w:rPr>
                <w:color w:val="000000"/>
                <w:sz w:val="24"/>
              </w:rPr>
              <w:t>MTN001</w:t>
            </w:r>
          </w:p>
        </w:tc>
        <w:tc>
          <w:tcPr>
            <w:tcW w:w="1394" w:type="dxa"/>
            <w:vAlign w:val="center"/>
          </w:tcPr>
          <w:p w:rsidR="00577460" w:rsidRDefault="000E0DFA">
            <w:pPr>
              <w:jc w:val="right"/>
            </w:pPr>
            <w:r>
              <w:rPr>
                <w:color w:val="000000"/>
                <w:sz w:val="24"/>
              </w:rPr>
              <w:t>600,000</w:t>
            </w:r>
          </w:p>
        </w:tc>
        <w:tc>
          <w:tcPr>
            <w:tcW w:w="1944" w:type="dxa"/>
            <w:vAlign w:val="center"/>
          </w:tcPr>
          <w:p w:rsidR="00577460" w:rsidRDefault="000E0DFA">
            <w:pPr>
              <w:jc w:val="right"/>
            </w:pPr>
            <w:r>
              <w:rPr>
                <w:color w:val="000000"/>
                <w:sz w:val="24"/>
              </w:rPr>
              <w:t>61,044,000.00</w:t>
            </w:r>
          </w:p>
        </w:tc>
        <w:tc>
          <w:tcPr>
            <w:tcW w:w="1389" w:type="dxa"/>
            <w:vAlign w:val="center"/>
          </w:tcPr>
          <w:p w:rsidR="00577460" w:rsidRDefault="000E0DFA">
            <w:pPr>
              <w:jc w:val="right"/>
            </w:pPr>
            <w:r>
              <w:rPr>
                <w:color w:val="000000"/>
                <w:sz w:val="24"/>
              </w:rPr>
              <w:t>5.63</w:t>
            </w:r>
          </w:p>
        </w:tc>
      </w:tr>
      <w:tr w:rsidR="00577460">
        <w:trPr>
          <w:jc w:val="center"/>
        </w:trPr>
        <w:tc>
          <w:tcPr>
            <w:tcW w:w="1075" w:type="dxa"/>
            <w:vAlign w:val="center"/>
          </w:tcPr>
          <w:p w:rsidR="00577460" w:rsidRDefault="000E0DFA">
            <w:pPr>
              <w:jc w:val="center"/>
            </w:pPr>
            <w:r>
              <w:rPr>
                <w:color w:val="000000"/>
                <w:sz w:val="24"/>
              </w:rPr>
              <w:t>5</w:t>
            </w:r>
          </w:p>
        </w:tc>
        <w:tc>
          <w:tcPr>
            <w:tcW w:w="1533" w:type="dxa"/>
            <w:vAlign w:val="center"/>
          </w:tcPr>
          <w:p w:rsidR="00577460" w:rsidRDefault="000E0DFA">
            <w:pPr>
              <w:jc w:val="center"/>
            </w:pPr>
            <w:r>
              <w:rPr>
                <w:color w:val="000000"/>
                <w:sz w:val="24"/>
              </w:rPr>
              <w:t>190406</w:t>
            </w:r>
          </w:p>
        </w:tc>
        <w:tc>
          <w:tcPr>
            <w:tcW w:w="1533" w:type="dxa"/>
            <w:vAlign w:val="center"/>
          </w:tcPr>
          <w:p w:rsidR="00577460" w:rsidRDefault="000E0DFA">
            <w:pPr>
              <w:jc w:val="center"/>
            </w:pPr>
            <w:r>
              <w:rPr>
                <w:color w:val="000000"/>
                <w:sz w:val="24"/>
              </w:rPr>
              <w:t>19</w:t>
            </w:r>
            <w:r>
              <w:rPr>
                <w:color w:val="000000"/>
                <w:sz w:val="24"/>
              </w:rPr>
              <w:t>农发</w:t>
            </w:r>
            <w:r>
              <w:rPr>
                <w:color w:val="000000"/>
                <w:sz w:val="24"/>
              </w:rPr>
              <w:t>06</w:t>
            </w:r>
          </w:p>
        </w:tc>
        <w:tc>
          <w:tcPr>
            <w:tcW w:w="1394" w:type="dxa"/>
            <w:vAlign w:val="center"/>
          </w:tcPr>
          <w:p w:rsidR="00577460" w:rsidRDefault="000E0DFA">
            <w:pPr>
              <w:jc w:val="right"/>
            </w:pPr>
            <w:r>
              <w:rPr>
                <w:color w:val="000000"/>
                <w:sz w:val="24"/>
              </w:rPr>
              <w:t>500,000</w:t>
            </w:r>
          </w:p>
        </w:tc>
        <w:tc>
          <w:tcPr>
            <w:tcW w:w="1944" w:type="dxa"/>
            <w:vAlign w:val="center"/>
          </w:tcPr>
          <w:p w:rsidR="00577460" w:rsidRDefault="000E0DFA">
            <w:pPr>
              <w:jc w:val="right"/>
            </w:pPr>
            <w:r>
              <w:rPr>
                <w:color w:val="000000"/>
                <w:sz w:val="24"/>
              </w:rPr>
              <w:t>51,300,000.00</w:t>
            </w:r>
          </w:p>
        </w:tc>
        <w:tc>
          <w:tcPr>
            <w:tcW w:w="1389" w:type="dxa"/>
            <w:vAlign w:val="center"/>
          </w:tcPr>
          <w:p w:rsidR="00577460" w:rsidRDefault="000E0DFA">
            <w:pPr>
              <w:jc w:val="right"/>
            </w:pPr>
            <w:r>
              <w:rPr>
                <w:color w:val="000000"/>
                <w:sz w:val="24"/>
              </w:rPr>
              <w:t>4.73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18,388,268.55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169,394.18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18,557,662.73</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交银丰享收益债券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503,128,226.62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8,441,868.77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6,315,868.73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2,187,004.03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4,472,233.90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2,588,606.08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504,971,861.45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8,040,266.72</w:t>
            </w:r>
          </w:p>
        </w:tc>
      </w:tr>
    </w:tbl>
    <w:p w:rsidR="00577460" w:rsidRDefault="000E0DF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77460">
        <w:tc>
          <w:tcPr>
            <w:tcW w:w="992" w:type="dxa"/>
            <w:vMerge w:val="restart"/>
          </w:tcPr>
          <w:p w:rsidR="00577460" w:rsidRDefault="00577460"/>
          <w:p w:rsidR="00577460" w:rsidRDefault="000E0DFA">
            <w:r>
              <w:rPr>
                <w:rFonts w:ascii="宋体" w:hAnsi="宋体" w:hint="eastAsia"/>
                <w:bCs/>
                <w:color w:val="000000"/>
                <w:kern w:val="0"/>
                <w:szCs w:val="21"/>
              </w:rPr>
              <w:t>机构</w:t>
            </w:r>
          </w:p>
        </w:tc>
        <w:tc>
          <w:tcPr>
            <w:tcW w:w="991" w:type="dxa"/>
            <w:vAlign w:val="center"/>
          </w:tcPr>
          <w:p w:rsidR="00577460" w:rsidRDefault="000E0DFA">
            <w:pPr>
              <w:jc w:val="center"/>
            </w:pPr>
            <w:r>
              <w:rPr>
                <w:rFonts w:ascii="宋体" w:hAnsi="宋体" w:hint="eastAsia"/>
                <w:color w:val="000000"/>
                <w:kern w:val="0"/>
                <w:szCs w:val="21"/>
              </w:rPr>
              <w:t>1</w:t>
            </w:r>
          </w:p>
        </w:tc>
        <w:tc>
          <w:tcPr>
            <w:tcW w:w="1843" w:type="dxa"/>
            <w:vAlign w:val="center"/>
          </w:tcPr>
          <w:p w:rsidR="00577460" w:rsidRDefault="000E0DFA">
            <w:pPr>
              <w:jc w:val="center"/>
            </w:pPr>
            <w:r>
              <w:rPr>
                <w:rFonts w:ascii="宋体" w:hAnsi="宋体" w:hint="eastAsia"/>
                <w:color w:val="000000"/>
                <w:kern w:val="0"/>
                <w:szCs w:val="21"/>
              </w:rPr>
              <w:t>2020/4/1-2020/6/30</w:t>
            </w:r>
          </w:p>
        </w:tc>
        <w:tc>
          <w:tcPr>
            <w:tcW w:w="851" w:type="dxa"/>
            <w:vAlign w:val="center"/>
          </w:tcPr>
          <w:p w:rsidR="00577460" w:rsidRDefault="000E0DFA">
            <w:pPr>
              <w:jc w:val="center"/>
            </w:pPr>
            <w:r>
              <w:rPr>
                <w:rFonts w:ascii="宋体" w:hAnsi="宋体" w:hint="eastAsia"/>
                <w:color w:val="000000"/>
                <w:kern w:val="0"/>
                <w:szCs w:val="21"/>
              </w:rPr>
              <w:t>246,913,580.25</w:t>
            </w:r>
          </w:p>
        </w:tc>
        <w:tc>
          <w:tcPr>
            <w:tcW w:w="850" w:type="dxa"/>
            <w:vAlign w:val="center"/>
          </w:tcPr>
          <w:p w:rsidR="00577460" w:rsidRDefault="000E0DFA">
            <w:pPr>
              <w:jc w:val="center"/>
            </w:pPr>
            <w:r>
              <w:rPr>
                <w:rFonts w:ascii="宋体" w:hAnsi="宋体" w:hint="eastAsia"/>
                <w:color w:val="000000"/>
                <w:kern w:val="0"/>
                <w:szCs w:val="21"/>
              </w:rPr>
              <w:t>-</w:t>
            </w:r>
          </w:p>
        </w:tc>
        <w:tc>
          <w:tcPr>
            <w:tcW w:w="1134" w:type="dxa"/>
            <w:vAlign w:val="center"/>
          </w:tcPr>
          <w:p w:rsidR="00577460" w:rsidRDefault="000E0DFA">
            <w:pPr>
              <w:jc w:val="center"/>
            </w:pPr>
            <w:r>
              <w:rPr>
                <w:rFonts w:ascii="宋体" w:hAnsi="宋体" w:hint="eastAsia"/>
                <w:color w:val="000000"/>
                <w:kern w:val="0"/>
                <w:szCs w:val="21"/>
              </w:rPr>
              <w:t>-</w:t>
            </w:r>
          </w:p>
        </w:tc>
        <w:tc>
          <w:tcPr>
            <w:tcW w:w="1419" w:type="dxa"/>
            <w:vAlign w:val="center"/>
          </w:tcPr>
          <w:p w:rsidR="00577460" w:rsidRDefault="000E0DFA">
            <w:pPr>
              <w:jc w:val="center"/>
            </w:pPr>
            <w:r>
              <w:rPr>
                <w:rFonts w:ascii="宋体" w:hAnsi="宋体" w:hint="eastAsia"/>
                <w:color w:val="000000"/>
                <w:kern w:val="0"/>
                <w:szCs w:val="21"/>
              </w:rPr>
              <w:t>246,913,580.25</w:t>
            </w:r>
          </w:p>
        </w:tc>
        <w:tc>
          <w:tcPr>
            <w:tcW w:w="1130" w:type="dxa"/>
            <w:vAlign w:val="center"/>
          </w:tcPr>
          <w:p w:rsidR="00577460" w:rsidRDefault="000E0DFA">
            <w:pPr>
              <w:jc w:val="center"/>
            </w:pPr>
            <w:r>
              <w:rPr>
                <w:rFonts w:ascii="宋体" w:hAnsi="宋体" w:hint="eastAsia"/>
                <w:color w:val="000000"/>
                <w:kern w:val="0"/>
                <w:szCs w:val="21"/>
              </w:rPr>
              <w:t>48.13%</w:t>
            </w:r>
          </w:p>
        </w:tc>
      </w:tr>
      <w:tr w:rsidR="00577460">
        <w:tc>
          <w:tcPr>
            <w:tcW w:w="992" w:type="dxa"/>
            <w:vMerge/>
          </w:tcPr>
          <w:p w:rsidR="00577460" w:rsidRDefault="00577460"/>
        </w:tc>
        <w:tc>
          <w:tcPr>
            <w:tcW w:w="991" w:type="dxa"/>
            <w:vAlign w:val="center"/>
          </w:tcPr>
          <w:p w:rsidR="00577460" w:rsidRDefault="000E0DFA">
            <w:pPr>
              <w:jc w:val="center"/>
            </w:pPr>
            <w:r>
              <w:rPr>
                <w:rFonts w:ascii="宋体" w:hAnsi="宋体" w:hint="eastAsia"/>
                <w:color w:val="000000"/>
                <w:kern w:val="0"/>
                <w:szCs w:val="21"/>
              </w:rPr>
              <w:t>2</w:t>
            </w:r>
          </w:p>
        </w:tc>
        <w:tc>
          <w:tcPr>
            <w:tcW w:w="1843" w:type="dxa"/>
            <w:vAlign w:val="center"/>
          </w:tcPr>
          <w:p w:rsidR="00577460" w:rsidRDefault="000E0DFA">
            <w:pPr>
              <w:jc w:val="center"/>
            </w:pPr>
            <w:r>
              <w:rPr>
                <w:rFonts w:ascii="宋体" w:hAnsi="宋体" w:hint="eastAsia"/>
                <w:color w:val="000000"/>
                <w:kern w:val="0"/>
                <w:szCs w:val="21"/>
              </w:rPr>
              <w:t>2020/4/1-2020/6/30</w:t>
            </w:r>
          </w:p>
        </w:tc>
        <w:tc>
          <w:tcPr>
            <w:tcW w:w="851" w:type="dxa"/>
            <w:vAlign w:val="center"/>
          </w:tcPr>
          <w:p w:rsidR="00577460" w:rsidRDefault="000E0DFA">
            <w:pPr>
              <w:jc w:val="center"/>
            </w:pPr>
            <w:r>
              <w:rPr>
                <w:rFonts w:ascii="宋体" w:hAnsi="宋体" w:hint="eastAsia"/>
                <w:color w:val="000000"/>
                <w:kern w:val="0"/>
                <w:szCs w:val="21"/>
              </w:rPr>
              <w:t>246,913,086.42</w:t>
            </w:r>
          </w:p>
        </w:tc>
        <w:tc>
          <w:tcPr>
            <w:tcW w:w="850" w:type="dxa"/>
            <w:vAlign w:val="center"/>
          </w:tcPr>
          <w:p w:rsidR="00577460" w:rsidRDefault="000E0DFA">
            <w:pPr>
              <w:jc w:val="center"/>
            </w:pPr>
            <w:r>
              <w:rPr>
                <w:rFonts w:ascii="宋体" w:hAnsi="宋体" w:hint="eastAsia"/>
                <w:color w:val="000000"/>
                <w:kern w:val="0"/>
                <w:szCs w:val="21"/>
              </w:rPr>
              <w:t>-</w:t>
            </w:r>
          </w:p>
        </w:tc>
        <w:tc>
          <w:tcPr>
            <w:tcW w:w="1134" w:type="dxa"/>
            <w:vAlign w:val="center"/>
          </w:tcPr>
          <w:p w:rsidR="00577460" w:rsidRDefault="000E0DFA">
            <w:pPr>
              <w:jc w:val="center"/>
            </w:pPr>
            <w:r>
              <w:rPr>
                <w:rFonts w:ascii="宋体" w:hAnsi="宋体" w:hint="eastAsia"/>
                <w:color w:val="000000"/>
                <w:kern w:val="0"/>
                <w:szCs w:val="21"/>
              </w:rPr>
              <w:t>-</w:t>
            </w:r>
          </w:p>
        </w:tc>
        <w:tc>
          <w:tcPr>
            <w:tcW w:w="1419" w:type="dxa"/>
            <w:vAlign w:val="center"/>
          </w:tcPr>
          <w:p w:rsidR="00577460" w:rsidRDefault="000E0DFA">
            <w:pPr>
              <w:jc w:val="center"/>
            </w:pPr>
            <w:r>
              <w:rPr>
                <w:rFonts w:ascii="宋体" w:hAnsi="宋体" w:hint="eastAsia"/>
                <w:color w:val="000000"/>
                <w:kern w:val="0"/>
                <w:szCs w:val="21"/>
              </w:rPr>
              <w:t>246,913,086.42</w:t>
            </w:r>
          </w:p>
        </w:tc>
        <w:tc>
          <w:tcPr>
            <w:tcW w:w="1130" w:type="dxa"/>
            <w:vAlign w:val="center"/>
          </w:tcPr>
          <w:p w:rsidR="00577460" w:rsidRDefault="000E0DFA">
            <w:pPr>
              <w:jc w:val="center"/>
            </w:pPr>
            <w:r>
              <w:rPr>
                <w:rFonts w:ascii="宋体" w:hAnsi="宋体" w:hint="eastAsia"/>
                <w:color w:val="000000"/>
                <w:kern w:val="0"/>
                <w:szCs w:val="21"/>
              </w:rPr>
              <w:t>48.13%</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、中国证监会准予交银施罗德丰享收益债券型证券投资基金募集注册的文件；</w:t>
      </w:r>
      <w:r>
        <w:rPr>
          <w:rFonts w:eastAsiaTheme="minorEastAsia"/>
          <w:color w:val="000000"/>
          <w:sz w:val="24"/>
        </w:rPr>
        <w:t xml:space="preserve"> </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、《交银施罗德丰享收益债券型证券投资基金基金合同》；</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、《交银施罗德丰享收益债券型证券投资基金招募说明书》；</w:t>
      </w:r>
      <w:r>
        <w:rPr>
          <w:rFonts w:eastAsiaTheme="minorEastAsia"/>
          <w:color w:val="000000"/>
          <w:sz w:val="24"/>
        </w:rPr>
        <w:t xml:space="preserve"> </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、《交银施罗德丰享收益债券型证券投资基金托管协议》；</w:t>
      </w:r>
      <w:r>
        <w:rPr>
          <w:rFonts w:eastAsiaTheme="minorEastAsia"/>
          <w:color w:val="000000"/>
          <w:sz w:val="24"/>
        </w:rPr>
        <w:t xml:space="preserve"> </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、关于申请募集注册交银施罗德丰享收益债券型证券投资基金的法律意见书；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、报告期内交银施罗德丰享收益债券型证券投资基金在指定报刊上各项公告的原稿。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577460" w:rsidRDefault="000E0DFA">
      <w:pPr>
        <w:spacing w:before="29" w:line="288" w:lineRule="auto"/>
        <w:ind w:firstLineChars="200" w:firstLine="480"/>
        <w:rPr>
          <w:rFonts w:eastAsiaTheme="minorEastAsia"/>
          <w:color w:val="000000"/>
          <w:sz w:val="24"/>
        </w:rPr>
      </w:pPr>
      <w:r>
        <w:rPr>
          <w:rFonts w:eastAsiaTheme="minorEastAsia"/>
          <w:color w:val="000000"/>
          <w:sz w:val="24"/>
        </w:rPr>
        <w:lastRenderedPageBreak/>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0DFA" w:rsidRDefault="000E0DFA">
      <w:r>
        <w:separator/>
      </w:r>
    </w:p>
  </w:endnote>
  <w:endnote w:type="continuationSeparator" w:id="0">
    <w:p w:rsidR="000E0DFA" w:rsidRDefault="000E0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95980">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95980">
      <w:rPr>
        <w:noProof/>
        <w:kern w:val="0"/>
        <w:szCs w:val="21"/>
      </w:rPr>
      <w:t>14</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0DFA" w:rsidRDefault="000E0DFA">
      <w:r>
        <w:separator/>
      </w:r>
    </w:p>
  </w:footnote>
  <w:footnote w:type="continuationSeparator" w:id="0">
    <w:p w:rsidR="000E0DFA" w:rsidRDefault="000E0D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交银施罗德丰享收益债券型证券投资基金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0DFA"/>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77460"/>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5980"/>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90A39-051D-416F-932A-E4B2BC103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Pages>
  <Words>1201</Words>
  <Characters>6846</Characters>
  <Application>Microsoft Office Word</Application>
  <DocSecurity>0</DocSecurity>
  <Lines>57</Lines>
  <Paragraphs>16</Paragraphs>
  <ScaleCrop>false</ScaleCrop>
  <Company>TRT. Ltd. Co.</Company>
  <LinksUpToDate>false</LinksUpToDate>
  <CharactersWithSpaces>8031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406</cp:revision>
  <cp:lastPrinted>2007-07-19T00:46:00Z</cp:lastPrinted>
  <dcterms:created xsi:type="dcterms:W3CDTF">2014-01-17T06:19:00Z</dcterms:created>
  <dcterms:modified xsi:type="dcterms:W3CDTF">2020-07-17T05:41:00Z</dcterms:modified>
</cp:coreProperties>
</file>