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二〇二〇年七月二十一日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26301" w:rsidRDefault="00EA0F91">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26301" w:rsidRDefault="00EA0F91">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26301" w:rsidRDefault="00EA0F91">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26301" w:rsidRDefault="00EA0F91">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26301" w:rsidRDefault="00EA0F91">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7,560,723,891.91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7,631,554.59</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7,553,092,337.32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34,841.83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71,373,890.81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34,841.83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71,373,890.81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7,631,554.59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7,553,092,337.32</w:t>
            </w:r>
          </w:p>
        </w:tc>
      </w:tr>
    </w:tbl>
    <w:p w:rsidR="00226301" w:rsidRDefault="00EA0F9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26301">
        <w:trPr>
          <w:jc w:val="center"/>
        </w:trPr>
        <w:tc>
          <w:tcPr>
            <w:tcW w:w="1266" w:type="dxa"/>
            <w:vAlign w:val="center"/>
          </w:tcPr>
          <w:p w:rsidR="00226301" w:rsidRDefault="00EA0F91">
            <w:pPr>
              <w:jc w:val="left"/>
            </w:pPr>
            <w:r>
              <w:rPr>
                <w:color w:val="000000"/>
              </w:rPr>
              <w:t>过去三个月</w:t>
            </w:r>
          </w:p>
        </w:tc>
        <w:tc>
          <w:tcPr>
            <w:tcW w:w="1267" w:type="dxa"/>
            <w:vAlign w:val="center"/>
          </w:tcPr>
          <w:p w:rsidR="00226301" w:rsidRDefault="00EA0F91">
            <w:pPr>
              <w:jc w:val="center"/>
            </w:pPr>
            <w:r>
              <w:rPr>
                <w:color w:val="000000"/>
              </w:rPr>
              <w:t>0.4381%</w:t>
            </w:r>
          </w:p>
        </w:tc>
        <w:tc>
          <w:tcPr>
            <w:tcW w:w="1267" w:type="dxa"/>
            <w:vAlign w:val="center"/>
          </w:tcPr>
          <w:p w:rsidR="00226301" w:rsidRDefault="00EA0F91">
            <w:pPr>
              <w:jc w:val="center"/>
            </w:pPr>
            <w:r>
              <w:rPr>
                <w:color w:val="000000"/>
              </w:rPr>
              <w:t>0.0012%</w:t>
            </w:r>
          </w:p>
        </w:tc>
        <w:tc>
          <w:tcPr>
            <w:tcW w:w="1267" w:type="dxa"/>
            <w:vAlign w:val="center"/>
          </w:tcPr>
          <w:p w:rsidR="00226301" w:rsidRDefault="00EA0F91">
            <w:pPr>
              <w:jc w:val="center"/>
            </w:pPr>
            <w:r>
              <w:rPr>
                <w:color w:val="000000"/>
              </w:rPr>
              <w:t>0.3366%</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0.1015%</w:t>
            </w:r>
          </w:p>
        </w:tc>
        <w:tc>
          <w:tcPr>
            <w:tcW w:w="1267" w:type="dxa"/>
            <w:vAlign w:val="center"/>
          </w:tcPr>
          <w:p w:rsidR="00226301" w:rsidRDefault="00EA0F91">
            <w:pPr>
              <w:jc w:val="center"/>
            </w:pPr>
            <w:r>
              <w:rPr>
                <w:color w:val="000000"/>
              </w:rPr>
              <w:t>0.0012%</w:t>
            </w:r>
          </w:p>
        </w:tc>
      </w:tr>
      <w:tr w:rsidR="00226301">
        <w:trPr>
          <w:jc w:val="center"/>
        </w:trPr>
        <w:tc>
          <w:tcPr>
            <w:tcW w:w="1266" w:type="dxa"/>
            <w:vAlign w:val="center"/>
          </w:tcPr>
          <w:p w:rsidR="00226301" w:rsidRDefault="00EA0F91">
            <w:pPr>
              <w:jc w:val="left"/>
            </w:pPr>
            <w:r>
              <w:rPr>
                <w:color w:val="000000"/>
              </w:rPr>
              <w:t>过去六个月</w:t>
            </w:r>
          </w:p>
        </w:tc>
        <w:tc>
          <w:tcPr>
            <w:tcW w:w="1267" w:type="dxa"/>
            <w:vAlign w:val="center"/>
          </w:tcPr>
          <w:p w:rsidR="00226301" w:rsidRDefault="00EA0F91">
            <w:pPr>
              <w:jc w:val="center"/>
            </w:pPr>
            <w:r>
              <w:rPr>
                <w:color w:val="000000"/>
              </w:rPr>
              <w:t>1.0739%</w:t>
            </w:r>
          </w:p>
        </w:tc>
        <w:tc>
          <w:tcPr>
            <w:tcW w:w="1267" w:type="dxa"/>
            <w:vAlign w:val="center"/>
          </w:tcPr>
          <w:p w:rsidR="00226301" w:rsidRDefault="00EA0F91">
            <w:pPr>
              <w:jc w:val="center"/>
            </w:pPr>
            <w:r>
              <w:rPr>
                <w:color w:val="000000"/>
              </w:rPr>
              <w:t>0.0015%</w:t>
            </w:r>
          </w:p>
        </w:tc>
        <w:tc>
          <w:tcPr>
            <w:tcW w:w="1267" w:type="dxa"/>
            <w:vAlign w:val="center"/>
          </w:tcPr>
          <w:p w:rsidR="00226301" w:rsidRDefault="00EA0F91">
            <w:pPr>
              <w:jc w:val="center"/>
            </w:pPr>
            <w:r>
              <w:rPr>
                <w:color w:val="000000"/>
              </w:rPr>
              <w:t>0.6732%</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0.4007%</w:t>
            </w:r>
          </w:p>
        </w:tc>
        <w:tc>
          <w:tcPr>
            <w:tcW w:w="1267" w:type="dxa"/>
            <w:vAlign w:val="center"/>
          </w:tcPr>
          <w:p w:rsidR="00226301" w:rsidRDefault="00EA0F91">
            <w:pPr>
              <w:jc w:val="center"/>
            </w:pPr>
            <w:r>
              <w:rPr>
                <w:color w:val="000000"/>
              </w:rPr>
              <w:t>0.0015%</w:t>
            </w:r>
          </w:p>
        </w:tc>
      </w:tr>
      <w:tr w:rsidR="00226301">
        <w:trPr>
          <w:jc w:val="center"/>
        </w:trPr>
        <w:tc>
          <w:tcPr>
            <w:tcW w:w="1266" w:type="dxa"/>
            <w:vAlign w:val="center"/>
          </w:tcPr>
          <w:p w:rsidR="00226301" w:rsidRDefault="00EA0F91">
            <w:pPr>
              <w:jc w:val="left"/>
            </w:pPr>
            <w:r>
              <w:rPr>
                <w:color w:val="000000"/>
              </w:rPr>
              <w:t>过去一年</w:t>
            </w:r>
          </w:p>
        </w:tc>
        <w:tc>
          <w:tcPr>
            <w:tcW w:w="1267" w:type="dxa"/>
            <w:vAlign w:val="center"/>
          </w:tcPr>
          <w:p w:rsidR="00226301" w:rsidRDefault="00EA0F91">
            <w:pPr>
              <w:jc w:val="center"/>
            </w:pPr>
            <w:r>
              <w:rPr>
                <w:color w:val="000000"/>
              </w:rPr>
              <w:t>2.4333%</w:t>
            </w:r>
          </w:p>
        </w:tc>
        <w:tc>
          <w:tcPr>
            <w:tcW w:w="1267" w:type="dxa"/>
            <w:vAlign w:val="center"/>
          </w:tcPr>
          <w:p w:rsidR="00226301" w:rsidRDefault="00EA0F91">
            <w:pPr>
              <w:jc w:val="center"/>
            </w:pPr>
            <w:r>
              <w:rPr>
                <w:color w:val="000000"/>
              </w:rPr>
              <w:t>0.0019%</w:t>
            </w:r>
          </w:p>
        </w:tc>
        <w:tc>
          <w:tcPr>
            <w:tcW w:w="1267" w:type="dxa"/>
            <w:vAlign w:val="center"/>
          </w:tcPr>
          <w:p w:rsidR="00226301" w:rsidRDefault="00EA0F91">
            <w:pPr>
              <w:jc w:val="center"/>
            </w:pPr>
            <w:r>
              <w:rPr>
                <w:color w:val="000000"/>
              </w:rPr>
              <w:t>1.3537%</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1.0796%</w:t>
            </w:r>
          </w:p>
        </w:tc>
        <w:tc>
          <w:tcPr>
            <w:tcW w:w="1267" w:type="dxa"/>
            <w:vAlign w:val="center"/>
          </w:tcPr>
          <w:p w:rsidR="00226301" w:rsidRDefault="00EA0F91">
            <w:pPr>
              <w:jc w:val="center"/>
            </w:pPr>
            <w:r>
              <w:rPr>
                <w:color w:val="000000"/>
              </w:rPr>
              <w:t>0.0019%</w:t>
            </w:r>
          </w:p>
        </w:tc>
      </w:tr>
      <w:tr w:rsidR="00226301">
        <w:trPr>
          <w:jc w:val="center"/>
        </w:trPr>
        <w:tc>
          <w:tcPr>
            <w:tcW w:w="1266" w:type="dxa"/>
            <w:vAlign w:val="center"/>
          </w:tcPr>
          <w:p w:rsidR="00226301" w:rsidRDefault="00EA0F91">
            <w:pPr>
              <w:jc w:val="left"/>
            </w:pPr>
            <w:r>
              <w:rPr>
                <w:color w:val="000000"/>
              </w:rPr>
              <w:t>过去三年</w:t>
            </w:r>
          </w:p>
        </w:tc>
        <w:tc>
          <w:tcPr>
            <w:tcW w:w="1267" w:type="dxa"/>
            <w:vAlign w:val="center"/>
          </w:tcPr>
          <w:p w:rsidR="00226301" w:rsidRDefault="00EA0F91">
            <w:pPr>
              <w:jc w:val="center"/>
            </w:pPr>
            <w:r>
              <w:rPr>
                <w:color w:val="000000"/>
              </w:rPr>
              <w:t>10.1569%</w:t>
            </w:r>
          </w:p>
        </w:tc>
        <w:tc>
          <w:tcPr>
            <w:tcW w:w="1267" w:type="dxa"/>
            <w:vAlign w:val="center"/>
          </w:tcPr>
          <w:p w:rsidR="00226301" w:rsidRDefault="00EA0F91">
            <w:pPr>
              <w:jc w:val="center"/>
            </w:pPr>
            <w:r>
              <w:rPr>
                <w:color w:val="000000"/>
              </w:rPr>
              <w:t>0.0026%</w:t>
            </w:r>
          </w:p>
        </w:tc>
        <w:tc>
          <w:tcPr>
            <w:tcW w:w="1267" w:type="dxa"/>
            <w:vAlign w:val="center"/>
          </w:tcPr>
          <w:p w:rsidR="00226301" w:rsidRDefault="00EA0F91">
            <w:pPr>
              <w:jc w:val="center"/>
            </w:pPr>
            <w:r>
              <w:rPr>
                <w:color w:val="000000"/>
              </w:rPr>
              <w:t>4.0537%</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6.1032%</w:t>
            </w:r>
          </w:p>
        </w:tc>
        <w:tc>
          <w:tcPr>
            <w:tcW w:w="1267" w:type="dxa"/>
            <w:vAlign w:val="center"/>
          </w:tcPr>
          <w:p w:rsidR="00226301" w:rsidRDefault="00EA0F91">
            <w:pPr>
              <w:jc w:val="center"/>
            </w:pPr>
            <w:r>
              <w:rPr>
                <w:color w:val="000000"/>
              </w:rPr>
              <w:t>0.0026%</w:t>
            </w:r>
          </w:p>
        </w:tc>
      </w:tr>
      <w:tr w:rsidR="00226301">
        <w:trPr>
          <w:jc w:val="center"/>
        </w:trPr>
        <w:tc>
          <w:tcPr>
            <w:tcW w:w="1266" w:type="dxa"/>
            <w:vAlign w:val="center"/>
          </w:tcPr>
          <w:p w:rsidR="00226301" w:rsidRDefault="00EA0F91">
            <w:pPr>
              <w:jc w:val="left"/>
            </w:pPr>
            <w:r>
              <w:rPr>
                <w:color w:val="000000"/>
              </w:rPr>
              <w:t>过去五年</w:t>
            </w:r>
          </w:p>
        </w:tc>
        <w:tc>
          <w:tcPr>
            <w:tcW w:w="1267" w:type="dxa"/>
            <w:vAlign w:val="center"/>
          </w:tcPr>
          <w:p w:rsidR="00226301" w:rsidRDefault="00EA0F91">
            <w:pPr>
              <w:jc w:val="center"/>
            </w:pPr>
            <w:r>
              <w:rPr>
                <w:color w:val="000000"/>
              </w:rPr>
              <w:t>16.7853%</w:t>
            </w:r>
          </w:p>
        </w:tc>
        <w:tc>
          <w:tcPr>
            <w:tcW w:w="1267" w:type="dxa"/>
            <w:vAlign w:val="center"/>
          </w:tcPr>
          <w:p w:rsidR="00226301" w:rsidRDefault="00EA0F91">
            <w:pPr>
              <w:jc w:val="center"/>
            </w:pPr>
            <w:r>
              <w:rPr>
                <w:color w:val="000000"/>
              </w:rPr>
              <w:t>0.0087%</w:t>
            </w:r>
          </w:p>
        </w:tc>
        <w:tc>
          <w:tcPr>
            <w:tcW w:w="1267" w:type="dxa"/>
            <w:vAlign w:val="center"/>
          </w:tcPr>
          <w:p w:rsidR="00226301" w:rsidRDefault="00EA0F91">
            <w:pPr>
              <w:jc w:val="center"/>
            </w:pPr>
            <w:r>
              <w:rPr>
                <w:color w:val="000000"/>
              </w:rPr>
              <w:t>6.7574%</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10.0279%</w:t>
            </w:r>
          </w:p>
        </w:tc>
        <w:tc>
          <w:tcPr>
            <w:tcW w:w="1267" w:type="dxa"/>
            <w:vAlign w:val="center"/>
          </w:tcPr>
          <w:p w:rsidR="00226301" w:rsidRDefault="00EA0F91">
            <w:pPr>
              <w:jc w:val="center"/>
            </w:pPr>
            <w:r>
              <w:rPr>
                <w:color w:val="000000"/>
              </w:rPr>
              <w:t>0.0087%</w:t>
            </w:r>
          </w:p>
        </w:tc>
      </w:tr>
      <w:tr w:rsidR="00226301">
        <w:trPr>
          <w:jc w:val="center"/>
        </w:trPr>
        <w:tc>
          <w:tcPr>
            <w:tcW w:w="1266" w:type="dxa"/>
            <w:vAlign w:val="center"/>
          </w:tcPr>
          <w:p w:rsidR="00226301" w:rsidRDefault="00EA0F91">
            <w:pPr>
              <w:jc w:val="left"/>
            </w:pPr>
            <w:r>
              <w:rPr>
                <w:color w:val="000000"/>
              </w:rPr>
              <w:t>自基金合同生效起至今</w:t>
            </w:r>
          </w:p>
        </w:tc>
        <w:tc>
          <w:tcPr>
            <w:tcW w:w="1267" w:type="dxa"/>
            <w:vAlign w:val="center"/>
          </w:tcPr>
          <w:p w:rsidR="00226301" w:rsidRDefault="00EA0F91">
            <w:pPr>
              <w:jc w:val="center"/>
            </w:pPr>
            <w:r>
              <w:rPr>
                <w:color w:val="000000"/>
              </w:rPr>
              <w:t>30.9237%</w:t>
            </w:r>
          </w:p>
        </w:tc>
        <w:tc>
          <w:tcPr>
            <w:tcW w:w="1267" w:type="dxa"/>
            <w:vAlign w:val="center"/>
          </w:tcPr>
          <w:p w:rsidR="00226301" w:rsidRDefault="00EA0F91">
            <w:pPr>
              <w:jc w:val="center"/>
            </w:pPr>
            <w:r>
              <w:rPr>
                <w:color w:val="000000"/>
              </w:rPr>
              <w:t>0.0136%</w:t>
            </w:r>
          </w:p>
        </w:tc>
        <w:tc>
          <w:tcPr>
            <w:tcW w:w="1267" w:type="dxa"/>
            <w:vAlign w:val="center"/>
          </w:tcPr>
          <w:p w:rsidR="00226301" w:rsidRDefault="00EA0F91">
            <w:pPr>
              <w:jc w:val="center"/>
            </w:pPr>
            <w:r>
              <w:rPr>
                <w:color w:val="000000"/>
              </w:rPr>
              <w:t>10.3377%</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20.5860%</w:t>
            </w:r>
          </w:p>
        </w:tc>
        <w:tc>
          <w:tcPr>
            <w:tcW w:w="1267" w:type="dxa"/>
            <w:vAlign w:val="center"/>
          </w:tcPr>
          <w:p w:rsidR="00226301" w:rsidRDefault="00EA0F91">
            <w:pPr>
              <w:jc w:val="center"/>
            </w:pPr>
            <w:r>
              <w:rPr>
                <w:color w:val="000000"/>
              </w:rPr>
              <w:t>0.0136%</w:t>
            </w:r>
          </w:p>
        </w:tc>
      </w:tr>
    </w:tbl>
    <w:p w:rsidR="00226301" w:rsidRDefault="00EA0F9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26301">
        <w:trPr>
          <w:jc w:val="center"/>
        </w:trPr>
        <w:tc>
          <w:tcPr>
            <w:tcW w:w="1266" w:type="dxa"/>
            <w:vAlign w:val="center"/>
          </w:tcPr>
          <w:p w:rsidR="00226301" w:rsidRDefault="00EA0F91">
            <w:pPr>
              <w:jc w:val="left"/>
            </w:pPr>
            <w:r>
              <w:rPr>
                <w:color w:val="000000"/>
              </w:rPr>
              <w:t>过去三个月</w:t>
            </w:r>
          </w:p>
        </w:tc>
        <w:tc>
          <w:tcPr>
            <w:tcW w:w="1267" w:type="dxa"/>
            <w:vAlign w:val="center"/>
          </w:tcPr>
          <w:p w:rsidR="00226301" w:rsidRDefault="00EA0F91">
            <w:pPr>
              <w:jc w:val="center"/>
            </w:pPr>
            <w:r>
              <w:rPr>
                <w:color w:val="000000"/>
              </w:rPr>
              <w:t>0.5105%</w:t>
            </w:r>
          </w:p>
        </w:tc>
        <w:tc>
          <w:tcPr>
            <w:tcW w:w="1267" w:type="dxa"/>
            <w:vAlign w:val="center"/>
          </w:tcPr>
          <w:p w:rsidR="00226301" w:rsidRDefault="00EA0F91">
            <w:pPr>
              <w:jc w:val="center"/>
            </w:pPr>
            <w:r>
              <w:rPr>
                <w:color w:val="000000"/>
              </w:rPr>
              <w:t>0.0012%</w:t>
            </w:r>
          </w:p>
        </w:tc>
        <w:tc>
          <w:tcPr>
            <w:tcW w:w="1267" w:type="dxa"/>
            <w:vAlign w:val="center"/>
          </w:tcPr>
          <w:p w:rsidR="00226301" w:rsidRDefault="00EA0F91">
            <w:pPr>
              <w:jc w:val="center"/>
            </w:pPr>
            <w:r>
              <w:rPr>
                <w:color w:val="000000"/>
              </w:rPr>
              <w:t>0.3366%</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0.1739%</w:t>
            </w:r>
          </w:p>
        </w:tc>
        <w:tc>
          <w:tcPr>
            <w:tcW w:w="1267" w:type="dxa"/>
            <w:vAlign w:val="center"/>
          </w:tcPr>
          <w:p w:rsidR="00226301" w:rsidRDefault="00EA0F91">
            <w:pPr>
              <w:jc w:val="center"/>
            </w:pPr>
            <w:r>
              <w:rPr>
                <w:color w:val="000000"/>
              </w:rPr>
              <w:t>0.0012%</w:t>
            </w:r>
          </w:p>
        </w:tc>
      </w:tr>
      <w:tr w:rsidR="00226301">
        <w:trPr>
          <w:jc w:val="center"/>
        </w:trPr>
        <w:tc>
          <w:tcPr>
            <w:tcW w:w="1266" w:type="dxa"/>
            <w:vAlign w:val="center"/>
          </w:tcPr>
          <w:p w:rsidR="00226301" w:rsidRDefault="00EA0F91">
            <w:pPr>
              <w:jc w:val="left"/>
            </w:pPr>
            <w:r>
              <w:rPr>
                <w:color w:val="000000"/>
              </w:rPr>
              <w:t>过去六个月</w:t>
            </w:r>
          </w:p>
        </w:tc>
        <w:tc>
          <w:tcPr>
            <w:tcW w:w="1267" w:type="dxa"/>
            <w:vAlign w:val="center"/>
          </w:tcPr>
          <w:p w:rsidR="00226301" w:rsidRDefault="00EA0F91">
            <w:pPr>
              <w:jc w:val="center"/>
            </w:pPr>
            <w:r>
              <w:rPr>
                <w:color w:val="000000"/>
              </w:rPr>
              <w:t>1.2196%</w:t>
            </w:r>
          </w:p>
        </w:tc>
        <w:tc>
          <w:tcPr>
            <w:tcW w:w="1267" w:type="dxa"/>
            <w:vAlign w:val="center"/>
          </w:tcPr>
          <w:p w:rsidR="00226301" w:rsidRDefault="00EA0F91">
            <w:pPr>
              <w:jc w:val="center"/>
            </w:pPr>
            <w:r>
              <w:rPr>
                <w:color w:val="000000"/>
              </w:rPr>
              <w:t>0.0015%</w:t>
            </w:r>
          </w:p>
        </w:tc>
        <w:tc>
          <w:tcPr>
            <w:tcW w:w="1267" w:type="dxa"/>
            <w:vAlign w:val="center"/>
          </w:tcPr>
          <w:p w:rsidR="00226301" w:rsidRDefault="00EA0F91">
            <w:pPr>
              <w:jc w:val="center"/>
            </w:pPr>
            <w:r>
              <w:rPr>
                <w:color w:val="000000"/>
              </w:rPr>
              <w:t>0.6732%</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0.5464%</w:t>
            </w:r>
          </w:p>
        </w:tc>
        <w:tc>
          <w:tcPr>
            <w:tcW w:w="1267" w:type="dxa"/>
            <w:vAlign w:val="center"/>
          </w:tcPr>
          <w:p w:rsidR="00226301" w:rsidRDefault="00EA0F91">
            <w:pPr>
              <w:jc w:val="center"/>
            </w:pPr>
            <w:r>
              <w:rPr>
                <w:color w:val="000000"/>
              </w:rPr>
              <w:t>0.0015%</w:t>
            </w:r>
          </w:p>
        </w:tc>
      </w:tr>
      <w:tr w:rsidR="00226301">
        <w:trPr>
          <w:jc w:val="center"/>
        </w:trPr>
        <w:tc>
          <w:tcPr>
            <w:tcW w:w="1266" w:type="dxa"/>
            <w:vAlign w:val="center"/>
          </w:tcPr>
          <w:p w:rsidR="00226301" w:rsidRDefault="00EA0F91">
            <w:pPr>
              <w:jc w:val="left"/>
            </w:pPr>
            <w:r>
              <w:rPr>
                <w:color w:val="000000"/>
              </w:rPr>
              <w:t>过去一年</w:t>
            </w:r>
          </w:p>
        </w:tc>
        <w:tc>
          <w:tcPr>
            <w:tcW w:w="1267" w:type="dxa"/>
            <w:vAlign w:val="center"/>
          </w:tcPr>
          <w:p w:rsidR="00226301" w:rsidRDefault="00EA0F91">
            <w:pPr>
              <w:jc w:val="center"/>
            </w:pPr>
            <w:r>
              <w:rPr>
                <w:color w:val="000000"/>
              </w:rPr>
              <w:t>2.7309%</w:t>
            </w:r>
          </w:p>
        </w:tc>
        <w:tc>
          <w:tcPr>
            <w:tcW w:w="1267" w:type="dxa"/>
            <w:vAlign w:val="center"/>
          </w:tcPr>
          <w:p w:rsidR="00226301" w:rsidRDefault="00EA0F91">
            <w:pPr>
              <w:jc w:val="center"/>
            </w:pPr>
            <w:r>
              <w:rPr>
                <w:color w:val="000000"/>
              </w:rPr>
              <w:t>0.0019%</w:t>
            </w:r>
          </w:p>
        </w:tc>
        <w:tc>
          <w:tcPr>
            <w:tcW w:w="1267" w:type="dxa"/>
            <w:vAlign w:val="center"/>
          </w:tcPr>
          <w:p w:rsidR="00226301" w:rsidRDefault="00EA0F91">
            <w:pPr>
              <w:jc w:val="center"/>
            </w:pPr>
            <w:r>
              <w:rPr>
                <w:color w:val="000000"/>
              </w:rPr>
              <w:t>1.3537%</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1.3772%</w:t>
            </w:r>
          </w:p>
        </w:tc>
        <w:tc>
          <w:tcPr>
            <w:tcW w:w="1267" w:type="dxa"/>
            <w:vAlign w:val="center"/>
          </w:tcPr>
          <w:p w:rsidR="00226301" w:rsidRDefault="00EA0F91">
            <w:pPr>
              <w:jc w:val="center"/>
            </w:pPr>
            <w:r>
              <w:rPr>
                <w:color w:val="000000"/>
              </w:rPr>
              <w:t>0.0019%</w:t>
            </w:r>
          </w:p>
        </w:tc>
      </w:tr>
      <w:tr w:rsidR="00226301">
        <w:trPr>
          <w:jc w:val="center"/>
        </w:trPr>
        <w:tc>
          <w:tcPr>
            <w:tcW w:w="1266" w:type="dxa"/>
            <w:vAlign w:val="center"/>
          </w:tcPr>
          <w:p w:rsidR="00226301" w:rsidRDefault="00EA0F91">
            <w:pPr>
              <w:jc w:val="left"/>
            </w:pPr>
            <w:r>
              <w:rPr>
                <w:color w:val="000000"/>
              </w:rPr>
              <w:t>过去三年</w:t>
            </w:r>
          </w:p>
        </w:tc>
        <w:tc>
          <w:tcPr>
            <w:tcW w:w="1267" w:type="dxa"/>
            <w:vAlign w:val="center"/>
          </w:tcPr>
          <w:p w:rsidR="00226301" w:rsidRDefault="00EA0F91">
            <w:pPr>
              <w:jc w:val="center"/>
            </w:pPr>
            <w:r>
              <w:rPr>
                <w:color w:val="000000"/>
              </w:rPr>
              <w:t>11.1176%</w:t>
            </w:r>
          </w:p>
        </w:tc>
        <w:tc>
          <w:tcPr>
            <w:tcW w:w="1267" w:type="dxa"/>
            <w:vAlign w:val="center"/>
          </w:tcPr>
          <w:p w:rsidR="00226301" w:rsidRDefault="00EA0F91">
            <w:pPr>
              <w:jc w:val="center"/>
            </w:pPr>
            <w:r>
              <w:rPr>
                <w:color w:val="000000"/>
              </w:rPr>
              <w:t>0.0026%</w:t>
            </w:r>
          </w:p>
        </w:tc>
        <w:tc>
          <w:tcPr>
            <w:tcW w:w="1267" w:type="dxa"/>
            <w:vAlign w:val="center"/>
          </w:tcPr>
          <w:p w:rsidR="00226301" w:rsidRDefault="00EA0F91">
            <w:pPr>
              <w:jc w:val="center"/>
            </w:pPr>
            <w:r>
              <w:rPr>
                <w:color w:val="000000"/>
              </w:rPr>
              <w:t>4.0537%</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7.0639%</w:t>
            </w:r>
          </w:p>
        </w:tc>
        <w:tc>
          <w:tcPr>
            <w:tcW w:w="1267" w:type="dxa"/>
            <w:vAlign w:val="center"/>
          </w:tcPr>
          <w:p w:rsidR="00226301" w:rsidRDefault="00EA0F91">
            <w:pPr>
              <w:jc w:val="center"/>
            </w:pPr>
            <w:r>
              <w:rPr>
                <w:color w:val="000000"/>
              </w:rPr>
              <w:t>0.0026%</w:t>
            </w:r>
          </w:p>
        </w:tc>
      </w:tr>
      <w:tr w:rsidR="00226301">
        <w:trPr>
          <w:jc w:val="center"/>
        </w:trPr>
        <w:tc>
          <w:tcPr>
            <w:tcW w:w="1266" w:type="dxa"/>
            <w:vAlign w:val="center"/>
          </w:tcPr>
          <w:p w:rsidR="00226301" w:rsidRDefault="00EA0F91">
            <w:pPr>
              <w:jc w:val="left"/>
            </w:pPr>
            <w:r>
              <w:rPr>
                <w:color w:val="000000"/>
              </w:rPr>
              <w:t>过去五年</w:t>
            </w:r>
          </w:p>
        </w:tc>
        <w:tc>
          <w:tcPr>
            <w:tcW w:w="1267" w:type="dxa"/>
            <w:vAlign w:val="center"/>
          </w:tcPr>
          <w:p w:rsidR="00226301" w:rsidRDefault="00EA0F91">
            <w:pPr>
              <w:jc w:val="center"/>
            </w:pPr>
            <w:r>
              <w:rPr>
                <w:color w:val="000000"/>
              </w:rPr>
              <w:t>17.7951%</w:t>
            </w:r>
          </w:p>
        </w:tc>
        <w:tc>
          <w:tcPr>
            <w:tcW w:w="1267" w:type="dxa"/>
            <w:vAlign w:val="center"/>
          </w:tcPr>
          <w:p w:rsidR="00226301" w:rsidRDefault="00EA0F91">
            <w:pPr>
              <w:jc w:val="center"/>
            </w:pPr>
            <w:r>
              <w:rPr>
                <w:color w:val="000000"/>
              </w:rPr>
              <w:t>0.0055%</w:t>
            </w:r>
          </w:p>
        </w:tc>
        <w:tc>
          <w:tcPr>
            <w:tcW w:w="1267" w:type="dxa"/>
            <w:vAlign w:val="center"/>
          </w:tcPr>
          <w:p w:rsidR="00226301" w:rsidRDefault="00EA0F91">
            <w:pPr>
              <w:jc w:val="center"/>
            </w:pPr>
            <w:r>
              <w:rPr>
                <w:color w:val="000000"/>
              </w:rPr>
              <w:t>6.7574%</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11.0377%</w:t>
            </w:r>
          </w:p>
        </w:tc>
        <w:tc>
          <w:tcPr>
            <w:tcW w:w="1267" w:type="dxa"/>
            <w:vAlign w:val="center"/>
          </w:tcPr>
          <w:p w:rsidR="00226301" w:rsidRDefault="00EA0F91">
            <w:pPr>
              <w:jc w:val="center"/>
            </w:pPr>
            <w:r>
              <w:rPr>
                <w:color w:val="000000"/>
              </w:rPr>
              <w:t>0.0055%</w:t>
            </w:r>
          </w:p>
        </w:tc>
      </w:tr>
      <w:tr w:rsidR="00226301">
        <w:trPr>
          <w:jc w:val="center"/>
        </w:trPr>
        <w:tc>
          <w:tcPr>
            <w:tcW w:w="1266" w:type="dxa"/>
            <w:vAlign w:val="center"/>
          </w:tcPr>
          <w:p w:rsidR="00226301" w:rsidRDefault="00EA0F91">
            <w:pPr>
              <w:jc w:val="left"/>
            </w:pPr>
            <w:r>
              <w:rPr>
                <w:color w:val="000000"/>
              </w:rPr>
              <w:t>自基金合同生效起至今</w:t>
            </w:r>
          </w:p>
        </w:tc>
        <w:tc>
          <w:tcPr>
            <w:tcW w:w="1267" w:type="dxa"/>
            <w:vAlign w:val="center"/>
          </w:tcPr>
          <w:p w:rsidR="00226301" w:rsidRDefault="00EA0F91">
            <w:pPr>
              <w:jc w:val="center"/>
            </w:pPr>
            <w:r>
              <w:rPr>
                <w:color w:val="000000"/>
              </w:rPr>
              <w:t>30.2134%</w:t>
            </w:r>
          </w:p>
        </w:tc>
        <w:tc>
          <w:tcPr>
            <w:tcW w:w="1267" w:type="dxa"/>
            <w:vAlign w:val="center"/>
          </w:tcPr>
          <w:p w:rsidR="00226301" w:rsidRDefault="00EA0F91">
            <w:pPr>
              <w:jc w:val="center"/>
            </w:pPr>
            <w:r>
              <w:rPr>
                <w:color w:val="000000"/>
              </w:rPr>
              <w:t>0.0075%</w:t>
            </w:r>
          </w:p>
        </w:tc>
        <w:tc>
          <w:tcPr>
            <w:tcW w:w="1267" w:type="dxa"/>
            <w:vAlign w:val="center"/>
          </w:tcPr>
          <w:p w:rsidR="00226301" w:rsidRDefault="00EA0F91">
            <w:pPr>
              <w:jc w:val="center"/>
            </w:pPr>
            <w:r>
              <w:rPr>
                <w:color w:val="000000"/>
              </w:rPr>
              <w:t>10.0973%</w:t>
            </w:r>
          </w:p>
        </w:tc>
        <w:tc>
          <w:tcPr>
            <w:tcW w:w="1267" w:type="dxa"/>
            <w:vAlign w:val="center"/>
          </w:tcPr>
          <w:p w:rsidR="00226301" w:rsidRDefault="00EA0F91">
            <w:pPr>
              <w:jc w:val="center"/>
            </w:pPr>
            <w:r>
              <w:rPr>
                <w:color w:val="000000"/>
              </w:rPr>
              <w:t>0.0000%</w:t>
            </w:r>
          </w:p>
        </w:tc>
        <w:tc>
          <w:tcPr>
            <w:tcW w:w="1267" w:type="dxa"/>
            <w:vAlign w:val="center"/>
          </w:tcPr>
          <w:p w:rsidR="00226301" w:rsidRDefault="00EA0F91">
            <w:pPr>
              <w:jc w:val="center"/>
            </w:pPr>
            <w:r>
              <w:rPr>
                <w:color w:val="000000"/>
              </w:rPr>
              <w:t>20.1161%</w:t>
            </w:r>
          </w:p>
        </w:tc>
        <w:tc>
          <w:tcPr>
            <w:tcW w:w="1267" w:type="dxa"/>
            <w:vAlign w:val="center"/>
          </w:tcPr>
          <w:p w:rsidR="00226301" w:rsidRDefault="00EA0F91">
            <w:pPr>
              <w:jc w:val="center"/>
            </w:pPr>
            <w:r>
              <w:rPr>
                <w:color w:val="000000"/>
              </w:rPr>
              <w:t>0.0075%</w:t>
            </w:r>
          </w:p>
        </w:tc>
      </w:tr>
    </w:tbl>
    <w:p w:rsidR="00226301" w:rsidRDefault="00EA0F9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lastRenderedPageBreak/>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226301">
        <w:trPr>
          <w:jc w:val="center"/>
        </w:trPr>
        <w:tc>
          <w:tcPr>
            <w:tcW w:w="945" w:type="dxa"/>
            <w:vAlign w:val="center"/>
          </w:tcPr>
          <w:p w:rsidR="00226301" w:rsidRDefault="00EA0F91">
            <w:pPr>
              <w:jc w:val="center"/>
            </w:pPr>
            <w:r>
              <w:rPr>
                <w:color w:val="000000"/>
                <w:sz w:val="24"/>
              </w:rPr>
              <w:t>黄莹洁</w:t>
            </w:r>
          </w:p>
        </w:tc>
        <w:tc>
          <w:tcPr>
            <w:tcW w:w="1589" w:type="dxa"/>
            <w:vAlign w:val="center"/>
          </w:tcPr>
          <w:p w:rsidR="00226301" w:rsidRDefault="00EA0F91">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w:t>
            </w:r>
            <w:r>
              <w:rPr>
                <w:color w:val="000000"/>
                <w:sz w:val="24"/>
              </w:rPr>
              <w:lastRenderedPageBreak/>
              <w:t>稳鑫短债债券、交银稳利中短债债券的基金经理</w:t>
            </w:r>
          </w:p>
        </w:tc>
        <w:tc>
          <w:tcPr>
            <w:tcW w:w="1478" w:type="dxa"/>
            <w:vAlign w:val="center"/>
          </w:tcPr>
          <w:p w:rsidR="00226301" w:rsidRDefault="00EA0F91">
            <w:pPr>
              <w:jc w:val="center"/>
            </w:pPr>
            <w:r>
              <w:rPr>
                <w:color w:val="000000"/>
                <w:sz w:val="24"/>
              </w:rPr>
              <w:lastRenderedPageBreak/>
              <w:t>2015-05-27</w:t>
            </w:r>
          </w:p>
        </w:tc>
        <w:tc>
          <w:tcPr>
            <w:tcW w:w="1478" w:type="dxa"/>
            <w:vAlign w:val="center"/>
          </w:tcPr>
          <w:p w:rsidR="00226301" w:rsidRDefault="00EA0F91">
            <w:pPr>
              <w:jc w:val="center"/>
            </w:pPr>
            <w:r>
              <w:rPr>
                <w:color w:val="000000"/>
                <w:sz w:val="24"/>
              </w:rPr>
              <w:t>-</w:t>
            </w:r>
          </w:p>
        </w:tc>
        <w:tc>
          <w:tcPr>
            <w:tcW w:w="986" w:type="dxa"/>
            <w:vAlign w:val="center"/>
          </w:tcPr>
          <w:p w:rsidR="00226301" w:rsidRDefault="00EA0F91">
            <w:pPr>
              <w:jc w:val="center"/>
            </w:pPr>
            <w:r>
              <w:rPr>
                <w:color w:val="000000"/>
                <w:sz w:val="24"/>
              </w:rPr>
              <w:t>12</w:t>
            </w:r>
            <w:r>
              <w:rPr>
                <w:color w:val="000000"/>
                <w:sz w:val="24"/>
              </w:rPr>
              <w:t>年</w:t>
            </w:r>
          </w:p>
        </w:tc>
        <w:tc>
          <w:tcPr>
            <w:tcW w:w="2392" w:type="dxa"/>
            <w:vAlign w:val="center"/>
          </w:tcPr>
          <w:p w:rsidR="00226301" w:rsidRDefault="00EA0F91">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w:t>
            </w:r>
            <w:r>
              <w:rPr>
                <w:color w:val="000000"/>
                <w:sz w:val="24"/>
              </w:rPr>
              <w:lastRenderedPageBreak/>
              <w:t>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w:t>
            </w:r>
            <w:r>
              <w:rPr>
                <w:color w:val="000000"/>
                <w:sz w:val="24"/>
              </w:rPr>
              <w:t>德裕通纯债债券型证券投资基金的基金经理。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lastRenderedPageBreak/>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226301" w:rsidRDefault="00EA0F9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26301" w:rsidRDefault="00EA0F9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226301" w:rsidRDefault="00EA0F91">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26301" w:rsidRDefault="00EA0F91">
      <w:pPr>
        <w:spacing w:before="29" w:line="288" w:lineRule="auto"/>
        <w:ind w:firstLineChars="200" w:firstLine="480"/>
        <w:rPr>
          <w:color w:val="000000"/>
          <w:sz w:val="24"/>
        </w:rPr>
      </w:pPr>
      <w:r>
        <w:rPr>
          <w:color w:val="000000"/>
          <w:sz w:val="24"/>
        </w:rPr>
        <w:t>本报告期内，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止</w:t>
      </w:r>
      <w:r>
        <w:rPr>
          <w:color w:val="000000"/>
          <w:sz w:val="24"/>
        </w:rPr>
        <w:t>6</w:t>
      </w:r>
      <w:r>
        <w:rPr>
          <w:color w:val="000000"/>
          <w:sz w:val="24"/>
        </w:rPr>
        <w:t>月</w:t>
      </w:r>
      <w:r>
        <w:rPr>
          <w:color w:val="000000"/>
          <w:sz w:val="24"/>
        </w:rPr>
        <w:t>30</w:t>
      </w:r>
      <w:r>
        <w:rPr>
          <w:color w:val="000000"/>
          <w:sz w:val="24"/>
        </w:rPr>
        <w:t>日，一年国债和十年国债分别收于</w:t>
      </w:r>
      <w:r>
        <w:rPr>
          <w:color w:val="000000"/>
          <w:sz w:val="24"/>
        </w:rPr>
        <w:t>2.18%</w:t>
      </w:r>
      <w:r>
        <w:rPr>
          <w:color w:val="000000"/>
          <w:sz w:val="24"/>
        </w:rPr>
        <w:t>和</w:t>
      </w:r>
      <w:r>
        <w:rPr>
          <w:color w:val="000000"/>
          <w:sz w:val="24"/>
        </w:rPr>
        <w:t>2.82%</w:t>
      </w:r>
      <w:r>
        <w:rPr>
          <w:color w:val="000000"/>
          <w:sz w:val="24"/>
        </w:rPr>
        <w:t>，较一季度末分别上行</w:t>
      </w:r>
      <w:r>
        <w:rPr>
          <w:color w:val="000000"/>
          <w:sz w:val="24"/>
        </w:rPr>
        <w:t>49bp</w:t>
      </w:r>
      <w:r>
        <w:rPr>
          <w:color w:val="000000"/>
          <w:sz w:val="24"/>
        </w:rPr>
        <w:t>和</w:t>
      </w:r>
      <w:r>
        <w:rPr>
          <w:color w:val="000000"/>
          <w:sz w:val="24"/>
        </w:rPr>
        <w:t>23bp</w:t>
      </w:r>
      <w:r>
        <w:rPr>
          <w:color w:val="000000"/>
          <w:sz w:val="24"/>
        </w:rPr>
        <w:t>。</w:t>
      </w:r>
    </w:p>
    <w:p w:rsidR="00226301" w:rsidRDefault="00EA0F91">
      <w:pPr>
        <w:spacing w:before="29" w:line="288" w:lineRule="auto"/>
        <w:ind w:firstLineChars="200" w:firstLine="480"/>
        <w:rPr>
          <w:color w:val="000000"/>
          <w:sz w:val="24"/>
        </w:rPr>
      </w:pPr>
      <w:r>
        <w:rPr>
          <w:color w:val="000000"/>
          <w:sz w:val="24"/>
        </w:rPr>
        <w:t>由于货币政策边际略有收紧，货币市场工具利率上行明显，三个月股份制银行的同业存单利率上行到</w:t>
      </w:r>
      <w:r>
        <w:rPr>
          <w:color w:val="000000"/>
          <w:sz w:val="24"/>
        </w:rPr>
        <w:t>2.15%</w:t>
      </w:r>
      <w:r>
        <w:rPr>
          <w:color w:val="000000"/>
          <w:sz w:val="24"/>
        </w:rPr>
        <w:t>附近，较一季度末有</w:t>
      </w:r>
      <w:r>
        <w:rPr>
          <w:color w:val="000000"/>
          <w:sz w:val="24"/>
        </w:rPr>
        <w:t>45bp</w:t>
      </w:r>
      <w:r>
        <w:rPr>
          <w:color w:val="000000"/>
          <w:sz w:val="24"/>
        </w:rPr>
        <w:t>幅度的上行。</w:t>
      </w:r>
    </w:p>
    <w:p w:rsidR="00226301" w:rsidRDefault="00EA0F91">
      <w:pPr>
        <w:spacing w:before="29" w:line="288" w:lineRule="auto"/>
        <w:ind w:firstLineChars="200" w:firstLine="480"/>
        <w:rPr>
          <w:color w:val="000000"/>
          <w:sz w:val="24"/>
        </w:rPr>
      </w:pPr>
      <w:r>
        <w:rPr>
          <w:color w:val="000000"/>
          <w:sz w:val="24"/>
        </w:rPr>
        <w:t>基金操作方面，由于本基金即将转型，考虑到可</w:t>
      </w:r>
      <w:r>
        <w:rPr>
          <w:color w:val="000000"/>
          <w:sz w:val="24"/>
        </w:rPr>
        <w:t>能的组合规模变化，该基金主要以短久期高流动性资产配置为主。</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2020</w:t>
      </w:r>
      <w:r w:rsidRPr="000E4C40">
        <w:rPr>
          <w:color w:val="000000"/>
          <w:sz w:val="24"/>
        </w:rPr>
        <w:t>年三季度，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本基金仍将继续维持短久期配置为主，在基金转型完成后，将按照新基金合同规定进行投资。</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lastRenderedPageBreak/>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4,034,217,422.07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53.33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4,034,217,422.07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53.33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1,980,060,930.09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26.17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1,531,254,662.72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20.24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19,428,544.93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7,564,961,559.81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1.85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w:t>
      </w:r>
      <w:r w:rsidRPr="000E4C40">
        <w:rPr>
          <w:color w:val="000000"/>
          <w:sz w:val="24"/>
        </w:rPr>
        <w:lastRenderedPageBreak/>
        <w:t>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28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141</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80.17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0.93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16.08</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2.62</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lastRenderedPageBreak/>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99.80</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369,692,365.06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4.89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379,851,396.61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379,851,396.61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200,878,824.72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2,170,343,644.37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28.71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0.00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913,451,191.31</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12.08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4,034,217,422.07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53.36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969"/>
        <w:gridCol w:w="1367"/>
        <w:gridCol w:w="1861"/>
        <w:gridCol w:w="1574"/>
        <w:gridCol w:w="1716"/>
        <w:gridCol w:w="1815"/>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26301">
        <w:trPr>
          <w:jc w:val="center"/>
        </w:trPr>
        <w:tc>
          <w:tcPr>
            <w:tcW w:w="0" w:type="auto"/>
            <w:vAlign w:val="center"/>
          </w:tcPr>
          <w:p w:rsidR="00226301" w:rsidRDefault="00EA0F91">
            <w:pPr>
              <w:jc w:val="center"/>
            </w:pPr>
            <w:r>
              <w:rPr>
                <w:color w:val="000000"/>
                <w:sz w:val="24"/>
              </w:rPr>
              <w:t>1</w:t>
            </w:r>
          </w:p>
        </w:tc>
        <w:tc>
          <w:tcPr>
            <w:tcW w:w="0" w:type="auto"/>
            <w:vAlign w:val="center"/>
          </w:tcPr>
          <w:p w:rsidR="00226301" w:rsidRDefault="00EA0F91">
            <w:pPr>
              <w:jc w:val="center"/>
            </w:pPr>
            <w:r>
              <w:rPr>
                <w:color w:val="000000"/>
                <w:sz w:val="24"/>
              </w:rPr>
              <w:t>072000100</w:t>
            </w:r>
          </w:p>
        </w:tc>
        <w:tc>
          <w:tcPr>
            <w:tcW w:w="0" w:type="auto"/>
            <w:vAlign w:val="center"/>
          </w:tcPr>
          <w:p w:rsidR="00226301" w:rsidRDefault="00EA0F91">
            <w:pPr>
              <w:jc w:val="center"/>
            </w:pPr>
            <w:r>
              <w:rPr>
                <w:color w:val="000000"/>
                <w:sz w:val="24"/>
              </w:rPr>
              <w:t>20</w:t>
            </w:r>
            <w:r>
              <w:rPr>
                <w:color w:val="000000"/>
                <w:sz w:val="24"/>
              </w:rPr>
              <w:t>中信证券</w:t>
            </w:r>
            <w:r>
              <w:rPr>
                <w:color w:val="000000"/>
                <w:sz w:val="24"/>
              </w:rPr>
              <w:t>CP008</w:t>
            </w:r>
          </w:p>
        </w:tc>
        <w:tc>
          <w:tcPr>
            <w:tcW w:w="0" w:type="auto"/>
            <w:vAlign w:val="center"/>
          </w:tcPr>
          <w:p w:rsidR="00226301" w:rsidRDefault="00EA0F91">
            <w:pPr>
              <w:jc w:val="right"/>
            </w:pPr>
            <w:r>
              <w:rPr>
                <w:color w:val="000000"/>
                <w:sz w:val="24"/>
              </w:rPr>
              <w:t>6,000,000</w:t>
            </w:r>
          </w:p>
        </w:tc>
        <w:tc>
          <w:tcPr>
            <w:tcW w:w="0" w:type="auto"/>
            <w:vAlign w:val="center"/>
          </w:tcPr>
          <w:p w:rsidR="00226301" w:rsidRDefault="00EA0F91">
            <w:pPr>
              <w:jc w:val="right"/>
            </w:pPr>
            <w:r>
              <w:rPr>
                <w:color w:val="000000"/>
                <w:sz w:val="24"/>
              </w:rPr>
              <w:t>600,002,698.13</w:t>
            </w:r>
          </w:p>
        </w:tc>
        <w:tc>
          <w:tcPr>
            <w:tcW w:w="0" w:type="auto"/>
            <w:vAlign w:val="center"/>
          </w:tcPr>
          <w:p w:rsidR="00226301" w:rsidRDefault="00EA0F91">
            <w:pPr>
              <w:jc w:val="right"/>
            </w:pPr>
            <w:r>
              <w:rPr>
                <w:color w:val="000000"/>
                <w:sz w:val="24"/>
              </w:rPr>
              <w:t>7.94</w:t>
            </w:r>
          </w:p>
        </w:tc>
      </w:tr>
      <w:tr w:rsidR="00226301">
        <w:trPr>
          <w:jc w:val="center"/>
        </w:trPr>
        <w:tc>
          <w:tcPr>
            <w:tcW w:w="0" w:type="auto"/>
            <w:vAlign w:val="center"/>
          </w:tcPr>
          <w:p w:rsidR="00226301" w:rsidRDefault="00EA0F91">
            <w:pPr>
              <w:jc w:val="center"/>
            </w:pPr>
            <w:r>
              <w:rPr>
                <w:color w:val="000000"/>
                <w:sz w:val="24"/>
              </w:rPr>
              <w:t>2</w:t>
            </w:r>
          </w:p>
        </w:tc>
        <w:tc>
          <w:tcPr>
            <w:tcW w:w="0" w:type="auto"/>
            <w:vAlign w:val="center"/>
          </w:tcPr>
          <w:p w:rsidR="00226301" w:rsidRDefault="00EA0F91">
            <w:pPr>
              <w:jc w:val="center"/>
            </w:pPr>
            <w:r>
              <w:rPr>
                <w:color w:val="000000"/>
                <w:sz w:val="24"/>
              </w:rPr>
              <w:t>072000090</w:t>
            </w:r>
          </w:p>
        </w:tc>
        <w:tc>
          <w:tcPr>
            <w:tcW w:w="0" w:type="auto"/>
            <w:vAlign w:val="center"/>
          </w:tcPr>
          <w:p w:rsidR="00226301" w:rsidRDefault="00EA0F91">
            <w:pPr>
              <w:jc w:val="center"/>
            </w:pPr>
            <w:r>
              <w:rPr>
                <w:color w:val="000000"/>
                <w:sz w:val="24"/>
              </w:rPr>
              <w:t>20</w:t>
            </w:r>
            <w:r>
              <w:rPr>
                <w:color w:val="000000"/>
                <w:sz w:val="24"/>
              </w:rPr>
              <w:t>中信证券</w:t>
            </w:r>
            <w:r>
              <w:rPr>
                <w:color w:val="000000"/>
                <w:sz w:val="24"/>
              </w:rPr>
              <w:t>CP007</w:t>
            </w:r>
          </w:p>
        </w:tc>
        <w:tc>
          <w:tcPr>
            <w:tcW w:w="0" w:type="auto"/>
            <w:vAlign w:val="center"/>
          </w:tcPr>
          <w:p w:rsidR="00226301" w:rsidRDefault="00EA0F91">
            <w:pPr>
              <w:jc w:val="right"/>
            </w:pPr>
            <w:r>
              <w:rPr>
                <w:color w:val="000000"/>
                <w:sz w:val="24"/>
              </w:rPr>
              <w:t>4,000,000</w:t>
            </w:r>
          </w:p>
        </w:tc>
        <w:tc>
          <w:tcPr>
            <w:tcW w:w="0" w:type="auto"/>
            <w:vAlign w:val="center"/>
          </w:tcPr>
          <w:p w:rsidR="00226301" w:rsidRDefault="00EA0F91">
            <w:pPr>
              <w:jc w:val="right"/>
            </w:pPr>
            <w:r>
              <w:rPr>
                <w:color w:val="000000"/>
                <w:sz w:val="24"/>
              </w:rPr>
              <w:t>400,014,695.51</w:t>
            </w:r>
          </w:p>
        </w:tc>
        <w:tc>
          <w:tcPr>
            <w:tcW w:w="0" w:type="auto"/>
            <w:vAlign w:val="center"/>
          </w:tcPr>
          <w:p w:rsidR="00226301" w:rsidRDefault="00EA0F91">
            <w:pPr>
              <w:jc w:val="right"/>
            </w:pPr>
            <w:r>
              <w:rPr>
                <w:color w:val="000000"/>
                <w:sz w:val="24"/>
              </w:rPr>
              <w:t>5.29</w:t>
            </w:r>
          </w:p>
        </w:tc>
      </w:tr>
      <w:tr w:rsidR="00226301">
        <w:trPr>
          <w:jc w:val="center"/>
        </w:trPr>
        <w:tc>
          <w:tcPr>
            <w:tcW w:w="0" w:type="auto"/>
            <w:vAlign w:val="center"/>
          </w:tcPr>
          <w:p w:rsidR="00226301" w:rsidRDefault="00EA0F91">
            <w:pPr>
              <w:jc w:val="center"/>
            </w:pPr>
            <w:r>
              <w:rPr>
                <w:color w:val="000000"/>
                <w:sz w:val="24"/>
              </w:rPr>
              <w:t>3</w:t>
            </w:r>
          </w:p>
        </w:tc>
        <w:tc>
          <w:tcPr>
            <w:tcW w:w="0" w:type="auto"/>
            <w:vAlign w:val="center"/>
          </w:tcPr>
          <w:p w:rsidR="00226301" w:rsidRDefault="00EA0F91">
            <w:pPr>
              <w:jc w:val="center"/>
            </w:pPr>
            <w:r>
              <w:rPr>
                <w:color w:val="000000"/>
                <w:sz w:val="24"/>
              </w:rPr>
              <w:t>209919</w:t>
            </w:r>
          </w:p>
        </w:tc>
        <w:tc>
          <w:tcPr>
            <w:tcW w:w="0" w:type="auto"/>
            <w:vAlign w:val="center"/>
          </w:tcPr>
          <w:p w:rsidR="00226301" w:rsidRDefault="00EA0F91">
            <w:pPr>
              <w:jc w:val="center"/>
            </w:pPr>
            <w:r>
              <w:rPr>
                <w:color w:val="000000"/>
                <w:sz w:val="24"/>
              </w:rPr>
              <w:t>20</w:t>
            </w:r>
            <w:r>
              <w:rPr>
                <w:color w:val="000000"/>
                <w:sz w:val="24"/>
              </w:rPr>
              <w:t>贴现国债</w:t>
            </w:r>
            <w:r>
              <w:rPr>
                <w:color w:val="000000"/>
                <w:sz w:val="24"/>
              </w:rPr>
              <w:t>19</w:t>
            </w:r>
          </w:p>
        </w:tc>
        <w:tc>
          <w:tcPr>
            <w:tcW w:w="0" w:type="auto"/>
            <w:vAlign w:val="center"/>
          </w:tcPr>
          <w:p w:rsidR="00226301" w:rsidRDefault="00EA0F91">
            <w:pPr>
              <w:jc w:val="right"/>
            </w:pPr>
            <w:r>
              <w:rPr>
                <w:color w:val="000000"/>
                <w:sz w:val="24"/>
              </w:rPr>
              <w:t>2,800,000</w:t>
            </w:r>
          </w:p>
        </w:tc>
        <w:tc>
          <w:tcPr>
            <w:tcW w:w="0" w:type="auto"/>
            <w:vAlign w:val="center"/>
          </w:tcPr>
          <w:p w:rsidR="00226301" w:rsidRDefault="00EA0F91">
            <w:pPr>
              <w:jc w:val="right"/>
            </w:pPr>
            <w:r>
              <w:rPr>
                <w:color w:val="000000"/>
                <w:sz w:val="24"/>
              </w:rPr>
              <w:t>279,747,329.51</w:t>
            </w:r>
          </w:p>
        </w:tc>
        <w:tc>
          <w:tcPr>
            <w:tcW w:w="0" w:type="auto"/>
            <w:vAlign w:val="center"/>
          </w:tcPr>
          <w:p w:rsidR="00226301" w:rsidRDefault="00EA0F91">
            <w:pPr>
              <w:jc w:val="right"/>
            </w:pPr>
            <w:r>
              <w:rPr>
                <w:color w:val="000000"/>
                <w:sz w:val="24"/>
              </w:rPr>
              <w:t>3.70</w:t>
            </w:r>
          </w:p>
        </w:tc>
      </w:tr>
      <w:tr w:rsidR="00226301">
        <w:trPr>
          <w:jc w:val="center"/>
        </w:trPr>
        <w:tc>
          <w:tcPr>
            <w:tcW w:w="0" w:type="auto"/>
            <w:vAlign w:val="center"/>
          </w:tcPr>
          <w:p w:rsidR="00226301" w:rsidRDefault="00EA0F91">
            <w:pPr>
              <w:jc w:val="center"/>
            </w:pPr>
            <w:r>
              <w:rPr>
                <w:color w:val="000000"/>
                <w:sz w:val="24"/>
              </w:rPr>
              <w:lastRenderedPageBreak/>
              <w:t>4</w:t>
            </w:r>
          </w:p>
        </w:tc>
        <w:tc>
          <w:tcPr>
            <w:tcW w:w="0" w:type="auto"/>
            <w:vAlign w:val="center"/>
          </w:tcPr>
          <w:p w:rsidR="00226301" w:rsidRDefault="00EA0F91">
            <w:pPr>
              <w:jc w:val="center"/>
            </w:pPr>
            <w:r>
              <w:rPr>
                <w:color w:val="000000"/>
                <w:sz w:val="24"/>
              </w:rPr>
              <w:t>130235</w:t>
            </w:r>
          </w:p>
        </w:tc>
        <w:tc>
          <w:tcPr>
            <w:tcW w:w="0" w:type="auto"/>
            <w:vAlign w:val="center"/>
          </w:tcPr>
          <w:p w:rsidR="00226301" w:rsidRDefault="00EA0F91">
            <w:pPr>
              <w:jc w:val="center"/>
            </w:pPr>
            <w:r>
              <w:rPr>
                <w:color w:val="000000"/>
                <w:sz w:val="24"/>
              </w:rPr>
              <w:t>13</w:t>
            </w:r>
            <w:r>
              <w:rPr>
                <w:color w:val="000000"/>
                <w:sz w:val="24"/>
              </w:rPr>
              <w:t>国开</w:t>
            </w:r>
            <w:r>
              <w:rPr>
                <w:color w:val="000000"/>
                <w:sz w:val="24"/>
              </w:rPr>
              <w:t>35</w:t>
            </w:r>
          </w:p>
        </w:tc>
        <w:tc>
          <w:tcPr>
            <w:tcW w:w="0" w:type="auto"/>
            <w:vAlign w:val="center"/>
          </w:tcPr>
          <w:p w:rsidR="00226301" w:rsidRDefault="00EA0F91">
            <w:pPr>
              <w:jc w:val="right"/>
            </w:pPr>
            <w:r>
              <w:rPr>
                <w:color w:val="000000"/>
                <w:sz w:val="24"/>
              </w:rPr>
              <w:t>2,200,000</w:t>
            </w:r>
          </w:p>
        </w:tc>
        <w:tc>
          <w:tcPr>
            <w:tcW w:w="0" w:type="auto"/>
            <w:vAlign w:val="center"/>
          </w:tcPr>
          <w:p w:rsidR="00226301" w:rsidRDefault="00EA0F91">
            <w:pPr>
              <w:jc w:val="right"/>
            </w:pPr>
            <w:r>
              <w:rPr>
                <w:color w:val="000000"/>
                <w:sz w:val="24"/>
              </w:rPr>
              <w:t>219,987,915.70</w:t>
            </w:r>
          </w:p>
        </w:tc>
        <w:tc>
          <w:tcPr>
            <w:tcW w:w="0" w:type="auto"/>
            <w:vAlign w:val="center"/>
          </w:tcPr>
          <w:p w:rsidR="00226301" w:rsidRDefault="00EA0F91">
            <w:pPr>
              <w:jc w:val="right"/>
            </w:pPr>
            <w:r>
              <w:rPr>
                <w:color w:val="000000"/>
                <w:sz w:val="24"/>
              </w:rPr>
              <w:t>2.91</w:t>
            </w:r>
          </w:p>
        </w:tc>
      </w:tr>
      <w:tr w:rsidR="00226301">
        <w:trPr>
          <w:jc w:val="center"/>
        </w:trPr>
        <w:tc>
          <w:tcPr>
            <w:tcW w:w="0" w:type="auto"/>
            <w:vAlign w:val="center"/>
          </w:tcPr>
          <w:p w:rsidR="00226301" w:rsidRDefault="00EA0F91">
            <w:pPr>
              <w:jc w:val="center"/>
            </w:pPr>
            <w:r>
              <w:rPr>
                <w:color w:val="000000"/>
                <w:sz w:val="24"/>
              </w:rPr>
              <w:t>5</w:t>
            </w:r>
          </w:p>
        </w:tc>
        <w:tc>
          <w:tcPr>
            <w:tcW w:w="0" w:type="auto"/>
            <w:vAlign w:val="center"/>
          </w:tcPr>
          <w:p w:rsidR="00226301" w:rsidRDefault="00EA0F91">
            <w:pPr>
              <w:jc w:val="center"/>
            </w:pPr>
            <w:r>
              <w:rPr>
                <w:color w:val="000000"/>
                <w:sz w:val="24"/>
              </w:rPr>
              <w:t>111918379</w:t>
            </w:r>
          </w:p>
        </w:tc>
        <w:tc>
          <w:tcPr>
            <w:tcW w:w="0" w:type="auto"/>
            <w:vAlign w:val="center"/>
          </w:tcPr>
          <w:p w:rsidR="00226301" w:rsidRDefault="00EA0F91">
            <w:pPr>
              <w:jc w:val="center"/>
            </w:pPr>
            <w:r>
              <w:rPr>
                <w:color w:val="000000"/>
                <w:sz w:val="24"/>
              </w:rPr>
              <w:t>19</w:t>
            </w:r>
            <w:r>
              <w:rPr>
                <w:color w:val="000000"/>
                <w:sz w:val="24"/>
              </w:rPr>
              <w:t>华夏银行</w:t>
            </w:r>
            <w:r>
              <w:rPr>
                <w:color w:val="000000"/>
                <w:sz w:val="24"/>
              </w:rPr>
              <w:t>CD379</w:t>
            </w:r>
          </w:p>
        </w:tc>
        <w:tc>
          <w:tcPr>
            <w:tcW w:w="0" w:type="auto"/>
            <w:vAlign w:val="center"/>
          </w:tcPr>
          <w:p w:rsidR="00226301" w:rsidRDefault="00EA0F91">
            <w:pPr>
              <w:jc w:val="right"/>
            </w:pPr>
            <w:r>
              <w:rPr>
                <w:color w:val="000000"/>
                <w:sz w:val="24"/>
              </w:rPr>
              <w:t>2,100,000</w:t>
            </w:r>
          </w:p>
        </w:tc>
        <w:tc>
          <w:tcPr>
            <w:tcW w:w="0" w:type="auto"/>
            <w:vAlign w:val="center"/>
          </w:tcPr>
          <w:p w:rsidR="00226301" w:rsidRDefault="00EA0F91">
            <w:pPr>
              <w:jc w:val="right"/>
            </w:pPr>
            <w:r>
              <w:rPr>
                <w:color w:val="000000"/>
                <w:sz w:val="24"/>
              </w:rPr>
              <w:t>208,527,475.94</w:t>
            </w:r>
          </w:p>
        </w:tc>
        <w:tc>
          <w:tcPr>
            <w:tcW w:w="0" w:type="auto"/>
            <w:vAlign w:val="center"/>
          </w:tcPr>
          <w:p w:rsidR="00226301" w:rsidRDefault="00EA0F91">
            <w:pPr>
              <w:jc w:val="right"/>
            </w:pPr>
            <w:r>
              <w:rPr>
                <w:color w:val="000000"/>
                <w:sz w:val="24"/>
              </w:rPr>
              <w:t>2.76</w:t>
            </w:r>
          </w:p>
        </w:tc>
      </w:tr>
      <w:tr w:rsidR="00226301">
        <w:trPr>
          <w:jc w:val="center"/>
        </w:trPr>
        <w:tc>
          <w:tcPr>
            <w:tcW w:w="0" w:type="auto"/>
            <w:vAlign w:val="center"/>
          </w:tcPr>
          <w:p w:rsidR="00226301" w:rsidRDefault="00EA0F91">
            <w:pPr>
              <w:jc w:val="center"/>
            </w:pPr>
            <w:r>
              <w:rPr>
                <w:color w:val="000000"/>
                <w:sz w:val="24"/>
              </w:rPr>
              <w:t>6</w:t>
            </w:r>
          </w:p>
        </w:tc>
        <w:tc>
          <w:tcPr>
            <w:tcW w:w="0" w:type="auto"/>
            <w:vAlign w:val="center"/>
          </w:tcPr>
          <w:p w:rsidR="00226301" w:rsidRDefault="00EA0F91">
            <w:pPr>
              <w:jc w:val="center"/>
            </w:pPr>
            <w:r>
              <w:rPr>
                <w:color w:val="000000"/>
                <w:sz w:val="24"/>
              </w:rPr>
              <w:t>111988795</w:t>
            </w:r>
          </w:p>
        </w:tc>
        <w:tc>
          <w:tcPr>
            <w:tcW w:w="0" w:type="auto"/>
            <w:vAlign w:val="center"/>
          </w:tcPr>
          <w:p w:rsidR="00226301" w:rsidRDefault="00EA0F91">
            <w:pPr>
              <w:jc w:val="center"/>
            </w:pPr>
            <w:r>
              <w:rPr>
                <w:color w:val="000000"/>
                <w:sz w:val="24"/>
              </w:rPr>
              <w:t>19</w:t>
            </w:r>
            <w:r>
              <w:rPr>
                <w:color w:val="000000"/>
                <w:sz w:val="24"/>
              </w:rPr>
              <w:t>杭州银行</w:t>
            </w:r>
            <w:r>
              <w:rPr>
                <w:color w:val="000000"/>
                <w:sz w:val="24"/>
              </w:rPr>
              <w:t>CD094</w:t>
            </w:r>
          </w:p>
        </w:tc>
        <w:tc>
          <w:tcPr>
            <w:tcW w:w="0" w:type="auto"/>
            <w:vAlign w:val="center"/>
          </w:tcPr>
          <w:p w:rsidR="00226301" w:rsidRDefault="00EA0F91">
            <w:pPr>
              <w:jc w:val="right"/>
            </w:pPr>
            <w:r>
              <w:rPr>
                <w:color w:val="000000"/>
                <w:sz w:val="24"/>
              </w:rPr>
              <w:t>2,100,000</w:t>
            </w:r>
          </w:p>
        </w:tc>
        <w:tc>
          <w:tcPr>
            <w:tcW w:w="0" w:type="auto"/>
            <w:vAlign w:val="center"/>
          </w:tcPr>
          <w:p w:rsidR="00226301" w:rsidRDefault="00EA0F91">
            <w:pPr>
              <w:jc w:val="right"/>
            </w:pPr>
            <w:r>
              <w:rPr>
                <w:color w:val="000000"/>
                <w:sz w:val="24"/>
              </w:rPr>
              <w:t>208,498,943.95</w:t>
            </w:r>
          </w:p>
        </w:tc>
        <w:tc>
          <w:tcPr>
            <w:tcW w:w="0" w:type="auto"/>
            <w:vAlign w:val="center"/>
          </w:tcPr>
          <w:p w:rsidR="00226301" w:rsidRDefault="00EA0F91">
            <w:pPr>
              <w:jc w:val="right"/>
            </w:pPr>
            <w:r>
              <w:rPr>
                <w:color w:val="000000"/>
                <w:sz w:val="24"/>
              </w:rPr>
              <w:t>2.76</w:t>
            </w:r>
          </w:p>
        </w:tc>
      </w:tr>
      <w:tr w:rsidR="00226301">
        <w:trPr>
          <w:jc w:val="center"/>
        </w:trPr>
        <w:tc>
          <w:tcPr>
            <w:tcW w:w="0" w:type="auto"/>
            <w:vAlign w:val="center"/>
          </w:tcPr>
          <w:p w:rsidR="00226301" w:rsidRDefault="00EA0F91">
            <w:pPr>
              <w:jc w:val="center"/>
            </w:pPr>
            <w:r>
              <w:rPr>
                <w:color w:val="000000"/>
                <w:sz w:val="24"/>
              </w:rPr>
              <w:t>7</w:t>
            </w:r>
          </w:p>
        </w:tc>
        <w:tc>
          <w:tcPr>
            <w:tcW w:w="0" w:type="auto"/>
            <w:vAlign w:val="center"/>
          </w:tcPr>
          <w:p w:rsidR="00226301" w:rsidRDefault="00EA0F91">
            <w:pPr>
              <w:jc w:val="center"/>
            </w:pPr>
            <w:r>
              <w:rPr>
                <w:color w:val="000000"/>
                <w:sz w:val="24"/>
              </w:rPr>
              <w:t>1080105</w:t>
            </w:r>
          </w:p>
        </w:tc>
        <w:tc>
          <w:tcPr>
            <w:tcW w:w="0" w:type="auto"/>
            <w:vAlign w:val="center"/>
          </w:tcPr>
          <w:p w:rsidR="00226301" w:rsidRDefault="00EA0F91">
            <w:pPr>
              <w:jc w:val="center"/>
            </w:pPr>
            <w:r>
              <w:rPr>
                <w:color w:val="000000"/>
                <w:sz w:val="24"/>
              </w:rPr>
              <w:t>10</w:t>
            </w:r>
            <w:r>
              <w:rPr>
                <w:color w:val="000000"/>
                <w:sz w:val="24"/>
              </w:rPr>
              <w:t>铁道</w:t>
            </w:r>
            <w:r>
              <w:rPr>
                <w:color w:val="000000"/>
                <w:sz w:val="24"/>
              </w:rPr>
              <w:t>01</w:t>
            </w:r>
          </w:p>
        </w:tc>
        <w:tc>
          <w:tcPr>
            <w:tcW w:w="0" w:type="auto"/>
            <w:vAlign w:val="center"/>
          </w:tcPr>
          <w:p w:rsidR="00226301" w:rsidRDefault="00EA0F91">
            <w:pPr>
              <w:jc w:val="right"/>
            </w:pPr>
            <w:r>
              <w:rPr>
                <w:color w:val="000000"/>
                <w:sz w:val="24"/>
              </w:rPr>
              <w:t>2,000,000</w:t>
            </w:r>
          </w:p>
        </w:tc>
        <w:tc>
          <w:tcPr>
            <w:tcW w:w="0" w:type="auto"/>
            <w:vAlign w:val="center"/>
          </w:tcPr>
          <w:p w:rsidR="00226301" w:rsidRDefault="00EA0F91">
            <w:pPr>
              <w:jc w:val="right"/>
            </w:pPr>
            <w:r>
              <w:rPr>
                <w:color w:val="000000"/>
                <w:sz w:val="24"/>
              </w:rPr>
              <w:t>200,878,824.72</w:t>
            </w:r>
          </w:p>
        </w:tc>
        <w:tc>
          <w:tcPr>
            <w:tcW w:w="0" w:type="auto"/>
            <w:vAlign w:val="center"/>
          </w:tcPr>
          <w:p w:rsidR="00226301" w:rsidRDefault="00EA0F91">
            <w:pPr>
              <w:jc w:val="right"/>
            </w:pPr>
            <w:r>
              <w:rPr>
                <w:color w:val="000000"/>
                <w:sz w:val="24"/>
              </w:rPr>
              <w:t>2.66</w:t>
            </w:r>
          </w:p>
        </w:tc>
      </w:tr>
      <w:tr w:rsidR="00226301">
        <w:trPr>
          <w:jc w:val="center"/>
        </w:trPr>
        <w:tc>
          <w:tcPr>
            <w:tcW w:w="0" w:type="auto"/>
            <w:vAlign w:val="center"/>
          </w:tcPr>
          <w:p w:rsidR="00226301" w:rsidRDefault="00EA0F91">
            <w:pPr>
              <w:jc w:val="center"/>
            </w:pPr>
            <w:r>
              <w:rPr>
                <w:color w:val="000000"/>
                <w:sz w:val="24"/>
              </w:rPr>
              <w:t>8</w:t>
            </w:r>
          </w:p>
        </w:tc>
        <w:tc>
          <w:tcPr>
            <w:tcW w:w="0" w:type="auto"/>
            <w:vAlign w:val="center"/>
          </w:tcPr>
          <w:p w:rsidR="00226301" w:rsidRDefault="00EA0F91">
            <w:pPr>
              <w:jc w:val="center"/>
            </w:pPr>
            <w:r>
              <w:rPr>
                <w:color w:val="000000"/>
                <w:sz w:val="24"/>
              </w:rPr>
              <w:t>012000274</w:t>
            </w:r>
          </w:p>
        </w:tc>
        <w:tc>
          <w:tcPr>
            <w:tcW w:w="0" w:type="auto"/>
            <w:vAlign w:val="center"/>
          </w:tcPr>
          <w:p w:rsidR="00226301" w:rsidRDefault="00EA0F91">
            <w:pPr>
              <w:jc w:val="center"/>
            </w:pPr>
            <w:r>
              <w:rPr>
                <w:color w:val="000000"/>
                <w:sz w:val="24"/>
              </w:rPr>
              <w:t>20</w:t>
            </w:r>
            <w:r>
              <w:rPr>
                <w:color w:val="000000"/>
                <w:sz w:val="24"/>
              </w:rPr>
              <w:t>电网</w:t>
            </w:r>
            <w:r>
              <w:rPr>
                <w:color w:val="000000"/>
                <w:sz w:val="24"/>
              </w:rPr>
              <w:t>SCP008</w:t>
            </w:r>
          </w:p>
        </w:tc>
        <w:tc>
          <w:tcPr>
            <w:tcW w:w="0" w:type="auto"/>
            <w:vAlign w:val="center"/>
          </w:tcPr>
          <w:p w:rsidR="00226301" w:rsidRDefault="00EA0F91">
            <w:pPr>
              <w:jc w:val="right"/>
            </w:pPr>
            <w:r>
              <w:rPr>
                <w:color w:val="000000"/>
                <w:sz w:val="24"/>
              </w:rPr>
              <w:t>2,000,000</w:t>
            </w:r>
          </w:p>
        </w:tc>
        <w:tc>
          <w:tcPr>
            <w:tcW w:w="0" w:type="auto"/>
            <w:vAlign w:val="center"/>
          </w:tcPr>
          <w:p w:rsidR="00226301" w:rsidRDefault="00EA0F91">
            <w:pPr>
              <w:jc w:val="right"/>
            </w:pPr>
            <w:r>
              <w:rPr>
                <w:color w:val="000000"/>
                <w:sz w:val="24"/>
              </w:rPr>
              <w:t>200,133,404.45</w:t>
            </w:r>
          </w:p>
        </w:tc>
        <w:tc>
          <w:tcPr>
            <w:tcW w:w="0" w:type="auto"/>
            <w:vAlign w:val="center"/>
          </w:tcPr>
          <w:p w:rsidR="00226301" w:rsidRDefault="00EA0F91">
            <w:pPr>
              <w:jc w:val="right"/>
            </w:pPr>
            <w:r>
              <w:rPr>
                <w:color w:val="000000"/>
                <w:sz w:val="24"/>
              </w:rPr>
              <w:t>2.65</w:t>
            </w:r>
          </w:p>
        </w:tc>
      </w:tr>
      <w:tr w:rsidR="00226301">
        <w:trPr>
          <w:jc w:val="center"/>
        </w:trPr>
        <w:tc>
          <w:tcPr>
            <w:tcW w:w="0" w:type="auto"/>
            <w:vAlign w:val="center"/>
          </w:tcPr>
          <w:p w:rsidR="00226301" w:rsidRDefault="00EA0F91">
            <w:pPr>
              <w:jc w:val="center"/>
            </w:pPr>
            <w:r>
              <w:rPr>
                <w:color w:val="000000"/>
                <w:sz w:val="24"/>
              </w:rPr>
              <w:t>9</w:t>
            </w:r>
          </w:p>
        </w:tc>
        <w:tc>
          <w:tcPr>
            <w:tcW w:w="0" w:type="auto"/>
            <w:vAlign w:val="center"/>
          </w:tcPr>
          <w:p w:rsidR="00226301" w:rsidRDefault="00EA0F91">
            <w:pPr>
              <w:jc w:val="center"/>
            </w:pPr>
            <w:r>
              <w:rPr>
                <w:color w:val="000000"/>
                <w:sz w:val="24"/>
              </w:rPr>
              <w:t>012000209</w:t>
            </w:r>
          </w:p>
        </w:tc>
        <w:tc>
          <w:tcPr>
            <w:tcW w:w="0" w:type="auto"/>
            <w:vAlign w:val="center"/>
          </w:tcPr>
          <w:p w:rsidR="00226301" w:rsidRDefault="00EA0F91">
            <w:pPr>
              <w:jc w:val="center"/>
            </w:pPr>
            <w:r>
              <w:rPr>
                <w:color w:val="000000"/>
                <w:sz w:val="24"/>
              </w:rPr>
              <w:t>20</w:t>
            </w:r>
            <w:r>
              <w:rPr>
                <w:color w:val="000000"/>
                <w:sz w:val="24"/>
              </w:rPr>
              <w:t>电网</w:t>
            </w:r>
            <w:r>
              <w:rPr>
                <w:color w:val="000000"/>
                <w:sz w:val="24"/>
              </w:rPr>
              <w:t>SCP005</w:t>
            </w:r>
          </w:p>
        </w:tc>
        <w:tc>
          <w:tcPr>
            <w:tcW w:w="0" w:type="auto"/>
            <w:vAlign w:val="center"/>
          </w:tcPr>
          <w:p w:rsidR="00226301" w:rsidRDefault="00EA0F91">
            <w:pPr>
              <w:jc w:val="right"/>
            </w:pPr>
            <w:r>
              <w:rPr>
                <w:color w:val="000000"/>
                <w:sz w:val="24"/>
              </w:rPr>
              <w:t>2,000,000</w:t>
            </w:r>
          </w:p>
        </w:tc>
        <w:tc>
          <w:tcPr>
            <w:tcW w:w="0" w:type="auto"/>
            <w:vAlign w:val="center"/>
          </w:tcPr>
          <w:p w:rsidR="00226301" w:rsidRDefault="00EA0F91">
            <w:pPr>
              <w:jc w:val="right"/>
            </w:pPr>
            <w:r>
              <w:rPr>
                <w:color w:val="000000"/>
                <w:sz w:val="24"/>
              </w:rPr>
              <w:t>200,126,681.48</w:t>
            </w:r>
          </w:p>
        </w:tc>
        <w:tc>
          <w:tcPr>
            <w:tcW w:w="0" w:type="auto"/>
            <w:vAlign w:val="center"/>
          </w:tcPr>
          <w:p w:rsidR="00226301" w:rsidRDefault="00EA0F91">
            <w:pPr>
              <w:jc w:val="right"/>
            </w:pPr>
            <w:r>
              <w:rPr>
                <w:color w:val="000000"/>
                <w:sz w:val="24"/>
              </w:rPr>
              <w:t>2.65</w:t>
            </w:r>
          </w:p>
        </w:tc>
      </w:tr>
      <w:tr w:rsidR="00226301">
        <w:trPr>
          <w:jc w:val="center"/>
        </w:trPr>
        <w:tc>
          <w:tcPr>
            <w:tcW w:w="0" w:type="auto"/>
            <w:vAlign w:val="center"/>
          </w:tcPr>
          <w:p w:rsidR="00226301" w:rsidRDefault="00EA0F91">
            <w:pPr>
              <w:jc w:val="center"/>
            </w:pPr>
            <w:r>
              <w:rPr>
                <w:color w:val="000000"/>
                <w:sz w:val="24"/>
              </w:rPr>
              <w:t>10</w:t>
            </w:r>
          </w:p>
        </w:tc>
        <w:tc>
          <w:tcPr>
            <w:tcW w:w="0" w:type="auto"/>
            <w:vAlign w:val="center"/>
          </w:tcPr>
          <w:p w:rsidR="00226301" w:rsidRDefault="00EA0F91">
            <w:pPr>
              <w:jc w:val="center"/>
            </w:pPr>
            <w:r>
              <w:rPr>
                <w:color w:val="000000"/>
                <w:sz w:val="24"/>
              </w:rPr>
              <w:t>072000104</w:t>
            </w:r>
          </w:p>
        </w:tc>
        <w:tc>
          <w:tcPr>
            <w:tcW w:w="0" w:type="auto"/>
            <w:vAlign w:val="center"/>
          </w:tcPr>
          <w:p w:rsidR="00226301" w:rsidRDefault="00EA0F91">
            <w:pPr>
              <w:jc w:val="center"/>
            </w:pPr>
            <w:r>
              <w:rPr>
                <w:color w:val="000000"/>
                <w:sz w:val="24"/>
              </w:rPr>
              <w:t>20</w:t>
            </w:r>
            <w:r>
              <w:rPr>
                <w:color w:val="000000"/>
                <w:sz w:val="24"/>
              </w:rPr>
              <w:t>银河证券</w:t>
            </w:r>
            <w:r>
              <w:rPr>
                <w:color w:val="000000"/>
                <w:sz w:val="24"/>
              </w:rPr>
              <w:t>CP004</w:t>
            </w:r>
          </w:p>
        </w:tc>
        <w:tc>
          <w:tcPr>
            <w:tcW w:w="0" w:type="auto"/>
            <w:vAlign w:val="center"/>
          </w:tcPr>
          <w:p w:rsidR="00226301" w:rsidRDefault="00EA0F91">
            <w:pPr>
              <w:jc w:val="right"/>
            </w:pPr>
            <w:r>
              <w:rPr>
                <w:color w:val="000000"/>
                <w:sz w:val="24"/>
              </w:rPr>
              <w:t>2,000,000</w:t>
            </w:r>
          </w:p>
        </w:tc>
        <w:tc>
          <w:tcPr>
            <w:tcW w:w="0" w:type="auto"/>
            <w:vAlign w:val="center"/>
          </w:tcPr>
          <w:p w:rsidR="00226301" w:rsidRDefault="00EA0F91">
            <w:pPr>
              <w:jc w:val="right"/>
            </w:pPr>
            <w:r>
              <w:rPr>
                <w:color w:val="000000"/>
                <w:sz w:val="24"/>
              </w:rPr>
              <w:t>199,999,659.52</w:t>
            </w:r>
          </w:p>
        </w:tc>
        <w:tc>
          <w:tcPr>
            <w:tcW w:w="0" w:type="auto"/>
            <w:vAlign w:val="center"/>
          </w:tcPr>
          <w:p w:rsidR="00226301" w:rsidRDefault="00EA0F91">
            <w:pPr>
              <w:jc w:val="right"/>
            </w:pPr>
            <w:r>
              <w:rPr>
                <w:color w:val="000000"/>
                <w:sz w:val="24"/>
              </w:rPr>
              <w:t>2.65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0.2036%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0.0227%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0.1032%</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w:t>
      </w:r>
      <w:r w:rsidR="00EB25E4" w:rsidRPr="000E4C40">
        <w:rPr>
          <w:color w:val="000000"/>
          <w:sz w:val="24"/>
        </w:rPr>
        <w:lastRenderedPageBreak/>
        <w:t>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19,389,519.71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453.79</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38,571.43</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19,428,544.93</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8,176,127.99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14,264,602,966.03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204,286.74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80,261,932.22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748,860.14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6,791,772,560.93</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7,631,554.59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7,553,092,337.32</w:t>
            </w:r>
          </w:p>
        </w:tc>
      </w:tr>
    </w:tbl>
    <w:p w:rsidR="00226301" w:rsidRDefault="00EA0F9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0" w:type="dxa"/>
        <w:tblInd w:w="-176" w:type="dxa"/>
        <w:tblCellMar>
          <w:left w:w="0" w:type="dxa"/>
          <w:right w:w="0" w:type="dxa"/>
        </w:tblCellMar>
        <w:tblLook w:val="04A0" w:firstRow="1" w:lastRow="0" w:firstColumn="1" w:lastColumn="0" w:noHBand="0" w:noVBand="1"/>
      </w:tblPr>
      <w:tblGrid>
        <w:gridCol w:w="556"/>
        <w:gridCol w:w="386"/>
        <w:gridCol w:w="1749"/>
        <w:gridCol w:w="1579"/>
        <w:gridCol w:w="1323"/>
        <w:gridCol w:w="1579"/>
        <w:gridCol w:w="1579"/>
        <w:gridCol w:w="727"/>
      </w:tblGrid>
      <w:tr w:rsidR="00446840" w:rsidRPr="00446840" w:rsidTr="00C0514B">
        <w:tc>
          <w:tcPr>
            <w:tcW w:w="9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autoSpaceDE w:val="0"/>
              <w:autoSpaceDN w:val="0"/>
              <w:jc w:val="center"/>
              <w:rPr>
                <w:rFonts w:ascii="宋体" w:hAnsi="宋体"/>
                <w:b/>
                <w:bCs/>
                <w:color w:val="000000"/>
                <w:szCs w:val="21"/>
              </w:rPr>
            </w:pPr>
            <w:r w:rsidRPr="00446840">
              <w:rPr>
                <w:rFonts w:ascii="宋体" w:hAnsi="宋体" w:hint="eastAsia"/>
                <w:color w:val="000000"/>
                <w:szCs w:val="22"/>
              </w:rPr>
              <w:t xml:space="preserve">投资者类别  </w:t>
            </w:r>
          </w:p>
        </w:tc>
        <w:tc>
          <w:tcPr>
            <w:tcW w:w="56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autoSpaceDE w:val="0"/>
              <w:autoSpaceDN w:val="0"/>
              <w:jc w:val="center"/>
              <w:rPr>
                <w:rFonts w:ascii="宋体" w:hAnsi="宋体"/>
                <w:b/>
                <w:bCs/>
                <w:color w:val="000000"/>
                <w:szCs w:val="22"/>
              </w:rPr>
            </w:pPr>
            <w:r w:rsidRPr="00446840">
              <w:rPr>
                <w:rFonts w:ascii="宋体" w:hAnsi="宋体" w:hint="eastAsia"/>
                <w:color w:val="000000"/>
                <w:szCs w:val="22"/>
              </w:rPr>
              <w:t>报告期内持有基金份额变化情况</w:t>
            </w:r>
            <w:bookmarkStart w:id="2" w:name="_GoBack"/>
            <w:bookmarkEnd w:id="2"/>
          </w:p>
        </w:tc>
        <w:tc>
          <w:tcPr>
            <w:tcW w:w="254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autoSpaceDE w:val="0"/>
              <w:autoSpaceDN w:val="0"/>
              <w:jc w:val="center"/>
              <w:rPr>
                <w:rFonts w:ascii="宋体" w:hAnsi="宋体"/>
                <w:b/>
                <w:bCs/>
                <w:color w:val="000000"/>
                <w:szCs w:val="22"/>
              </w:rPr>
            </w:pPr>
            <w:r w:rsidRPr="00446840">
              <w:rPr>
                <w:rFonts w:ascii="宋体" w:hAnsi="宋体" w:hint="eastAsia"/>
                <w:color w:val="000000"/>
                <w:szCs w:val="22"/>
              </w:rPr>
              <w:t>报告期末持有基金情况</w:t>
            </w:r>
          </w:p>
        </w:tc>
      </w:tr>
      <w:tr w:rsidR="00446840" w:rsidRPr="00446840" w:rsidTr="00C0514B">
        <w:tc>
          <w:tcPr>
            <w:tcW w:w="0" w:type="auto"/>
            <w:vMerge/>
            <w:tcBorders>
              <w:top w:val="single" w:sz="8" w:space="0" w:color="auto"/>
              <w:left w:val="single" w:sz="8" w:space="0" w:color="auto"/>
              <w:bottom w:val="single" w:sz="8" w:space="0" w:color="auto"/>
              <w:right w:val="single" w:sz="8" w:space="0" w:color="auto"/>
            </w:tcBorders>
            <w:vAlign w:val="center"/>
            <w:hideMark/>
          </w:tcPr>
          <w:p w:rsidR="00446840" w:rsidRPr="00446840" w:rsidRDefault="00446840" w:rsidP="00446840">
            <w:pPr>
              <w:jc w:val="left"/>
              <w:rPr>
                <w:rFonts w:ascii="宋体" w:hAnsi="宋体" w:cs="宋体"/>
                <w:b/>
                <w:bCs/>
                <w:color w:val="000000"/>
                <w:szCs w:val="21"/>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autoSpaceDE w:val="0"/>
              <w:autoSpaceDN w:val="0"/>
              <w:jc w:val="center"/>
              <w:rPr>
                <w:rFonts w:ascii="宋体" w:hAnsi="宋体"/>
                <w:b/>
                <w:bCs/>
                <w:color w:val="000000"/>
                <w:szCs w:val="22"/>
              </w:rPr>
            </w:pPr>
            <w:r w:rsidRPr="00446840">
              <w:rPr>
                <w:rFonts w:ascii="宋体" w:hAnsi="宋体" w:hint="eastAsia"/>
                <w:color w:val="000000"/>
                <w:szCs w:val="22"/>
              </w:rPr>
              <w:t>序号</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autoSpaceDE w:val="0"/>
              <w:autoSpaceDN w:val="0"/>
              <w:jc w:val="center"/>
              <w:rPr>
                <w:rFonts w:ascii="宋体" w:hAnsi="宋体"/>
                <w:b/>
                <w:bCs/>
                <w:color w:val="000000"/>
                <w:szCs w:val="22"/>
              </w:rPr>
            </w:pPr>
            <w:r w:rsidRPr="00446840">
              <w:rPr>
                <w:rFonts w:ascii="宋体" w:hAnsi="宋体" w:hint="eastAsia"/>
                <w:color w:val="000000"/>
                <w:szCs w:val="22"/>
              </w:rPr>
              <w:t>持有基金份额比例达到或者超过20%的时间区间</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宋体" w:hAnsi="宋体"/>
                <w:b/>
                <w:bCs/>
                <w:color w:val="000000"/>
                <w:szCs w:val="22"/>
              </w:rPr>
            </w:pPr>
            <w:r w:rsidRPr="00446840">
              <w:rPr>
                <w:rFonts w:ascii="宋体" w:hAnsi="宋体" w:hint="eastAsia"/>
                <w:color w:val="000000"/>
                <w:szCs w:val="22"/>
              </w:rPr>
              <w:t>期初份额</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宋体" w:hAnsi="宋体"/>
                <w:b/>
                <w:bCs/>
                <w:color w:val="000000"/>
                <w:szCs w:val="22"/>
              </w:rPr>
            </w:pPr>
            <w:r w:rsidRPr="00446840">
              <w:rPr>
                <w:rFonts w:ascii="宋体" w:hAnsi="宋体" w:hint="eastAsia"/>
                <w:color w:val="000000"/>
                <w:szCs w:val="22"/>
              </w:rPr>
              <w:t>申购份额</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宋体" w:hAnsi="宋体"/>
                <w:b/>
                <w:bCs/>
                <w:color w:val="000000"/>
                <w:szCs w:val="22"/>
              </w:rPr>
            </w:pPr>
            <w:r w:rsidRPr="00446840">
              <w:rPr>
                <w:rFonts w:ascii="宋体" w:hAnsi="宋体" w:hint="eastAsia"/>
                <w:color w:val="000000"/>
                <w:szCs w:val="22"/>
              </w:rPr>
              <w:t>赎回份额</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autoSpaceDE w:val="0"/>
              <w:autoSpaceDN w:val="0"/>
              <w:jc w:val="center"/>
              <w:rPr>
                <w:rFonts w:ascii="宋体" w:hAnsi="宋体"/>
                <w:b/>
                <w:bCs/>
                <w:color w:val="000000"/>
                <w:szCs w:val="22"/>
              </w:rPr>
            </w:pPr>
            <w:r w:rsidRPr="00446840">
              <w:rPr>
                <w:rFonts w:ascii="宋体" w:hAnsi="宋体" w:hint="eastAsia"/>
                <w:color w:val="000000"/>
                <w:szCs w:val="22"/>
              </w:rPr>
              <w:t>持有份额</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autoSpaceDE w:val="0"/>
              <w:autoSpaceDN w:val="0"/>
              <w:jc w:val="center"/>
              <w:rPr>
                <w:rFonts w:ascii="宋体" w:hAnsi="宋体"/>
                <w:b/>
                <w:bCs/>
                <w:color w:val="000000"/>
                <w:szCs w:val="22"/>
              </w:rPr>
            </w:pPr>
            <w:r w:rsidRPr="00446840">
              <w:rPr>
                <w:rFonts w:ascii="宋体" w:hAnsi="宋体" w:hint="eastAsia"/>
                <w:color w:val="000000"/>
                <w:szCs w:val="22"/>
              </w:rPr>
              <w:t>份额占比</w:t>
            </w:r>
          </w:p>
        </w:tc>
      </w:tr>
      <w:tr w:rsidR="00446840" w:rsidRPr="00446840" w:rsidTr="00C0514B">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446840" w:rsidRPr="00446840" w:rsidRDefault="00446840" w:rsidP="00446840">
            <w:pPr>
              <w:rPr>
                <w:szCs w:val="22"/>
              </w:rPr>
            </w:pPr>
          </w:p>
          <w:p w:rsidR="00446840" w:rsidRPr="00446840" w:rsidRDefault="00446840" w:rsidP="00446840">
            <w:pPr>
              <w:rPr>
                <w:rFonts w:ascii="Calibri" w:hAnsi="Calibri" w:cs="宋体"/>
                <w:szCs w:val="22"/>
              </w:rPr>
            </w:pPr>
            <w:r w:rsidRPr="00446840">
              <w:rPr>
                <w:rFonts w:ascii="宋体" w:hAnsi="宋体" w:hint="eastAsia"/>
                <w:color w:val="000000"/>
                <w:szCs w:val="22"/>
              </w:rPr>
              <w:t>机构</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2020/4/1-2020/6/30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3,687,373,494.06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18,138,917.75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2,760,617,434.26</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944,894,977.55</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12.50%</w:t>
            </w:r>
          </w:p>
        </w:tc>
      </w:tr>
      <w:tr w:rsidR="00446840" w:rsidRPr="00446840" w:rsidTr="00C0514B">
        <w:tc>
          <w:tcPr>
            <w:tcW w:w="0" w:type="auto"/>
            <w:vMerge/>
            <w:tcBorders>
              <w:top w:val="nil"/>
              <w:left w:val="single" w:sz="8" w:space="0" w:color="auto"/>
              <w:bottom w:val="single" w:sz="8" w:space="0" w:color="auto"/>
              <w:right w:val="single" w:sz="8" w:space="0" w:color="auto"/>
            </w:tcBorders>
            <w:vAlign w:val="center"/>
            <w:hideMark/>
          </w:tcPr>
          <w:p w:rsidR="00446840" w:rsidRPr="00446840" w:rsidRDefault="00446840" w:rsidP="00446840">
            <w:pPr>
              <w:jc w:val="left"/>
              <w:rPr>
                <w:rFonts w:ascii="Calibri" w:hAnsi="Calibri" w:cs="宋体"/>
                <w:szCs w:val="21"/>
              </w:rPr>
            </w:pP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2020/4/1-2020/6/30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1,901,170,622.14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10,704,597.96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400,000,000.00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1,511,875,220.10</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20.00%</w:t>
            </w:r>
          </w:p>
        </w:tc>
      </w:tr>
      <w:tr w:rsidR="00446840" w:rsidRPr="00446840" w:rsidTr="00C0514B">
        <w:tc>
          <w:tcPr>
            <w:tcW w:w="0" w:type="auto"/>
            <w:vMerge/>
            <w:tcBorders>
              <w:top w:val="nil"/>
              <w:left w:val="single" w:sz="8" w:space="0" w:color="auto"/>
              <w:bottom w:val="single" w:sz="8" w:space="0" w:color="auto"/>
              <w:right w:val="single" w:sz="8" w:space="0" w:color="auto"/>
            </w:tcBorders>
            <w:vAlign w:val="center"/>
            <w:hideMark/>
          </w:tcPr>
          <w:p w:rsidR="00446840" w:rsidRPr="00446840" w:rsidRDefault="00446840" w:rsidP="00446840">
            <w:pPr>
              <w:jc w:val="left"/>
              <w:rPr>
                <w:rFonts w:ascii="Calibri" w:hAnsi="Calibri" w:cs="宋体"/>
                <w:szCs w:val="21"/>
              </w:rPr>
            </w:pP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2020/4/1-2020/6/30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2,174,710,217.98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13,536,100.53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1,606,610.14</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2,186,639,708.37</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jc w:val="center"/>
              <w:rPr>
                <w:rFonts w:ascii="Calibri" w:hAnsi="Calibri"/>
                <w:szCs w:val="22"/>
              </w:rPr>
            </w:pPr>
            <w:r w:rsidRPr="00446840">
              <w:rPr>
                <w:rFonts w:ascii="宋体" w:hAnsi="宋体" w:hint="eastAsia"/>
                <w:color w:val="000000"/>
                <w:szCs w:val="22"/>
              </w:rPr>
              <w:t>28.92%</w:t>
            </w:r>
          </w:p>
        </w:tc>
      </w:tr>
      <w:tr w:rsidR="00446840" w:rsidRPr="00446840" w:rsidTr="00C0514B">
        <w:tc>
          <w:tcPr>
            <w:tcW w:w="9212"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autoSpaceDE w:val="0"/>
              <w:autoSpaceDN w:val="0"/>
              <w:jc w:val="center"/>
              <w:rPr>
                <w:rFonts w:ascii="宋体" w:hAnsi="宋体"/>
                <w:szCs w:val="22"/>
              </w:rPr>
            </w:pPr>
            <w:r w:rsidRPr="00446840">
              <w:rPr>
                <w:rFonts w:ascii="宋体" w:hAnsi="宋体" w:hint="eastAsia"/>
                <w:color w:val="000000"/>
                <w:szCs w:val="22"/>
              </w:rPr>
              <w:t>产品特有风险</w:t>
            </w:r>
          </w:p>
        </w:tc>
      </w:tr>
      <w:tr w:rsidR="00446840" w:rsidRPr="00446840" w:rsidTr="00C0514B">
        <w:tc>
          <w:tcPr>
            <w:tcW w:w="9212"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6840" w:rsidRPr="00446840" w:rsidRDefault="00446840" w:rsidP="00446840">
            <w:pPr>
              <w:autoSpaceDE w:val="0"/>
              <w:autoSpaceDN w:val="0"/>
              <w:jc w:val="left"/>
              <w:rPr>
                <w:rFonts w:ascii="宋体" w:hAnsi="宋体"/>
                <w:szCs w:val="22"/>
              </w:rPr>
            </w:pPr>
            <w:r w:rsidRPr="00446840">
              <w:rPr>
                <w:rFonts w:ascii="宋体" w:hAnsi="宋体" w:hint="eastAsia"/>
                <w:szCs w:val="22"/>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46840" w:rsidRPr="00446840" w:rsidRDefault="00446840" w:rsidP="003D1E1A">
      <w:pPr>
        <w:autoSpaceDE w:val="0"/>
        <w:autoSpaceDN w:val="0"/>
        <w:adjustRightInd w:val="0"/>
        <w:spacing w:line="360" w:lineRule="auto"/>
        <w:jc w:val="left"/>
        <w:rPr>
          <w:rFonts w:ascii="宋体" w:hAnsi="宋体" w:hint="eastAsia"/>
          <w:b/>
          <w:bCs/>
          <w:color w:val="000000"/>
          <w:kern w:val="0"/>
          <w:sz w:val="24"/>
        </w:rPr>
      </w:pP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3D1E1A" w:rsidRDefault="003D1E1A" w:rsidP="003D1E1A">
      <w:pPr>
        <w:spacing w:line="360" w:lineRule="auto"/>
        <w:ind w:firstLineChars="200" w:firstLine="420"/>
        <w:rPr>
          <w:rFonts w:ascii="宋体" w:hAnsi="宋体"/>
          <w:color w:val="000000"/>
          <w:szCs w:val="21"/>
        </w:rPr>
      </w:pPr>
      <w:r>
        <w:rPr>
          <w:rFonts w:ascii="宋体" w:hAnsi="宋体" w:hint="eastAsia"/>
          <w:color w:val="000000"/>
          <w:szCs w:val="21"/>
        </w:rPr>
        <w:t>本基金管理人于2020年5月22日起至2020年6月22日17：00止以通讯方式召开本基金的基金份额持有人大会，就本基金转型及基金合同修改有关事项的议案进行表决。本次基金份额持有人大会于2020年6月23日表决通过了《关于交银施罗德理财21天债券型证券投资基金转型及修改基金合同有关事项的议案》，本次基金份额持有人大会决议自该日起生效，正式实施转型日为2020年7月28日。详情请查阅本基金管理人于2020年6月24日发布的《交银施罗德基金管理有限公司关于交银施罗德理财21天债券型证券投资基金基金份额持有人大会表决结果暨决议生效的公告》。</w:t>
      </w:r>
    </w:p>
    <w:p w:rsidR="001B3FBF" w:rsidRPr="000E4C40" w:rsidRDefault="001B3FBF" w:rsidP="00281564">
      <w:pPr>
        <w:spacing w:before="29" w:line="288" w:lineRule="auto"/>
        <w:ind w:firstLineChars="200" w:firstLine="480"/>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226301" w:rsidRDefault="00EA0F91">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226301" w:rsidRDefault="00EA0F91">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226301" w:rsidRDefault="00EA0F91">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226301" w:rsidRDefault="00EA0F91">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226301" w:rsidRDefault="00EA0F91">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226301" w:rsidRDefault="00EA0F9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26301" w:rsidRDefault="00EA0F9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226301" w:rsidRDefault="00EA0F9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F91" w:rsidRDefault="00EA0F91">
      <w:r>
        <w:separator/>
      </w:r>
    </w:p>
  </w:endnote>
  <w:endnote w:type="continuationSeparator" w:id="0">
    <w:p w:rsidR="00EA0F91" w:rsidRDefault="00EA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46840">
      <w:rPr>
        <w:noProof/>
        <w:kern w:val="0"/>
        <w:szCs w:val="21"/>
      </w:rPr>
      <w:t>14</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446840">
      <w:rPr>
        <w:noProof/>
        <w:kern w:val="0"/>
        <w:szCs w:val="21"/>
      </w:rPr>
      <w:t>15</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F91" w:rsidRDefault="00EA0F91">
      <w:r>
        <w:separator/>
      </w:r>
    </w:p>
  </w:footnote>
  <w:footnote w:type="continuationSeparator" w:id="0">
    <w:p w:rsidR="00EA0F91" w:rsidRDefault="00EA0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21</w:t>
    </w:r>
    <w:r w:rsidRPr="003E676C">
      <w:rPr>
        <w:sz w:val="24"/>
        <w:szCs w:val="24"/>
      </w:rPr>
      <w:t>天债券型证券投资基金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263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46840"/>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0F91"/>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D89111-B5BC-469A-B626-3A52133C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15</Pages>
  <Words>1384</Words>
  <Characters>7889</Characters>
  <Application>Microsoft Office Word</Application>
  <DocSecurity>0</DocSecurity>
  <Lines>65</Lines>
  <Paragraphs>18</Paragraphs>
  <ScaleCrop>false</ScaleCrop>
  <Company>jysld</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337</cp:revision>
  <cp:lastPrinted>2009-01-22T10:11:00Z</cp:lastPrinted>
  <dcterms:created xsi:type="dcterms:W3CDTF">2012-11-21T05:49:00Z</dcterms:created>
  <dcterms:modified xsi:type="dcterms:W3CDTF">2020-07-17T05:38:00Z</dcterms:modified>
</cp:coreProperties>
</file>