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2012年12月19日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2,460,601,004.45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519718</w:t>
            </w:r>
            <w:r w:rsidRPr="007F52FA">
              <w:rPr>
                <w:color w:themeColor="text1" w:val="000000"/>
                <w:sz w:val="24"/>
              </w:rPr>
              <w:t>（前端）、</w:t>
            </w:r>
            <w:r w:rsidRPr="007F52FA">
              <w:rPr>
                <w:color w:themeColor="text1" w:val="000000"/>
                <w:sz w:val="24"/>
              </w:rPr>
              <w:t>519719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2,287,085,042.23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173,515,962.22</w:t>
            </w:r>
            <w:r w:rsidRPr="007F52FA">
              <w:rPr>
                <w:color w:val="000000"/>
                <w:kern w:val="0"/>
                <w:sz w:val="24"/>
              </w:rPr>
              <w:t>份</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注：1、本基金A类基金份额采用前端收费模式，B类基金份额采用后端收费模式，前端交易代码即为A类基金份额交易代码，后端交易代码即为B类基金份额交易代码。</w:t>
      </w:r>
    </w:p>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2、本基金为发起式基金。</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交银纯债债券发起A/B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交银纯债债券发起C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21,141,813.32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1,885,827.58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30,245,016.89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1,867,452.71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0.0196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0.0128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2,497,684,141.87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188,656,141.52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1.092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1.087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交银纯债债券发起A/B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2.24%</w:t>
            </w:r>
          </w:p>
        </w:tc>
        <w:tc>
          <w:tcPr>
            <w:vAlign w:val="center"/>
          </w:tcPr>
          <w:p>
            <w:pPr>
              <w:jc w:val="center"/>
            </w:pPr>
            <w:r>
              <w:rPr>
                <w:color w:val="000000"/>
                <w:sz w:val="24"/>
              </w:rPr>
              <w:t>0.10%</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0.39%</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交银纯债债券发起C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2.16%</w:t>
            </w:r>
          </w:p>
        </w:tc>
        <w:tc>
          <w:tcPr>
            <w:vAlign w:val="center"/>
          </w:tcPr>
          <w:p>
            <w:pPr>
              <w:jc w:val="center"/>
            </w:pPr>
            <w:r>
              <w:rPr>
                <w:color w:val="000000"/>
                <w:sz w:val="24"/>
              </w:rPr>
              <w:t>0.09%</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0.31%</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交银施罗德纯债债券型发起式证券投资基金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2012年12月19日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交银纯债债券发起C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10bp，长端利率大幅下行，悲观情绪快速释放，此后随着国内疫情防控显效，政策也开始加强企业复工，债市转向震荡。进入二月下旬，海外疫情加速扩散，三月初美联储紧急降息50bp后引发全球宽松预期，风险资产快速受到冲击，债券利率进一步向下突破。2020年3月9日起，海外流动性危机显现，全球美元流动性紧张情况下，外资抛压对中国债市带来阶段性的调整，收益率小幅上行。2020年3月16日美联储紧急降息100bp，随后密集推出流动性工具、开启无限量QE等，市场的流动性紧张形势得到缓解，国内债市收益率在降息预期影响下重回下行通道。</w:t>
      </w:r>
    </w:p>
    <w:p>
      <w:pPr>
        <w:spacing w:before="29" w:line="288" w:lineRule="auto"/>
        <w:ind w:firstLine="480" w:firstLineChars="200"/>
        <w:rPr>
          <w:color w:val="000000"/>
          <w:sz w:val="24"/>
        </w:rPr>
      </w:pPr>
      <w:r>
        <w:rPr>
          <w:color w:val="000000"/>
          <w:sz w:val="24"/>
        </w:rPr>
        <w:t>报告期内，组合以信用债为主要配置，基于对宏观经济和政策的判断，适当拉长组合久期，由于资金相对宽松，组合保持一定的杠杆操作，并通过精选信用个券，增强组合收益。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重点关注债券票息策略。操作策略方面，我们关注信用债的票息机会，进一步挖掘信用债投资机会，并维持中等的杠杆水平，以期提升组合整体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3,409,088,200.00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97.68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3,409,088,200.00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97.68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9,219,760.20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71,679,098.08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3,489,987,058.28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134,519,700.00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5.01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134,519,700.00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5.01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150,137,500.00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144,179,000.00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5.37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2,980,252,000.00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110.94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3,409,088,200.00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126.90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101800883</w:t>
            </w:r>
          </w:p>
        </w:tc>
        <w:tc>
          <w:tcPr>
            <w:vAlign w:val="center"/>
          </w:tcPr>
          <w:p>
            <w:pPr>
              <w:jc w:val="center"/>
            </w:pPr>
            <w:r>
              <w:rPr>
                <w:color w:val="000000"/>
                <w:sz w:val="24"/>
              </w:rPr>
              <w:t>18江岸国资MTN001</w:t>
            </w:r>
          </w:p>
        </w:tc>
        <w:tc>
          <w:tcPr>
            <w:vAlign w:val="center"/>
          </w:tcPr>
          <w:p>
            <w:pPr>
              <w:jc w:val="right"/>
            </w:pPr>
            <w:r>
              <w:rPr>
                <w:color w:val="000000"/>
                <w:sz w:val="24"/>
              </w:rPr>
              <w:t>800,000</w:t>
            </w:r>
          </w:p>
        </w:tc>
        <w:tc>
          <w:tcPr>
            <w:vAlign w:val="center"/>
          </w:tcPr>
          <w:p>
            <w:pPr>
              <w:jc w:val="right"/>
            </w:pPr>
            <w:r>
              <w:rPr>
                <w:color w:val="000000"/>
                <w:sz w:val="24"/>
              </w:rPr>
              <w:t>85,096,000.00</w:t>
            </w:r>
          </w:p>
        </w:tc>
        <w:tc>
          <w:tcPr>
            <w:vAlign w:val="center"/>
          </w:tcPr>
          <w:p>
            <w:pPr>
              <w:jc w:val="right"/>
            </w:pPr>
            <w:r>
              <w:rPr>
                <w:color w:val="000000"/>
                <w:sz w:val="24"/>
              </w:rPr>
              <w:t>3.17</w:t>
            </w:r>
          </w:p>
        </w:tc>
      </w:tr>
      <w:tr>
        <w:tc>
          <w:tcPr>
            <w:vAlign w:val="center"/>
          </w:tcPr>
          <w:p>
            <w:pPr>
              <w:jc w:val="center"/>
            </w:pPr>
            <w:r>
              <w:rPr>
                <w:color w:val="000000"/>
                <w:sz w:val="24"/>
              </w:rPr>
              <w:t>2</w:t>
            </w:r>
          </w:p>
        </w:tc>
        <w:tc>
          <w:tcPr>
            <w:vAlign w:val="center"/>
          </w:tcPr>
          <w:p>
            <w:pPr>
              <w:jc w:val="center"/>
            </w:pPr>
            <w:r>
              <w:rPr>
                <w:color w:val="000000"/>
                <w:sz w:val="24"/>
              </w:rPr>
              <w:t>018061</w:t>
            </w:r>
          </w:p>
        </w:tc>
        <w:tc>
          <w:tcPr>
            <w:vAlign w:val="center"/>
          </w:tcPr>
          <w:p>
            <w:pPr>
              <w:jc w:val="center"/>
            </w:pPr>
            <w:r>
              <w:rPr>
                <w:color w:val="000000"/>
                <w:sz w:val="24"/>
              </w:rPr>
              <w:t>进出1911</w:t>
            </w:r>
          </w:p>
        </w:tc>
        <w:tc>
          <w:tcPr>
            <w:vAlign w:val="center"/>
          </w:tcPr>
          <w:p>
            <w:pPr>
              <w:jc w:val="right"/>
            </w:pPr>
            <w:r>
              <w:rPr>
                <w:color w:val="000000"/>
                <w:sz w:val="24"/>
              </w:rPr>
              <w:t>670,000</w:t>
            </w:r>
          </w:p>
        </w:tc>
        <w:tc>
          <w:tcPr>
            <w:vAlign w:val="center"/>
          </w:tcPr>
          <w:p>
            <w:pPr>
              <w:jc w:val="right"/>
            </w:pPr>
            <w:r>
              <w:rPr>
                <w:color w:val="000000"/>
                <w:sz w:val="24"/>
              </w:rPr>
              <w:t>67,268,000.00</w:t>
            </w:r>
          </w:p>
        </w:tc>
        <w:tc>
          <w:tcPr>
            <w:vAlign w:val="center"/>
          </w:tcPr>
          <w:p>
            <w:pPr>
              <w:jc w:val="right"/>
            </w:pPr>
            <w:r>
              <w:rPr>
                <w:color w:val="000000"/>
                <w:sz w:val="24"/>
              </w:rPr>
              <w:t>2.50</w:t>
            </w:r>
          </w:p>
        </w:tc>
      </w:tr>
      <w:tr>
        <w:tc>
          <w:tcPr>
            <w:vAlign w:val="center"/>
          </w:tcPr>
          <w:p>
            <w:pPr>
              <w:jc w:val="center"/>
            </w:pPr>
            <w:r>
              <w:rPr>
                <w:color w:val="000000"/>
                <w:sz w:val="24"/>
              </w:rPr>
              <w:t>3</w:t>
            </w:r>
          </w:p>
        </w:tc>
        <w:tc>
          <w:tcPr>
            <w:vAlign w:val="center"/>
          </w:tcPr>
          <w:p>
            <w:pPr>
              <w:jc w:val="center"/>
            </w:pPr>
            <w:r>
              <w:rPr>
                <w:color w:val="000000"/>
                <w:sz w:val="24"/>
              </w:rPr>
              <w:t>101800690</w:t>
            </w:r>
          </w:p>
        </w:tc>
        <w:tc>
          <w:tcPr>
            <w:vAlign w:val="center"/>
          </w:tcPr>
          <w:p>
            <w:pPr>
              <w:jc w:val="center"/>
            </w:pPr>
            <w:r>
              <w:rPr>
                <w:color w:val="000000"/>
                <w:sz w:val="24"/>
              </w:rPr>
              <w:t>18江北新城MTN001</w:t>
            </w:r>
          </w:p>
        </w:tc>
        <w:tc>
          <w:tcPr>
            <w:vAlign w:val="center"/>
          </w:tcPr>
          <w:p>
            <w:pPr>
              <w:jc w:val="right"/>
            </w:pPr>
            <w:r>
              <w:rPr>
                <w:color w:val="000000"/>
                <w:sz w:val="24"/>
              </w:rPr>
              <w:t>600,000</w:t>
            </w:r>
          </w:p>
        </w:tc>
        <w:tc>
          <w:tcPr>
            <w:vAlign w:val="center"/>
          </w:tcPr>
          <w:p>
            <w:pPr>
              <w:jc w:val="right"/>
            </w:pPr>
            <w:r>
              <w:rPr>
                <w:color w:val="000000"/>
                <w:sz w:val="24"/>
              </w:rPr>
              <w:t>65,928,000.00</w:t>
            </w:r>
          </w:p>
        </w:tc>
        <w:tc>
          <w:tcPr>
            <w:vAlign w:val="center"/>
          </w:tcPr>
          <w:p>
            <w:pPr>
              <w:jc w:val="right"/>
            </w:pPr>
            <w:r>
              <w:rPr>
                <w:color w:val="000000"/>
                <w:sz w:val="24"/>
              </w:rPr>
              <w:t>2.45</w:t>
            </w:r>
          </w:p>
        </w:tc>
      </w:tr>
      <w:tr>
        <w:tc>
          <w:tcPr>
            <w:vAlign w:val="center"/>
          </w:tcPr>
          <w:p>
            <w:pPr>
              <w:jc w:val="center"/>
            </w:pPr>
            <w:r>
              <w:rPr>
                <w:color w:val="000000"/>
                <w:sz w:val="24"/>
              </w:rPr>
              <w:t>4</w:t>
            </w:r>
          </w:p>
        </w:tc>
        <w:tc>
          <w:tcPr>
            <w:vAlign w:val="center"/>
          </w:tcPr>
          <w:p>
            <w:pPr>
              <w:jc w:val="center"/>
            </w:pPr>
            <w:r>
              <w:rPr>
                <w:color w:val="000000"/>
                <w:sz w:val="24"/>
              </w:rPr>
              <w:t>101800586</w:t>
            </w:r>
          </w:p>
        </w:tc>
        <w:tc>
          <w:tcPr>
            <w:vAlign w:val="center"/>
          </w:tcPr>
          <w:p>
            <w:pPr>
              <w:jc w:val="center"/>
            </w:pPr>
            <w:r>
              <w:rPr>
                <w:color w:val="000000"/>
                <w:sz w:val="24"/>
              </w:rPr>
              <w:t>18宝城投MTN001</w:t>
            </w:r>
          </w:p>
        </w:tc>
        <w:tc>
          <w:tcPr>
            <w:vAlign w:val="center"/>
          </w:tcPr>
          <w:p>
            <w:pPr>
              <w:jc w:val="right"/>
            </w:pPr>
            <w:r>
              <w:rPr>
                <w:color w:val="000000"/>
                <w:sz w:val="24"/>
              </w:rPr>
              <w:t>600,000</w:t>
            </w:r>
          </w:p>
        </w:tc>
        <w:tc>
          <w:tcPr>
            <w:vAlign w:val="center"/>
          </w:tcPr>
          <w:p>
            <w:pPr>
              <w:jc w:val="right"/>
            </w:pPr>
            <w:r>
              <w:rPr>
                <w:color w:val="000000"/>
                <w:sz w:val="24"/>
              </w:rPr>
              <w:t>64,608,000.00</w:t>
            </w:r>
          </w:p>
        </w:tc>
        <w:tc>
          <w:tcPr>
            <w:vAlign w:val="center"/>
          </w:tcPr>
          <w:p>
            <w:pPr>
              <w:jc w:val="right"/>
            </w:pPr>
            <w:r>
              <w:rPr>
                <w:color w:val="000000"/>
                <w:sz w:val="24"/>
              </w:rPr>
              <w:t>2.41</w:t>
            </w:r>
          </w:p>
        </w:tc>
      </w:tr>
      <w:tr>
        <w:tc>
          <w:tcPr>
            <w:vAlign w:val="center"/>
          </w:tcPr>
          <w:p>
            <w:pPr>
              <w:jc w:val="center"/>
            </w:pPr>
            <w:r>
              <w:rPr>
                <w:color w:val="000000"/>
                <w:sz w:val="24"/>
              </w:rPr>
              <w:t>5</w:t>
            </w:r>
          </w:p>
        </w:tc>
        <w:tc>
          <w:tcPr>
            <w:vAlign w:val="center"/>
          </w:tcPr>
          <w:p>
            <w:pPr>
              <w:jc w:val="center"/>
            </w:pPr>
            <w:r>
              <w:rPr>
                <w:color w:val="000000"/>
                <w:sz w:val="24"/>
              </w:rPr>
              <w:t>101901432</w:t>
            </w:r>
          </w:p>
        </w:tc>
        <w:tc>
          <w:tcPr>
            <w:vAlign w:val="center"/>
          </w:tcPr>
          <w:p>
            <w:pPr>
              <w:jc w:val="center"/>
            </w:pPr>
            <w:r>
              <w:rPr>
                <w:color w:val="000000"/>
                <w:sz w:val="24"/>
              </w:rPr>
              <w:t>19南昌工业MTN002</w:t>
            </w:r>
          </w:p>
        </w:tc>
        <w:tc>
          <w:tcPr>
            <w:vAlign w:val="center"/>
          </w:tcPr>
          <w:p>
            <w:pPr>
              <w:jc w:val="right"/>
            </w:pPr>
            <w:r>
              <w:rPr>
                <w:color w:val="000000"/>
                <w:sz w:val="24"/>
              </w:rPr>
              <w:t>600,000</w:t>
            </w:r>
          </w:p>
        </w:tc>
        <w:tc>
          <w:tcPr>
            <w:vAlign w:val="center"/>
          </w:tcPr>
          <w:p>
            <w:pPr>
              <w:jc w:val="right"/>
            </w:pPr>
            <w:r>
              <w:rPr>
                <w:color w:val="000000"/>
                <w:sz w:val="24"/>
              </w:rPr>
              <w:t>62,310,000.00</w:t>
            </w:r>
          </w:p>
        </w:tc>
        <w:tc>
          <w:tcPr>
            <w:vAlign w:val="center"/>
          </w:tcPr>
          <w:p>
            <w:pPr>
              <w:jc w:val="right"/>
            </w:pPr>
            <w:r>
              <w:rPr>
                <w:color w:val="000000"/>
                <w:sz w:val="24"/>
              </w:rPr>
              <w:t>2.32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12,256.33</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62,882,842.82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8,783,998.93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71,679,098.08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交银纯债债券发起A/B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交银纯债债券发起C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999,751,455.04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45,614,162.01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1,468,200,087.55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324,307,834.30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180,866,500.36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196,406,034.09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2,287,085,042.23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173,515,962.22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B47574" w:rsidRDefault="006B046C" w:rsidRPr="007F52FA">
      <w:pPr>
        <w:pStyle w:val="1"/>
        <w:spacing w:after="312" w:afterLines="100" w:before="312" w:beforeLines="100" w:line="288" w:lineRule="auto"/>
        <w:jc w:val="center"/>
        <w:rPr>
          <w:rFonts w:eastAsiaTheme="minorEastAsia"/>
          <w:b w:val="0"/>
          <w:color w:val="000000"/>
          <w:sz w:val="24"/>
          <w:szCs w:val="24"/>
        </w:rPr>
      </w:pPr>
      <w:r w:rsidRPr="007F52FA">
        <w:rPr>
          <w:rFonts w:eastAsiaTheme="minorEastAsia"/>
          <w:color w:val="000000"/>
          <w:kern w:val="0"/>
          <w:sz w:val="24"/>
          <w:szCs w:val="24"/>
        </w:rPr>
        <w:t/>
      </w:r>
      <w:r w:rsidR="00B47574" w:rsidRPr="007F52FA">
        <w:rPr>
          <w:rFonts w:eastAsiaTheme="minorEastAsia"/>
          <w:color w:val="000000"/>
          <w:kern w:val="0"/>
          <w:sz w:val="24"/>
          <w:szCs w:val="24"/>
        </w:rPr>
        <w:t>§</w:t>
      </w:r>
      <w:r w:rsidR="00D66685" w:rsidRPr="007F52FA">
        <w:rPr>
          <w:rFonts w:eastAsiaTheme="minorEastAsia"/>
          <w:color w:val="000000"/>
          <w:kern w:val="0"/>
          <w:sz w:val="24"/>
          <w:szCs w:val="24"/>
        </w:rPr>
        <w:t/>
      </w:r>
      <w:r w:rsidR="00B47574"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00B47574" w:rsidRPr="007F52FA">
        <w:rPr>
          <w:rFonts w:eastAsiaTheme="minorEastAsia"/>
          <w:color w:val="000000"/>
          <w:kern w:val="0"/>
          <w:sz w:val="24"/>
          <w:szCs w:val="24"/>
        </w:rPr>
        <w:t>发起式基金发起资金持有份额情况</w:t>
      </w:r>
    </w:p>
    <w:p w:rsidP="007C14DF" w:rsidR="00B47574" w:rsidRDefault="00B4757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10,000,000.00元人民币（不含募集期利息结转的份额），作为本基金的发起资金。自本基金基金合同生效之日起，发起资金所认购的基金份额持有期限不低于三年。本基金管理人持有的发起份额已于2017年一季度全部赎回，相应份额的持有期限符合基金合同的约定。</w:t>
      </w:r>
    </w:p>
    <w:p w:rsidP="007C14DF" w:rsidR="00574FC7" w:rsidRDefault="00574FC7"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1、中国证监会批准交银施罗德纯债债券型发起式证券投资基金募集的文件；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2、《交银施罗德纯债债券型发起式证券投资基金基金合同》；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3、《交银施罗德纯债债券型发起式证券投资基金招募说明书》；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4、《交银施罗德纯债债券型发起式证券投资基金托管协议》；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5、关于募集交银施罗德纯债债券型发起式证券投资基金之法律意见书；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8、报告期内交银施罗德纯债债券型发起式证券投资基金在指定报刊上各项公告的原稿。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交银施罗德纯债债券型发起式证券投资基金2020年第1季度报告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