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proofErr w:type="gramStart"/>
      <w:r w:rsidRPr="0081286B">
        <w:rPr>
          <w:b/>
          <w:sz w:val="36"/>
          <w:szCs w:val="36"/>
        </w:rPr>
        <w:t>交银施罗</w:t>
      </w:r>
      <w:proofErr w:type="gramEnd"/>
      <w:r w:rsidRPr="0081286B">
        <w:rPr>
          <w:b/>
          <w:sz w:val="36"/>
          <w:szCs w:val="36"/>
        </w:rPr>
        <w:t>德</w:t>
      </w:r>
      <w:proofErr w:type="gramStart"/>
      <w:r w:rsidRPr="0081286B">
        <w:rPr>
          <w:b/>
          <w:sz w:val="36"/>
          <w:szCs w:val="36"/>
        </w:rPr>
        <w:t>裕坤纯债</w:t>
      </w:r>
      <w:proofErr w:type="gramEnd"/>
      <w:r w:rsidRPr="0081286B">
        <w:rPr>
          <w:b/>
          <w:sz w:val="36"/>
          <w:szCs w:val="36"/>
        </w:rPr>
        <w:t>一年定期开放债券型发起式证券投资基金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基金托管人：中国光大银行股份有限公司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D2E81" w:rsidRDefault="00F0591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D2E81" w:rsidRDefault="00F05916">
      <w:pPr>
        <w:spacing w:before="29" w:line="288" w:lineRule="auto"/>
        <w:ind w:firstLineChars="200" w:firstLine="480"/>
        <w:rPr>
          <w:color w:val="000000"/>
          <w:sz w:val="24"/>
          <w:szCs w:val="24"/>
        </w:rPr>
      </w:pPr>
      <w:r>
        <w:rPr>
          <w:color w:val="000000"/>
          <w:sz w:val="24"/>
          <w:szCs w:val="24"/>
        </w:rPr>
        <w:t>基金托管人中国光大银行股份有限公司根据本基金合同规定，于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D2E81" w:rsidRDefault="00F0591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D2E81" w:rsidRDefault="00F05916">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6D2E81" w:rsidRDefault="00F0591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银裕坤纯债</w:t>
            </w:r>
            <w:proofErr w:type="gramEnd"/>
            <w:r w:rsidRPr="00414345">
              <w:rPr>
                <w:color w:val="000000"/>
                <w:kern w:val="0"/>
                <w:sz w:val="24"/>
                <w:szCs w:val="24"/>
              </w:rPr>
              <w:t>一年定期开放债券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008352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008352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999,999,000.00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本基金在严格控制风险和保持资产流动性的基础上，通过积极主动的投资管理，力争持续稳定地实现超越业绩比较基准的投资回报。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本基金充分发挥基金管理人的研究优势，对宏观经济运行趋势、财政以及货币政策变化趋势</w:t>
            </w:r>
            <w:proofErr w:type="gramStart"/>
            <w:r w:rsidRPr="00414345">
              <w:rPr>
                <w:color w:val="000000"/>
                <w:kern w:val="0"/>
                <w:sz w:val="24"/>
                <w:szCs w:val="24"/>
              </w:rPr>
              <w:t>作出</w:t>
            </w:r>
            <w:proofErr w:type="gramEnd"/>
            <w:r w:rsidRPr="00414345">
              <w:rPr>
                <w:color w:val="000000"/>
                <w:kern w:val="0"/>
                <w:sz w:val="24"/>
                <w:szCs w:val="24"/>
              </w:rPr>
              <w:t>分析和判断，对未来市场利率趋势及市场信用环境变化</w:t>
            </w:r>
            <w:proofErr w:type="gramStart"/>
            <w:r w:rsidRPr="00414345">
              <w:rPr>
                <w:color w:val="000000"/>
                <w:kern w:val="0"/>
                <w:sz w:val="24"/>
                <w:szCs w:val="24"/>
              </w:rPr>
              <w:t>作出</w:t>
            </w:r>
            <w:proofErr w:type="gramEnd"/>
            <w:r w:rsidRPr="00414345">
              <w:rPr>
                <w:color w:val="000000"/>
                <w:kern w:val="0"/>
                <w:sz w:val="24"/>
                <w:szCs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w:t>
            </w:r>
            <w:proofErr w:type="gramStart"/>
            <w:r w:rsidRPr="00414345">
              <w:rPr>
                <w:color w:val="000000"/>
                <w:kern w:val="0"/>
                <w:sz w:val="24"/>
                <w:szCs w:val="24"/>
              </w:rPr>
              <w:t>债综合全价指数</w:t>
            </w:r>
            <w:proofErr w:type="gramEnd"/>
            <w:r w:rsidRPr="00414345">
              <w:rPr>
                <w:color w:val="000000"/>
                <w:kern w:val="0"/>
                <w:sz w:val="24"/>
                <w:szCs w:val="24"/>
              </w:rPr>
              <w:t>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本基金是一只债券型基金，其预期风险与预期收益高于货币市场基金，低于混合型基金和股票型基金。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中国光大银行股份有限公司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A2641" w:rsidRPr="00414345" w:rsidTr="00CA264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A2641" w:rsidRPr="00414345" w:rsidTr="00CA264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4,482,515.68</w:t>
            </w:r>
          </w:p>
        </w:tc>
      </w:tr>
      <w:tr w:rsidR="00CA2641" w:rsidRPr="00414345" w:rsidTr="00CA264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8,232,272.49</w:t>
            </w:r>
          </w:p>
        </w:tc>
      </w:tr>
      <w:tr w:rsidR="00CA2641" w:rsidRPr="00414345" w:rsidTr="00CA264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0.0082</w:t>
            </w:r>
          </w:p>
        </w:tc>
      </w:tr>
      <w:tr w:rsidR="00CA2641" w:rsidRPr="00414345" w:rsidTr="00CA264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1,008,292,927.50</w:t>
            </w:r>
          </w:p>
        </w:tc>
      </w:tr>
      <w:tr w:rsidR="00CA2641" w:rsidRPr="00414345" w:rsidTr="00CA264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1.0083</w:t>
            </w:r>
          </w:p>
        </w:tc>
      </w:tr>
    </w:tbl>
    <w:p w:rsidR="006D2E81" w:rsidRDefault="00F0591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D2E81">
        <w:trPr>
          <w:jc w:val="center"/>
        </w:trPr>
        <w:tc>
          <w:tcPr>
            <w:tcW w:w="1701" w:type="dxa"/>
            <w:vAlign w:val="center"/>
          </w:tcPr>
          <w:p w:rsidR="006D2E81" w:rsidRDefault="00F05916">
            <w:pPr>
              <w:jc w:val="left"/>
            </w:pPr>
            <w:r>
              <w:rPr>
                <w:color w:val="000000"/>
                <w:sz w:val="24"/>
                <w:szCs w:val="24"/>
              </w:rPr>
              <w:t>过去三个月</w:t>
            </w:r>
          </w:p>
        </w:tc>
        <w:tc>
          <w:tcPr>
            <w:tcW w:w="1045" w:type="dxa"/>
            <w:vAlign w:val="center"/>
          </w:tcPr>
          <w:p w:rsidR="006D2E81" w:rsidRDefault="00F05916">
            <w:pPr>
              <w:jc w:val="center"/>
            </w:pPr>
            <w:r>
              <w:rPr>
                <w:color w:val="000000"/>
                <w:sz w:val="24"/>
                <w:szCs w:val="24"/>
              </w:rPr>
              <w:t>0.82%</w:t>
            </w:r>
          </w:p>
        </w:tc>
        <w:tc>
          <w:tcPr>
            <w:tcW w:w="1344" w:type="dxa"/>
            <w:vAlign w:val="center"/>
          </w:tcPr>
          <w:p w:rsidR="006D2E81" w:rsidRDefault="00F05916">
            <w:pPr>
              <w:jc w:val="center"/>
            </w:pPr>
            <w:r>
              <w:rPr>
                <w:color w:val="000000"/>
                <w:sz w:val="24"/>
                <w:szCs w:val="24"/>
              </w:rPr>
              <w:t>0.04%</w:t>
            </w:r>
          </w:p>
        </w:tc>
        <w:tc>
          <w:tcPr>
            <w:tcW w:w="1194" w:type="dxa"/>
            <w:vAlign w:val="center"/>
          </w:tcPr>
          <w:p w:rsidR="006D2E81" w:rsidRDefault="00F05916">
            <w:pPr>
              <w:jc w:val="center"/>
            </w:pPr>
            <w:r>
              <w:rPr>
                <w:color w:val="000000"/>
                <w:sz w:val="24"/>
                <w:szCs w:val="24"/>
              </w:rPr>
              <w:t>1.85%</w:t>
            </w:r>
          </w:p>
        </w:tc>
        <w:tc>
          <w:tcPr>
            <w:tcW w:w="1492" w:type="dxa"/>
            <w:vAlign w:val="center"/>
          </w:tcPr>
          <w:p w:rsidR="006D2E81" w:rsidRDefault="00F05916">
            <w:pPr>
              <w:jc w:val="center"/>
            </w:pPr>
            <w:r>
              <w:rPr>
                <w:color w:val="000000"/>
                <w:sz w:val="24"/>
                <w:szCs w:val="24"/>
              </w:rPr>
              <w:t>0.10%</w:t>
            </w:r>
          </w:p>
        </w:tc>
        <w:tc>
          <w:tcPr>
            <w:tcW w:w="1194" w:type="dxa"/>
            <w:vAlign w:val="center"/>
          </w:tcPr>
          <w:p w:rsidR="006D2E81" w:rsidRDefault="00F05916">
            <w:pPr>
              <w:jc w:val="center"/>
            </w:pPr>
            <w:r>
              <w:rPr>
                <w:color w:val="000000"/>
                <w:sz w:val="24"/>
                <w:szCs w:val="24"/>
              </w:rPr>
              <w:t>-1.03%</w:t>
            </w:r>
          </w:p>
        </w:tc>
        <w:tc>
          <w:tcPr>
            <w:tcW w:w="898" w:type="dxa"/>
            <w:vAlign w:val="center"/>
          </w:tcPr>
          <w:p w:rsidR="006D2E81" w:rsidRDefault="00F05916">
            <w:pPr>
              <w:jc w:val="center"/>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w:t>
      </w:r>
      <w:proofErr w:type="gramStart"/>
      <w:r w:rsidRPr="00414345">
        <w:rPr>
          <w:color w:val="000000"/>
          <w:sz w:val="24"/>
          <w:szCs w:val="24"/>
        </w:rPr>
        <w:t>裕坤纯债</w:t>
      </w:r>
      <w:proofErr w:type="gramEnd"/>
      <w:r w:rsidRPr="00414345">
        <w:rPr>
          <w:color w:val="000000"/>
          <w:sz w:val="24"/>
          <w:szCs w:val="24"/>
        </w:rPr>
        <w:t>一年定期开放债券型发起式证券投资基金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26</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D2E81">
        <w:trPr>
          <w:jc w:val="center"/>
        </w:trPr>
        <w:tc>
          <w:tcPr>
            <w:tcW w:w="846" w:type="dxa"/>
            <w:vAlign w:val="center"/>
          </w:tcPr>
          <w:p w:rsidR="006D2E81" w:rsidRDefault="00F05916">
            <w:pPr>
              <w:jc w:val="center"/>
            </w:pPr>
            <w:proofErr w:type="gramStart"/>
            <w:r>
              <w:rPr>
                <w:color w:val="000000"/>
                <w:sz w:val="24"/>
                <w:szCs w:val="24"/>
              </w:rPr>
              <w:t>于海颖</w:t>
            </w:r>
            <w:proofErr w:type="gramEnd"/>
          </w:p>
        </w:tc>
        <w:tc>
          <w:tcPr>
            <w:tcW w:w="845" w:type="dxa"/>
            <w:vAlign w:val="center"/>
          </w:tcPr>
          <w:p w:rsidR="006D2E81" w:rsidRDefault="00F05916">
            <w:pPr>
              <w:jc w:val="center"/>
            </w:pPr>
            <w:r>
              <w:rPr>
                <w:color w:val="000000"/>
                <w:sz w:val="24"/>
                <w:szCs w:val="24"/>
              </w:rPr>
              <w:t>交银增利债券、交</w:t>
            </w:r>
            <w:proofErr w:type="gramStart"/>
            <w:r>
              <w:rPr>
                <w:color w:val="000000"/>
                <w:sz w:val="24"/>
                <w:szCs w:val="24"/>
              </w:rPr>
              <w:t>银纯债</w:t>
            </w:r>
            <w:proofErr w:type="gramEnd"/>
            <w:r>
              <w:rPr>
                <w:color w:val="000000"/>
                <w:sz w:val="24"/>
                <w:szCs w:val="24"/>
              </w:rPr>
              <w:t>债券发起、交银丰盈收益债券、交银丰晟收益债券、交银</w:t>
            </w:r>
            <w:proofErr w:type="gramStart"/>
            <w:r>
              <w:rPr>
                <w:color w:val="000000"/>
                <w:sz w:val="24"/>
                <w:szCs w:val="24"/>
              </w:rPr>
              <w:t>裕如纯债债券</w:t>
            </w:r>
            <w:proofErr w:type="gramEnd"/>
            <w:r>
              <w:rPr>
                <w:color w:val="000000"/>
                <w:sz w:val="24"/>
                <w:szCs w:val="24"/>
              </w:rPr>
              <w:t>、</w:t>
            </w:r>
            <w:proofErr w:type="gramStart"/>
            <w:r>
              <w:rPr>
                <w:color w:val="000000"/>
                <w:sz w:val="24"/>
                <w:szCs w:val="24"/>
              </w:rPr>
              <w:t>交银裕泰</w:t>
            </w:r>
            <w:proofErr w:type="gramEnd"/>
            <w:r>
              <w:rPr>
                <w:color w:val="000000"/>
                <w:sz w:val="24"/>
                <w:szCs w:val="24"/>
              </w:rPr>
              <w:t>两年定期开放债券、交</w:t>
            </w:r>
            <w:proofErr w:type="gramStart"/>
            <w:r>
              <w:rPr>
                <w:color w:val="000000"/>
                <w:sz w:val="24"/>
                <w:szCs w:val="24"/>
              </w:rPr>
              <w:t>银裕坤纯债</w:t>
            </w:r>
            <w:proofErr w:type="gramEnd"/>
            <w:r>
              <w:rPr>
                <w:color w:val="000000"/>
                <w:sz w:val="24"/>
                <w:szCs w:val="24"/>
              </w:rPr>
              <w:t>一年定期开放债券的基金经理，公司固定收益（公募）投资总监</w:t>
            </w:r>
          </w:p>
        </w:tc>
        <w:tc>
          <w:tcPr>
            <w:tcW w:w="1549" w:type="dxa"/>
            <w:vAlign w:val="center"/>
          </w:tcPr>
          <w:p w:rsidR="006D2E81" w:rsidRDefault="00F05916">
            <w:pPr>
              <w:jc w:val="center"/>
            </w:pPr>
            <w:r>
              <w:rPr>
                <w:color w:val="000000"/>
                <w:sz w:val="24"/>
                <w:szCs w:val="24"/>
              </w:rPr>
              <w:t>2019-12-26</w:t>
            </w:r>
          </w:p>
        </w:tc>
        <w:tc>
          <w:tcPr>
            <w:tcW w:w="1548" w:type="dxa"/>
            <w:vAlign w:val="center"/>
          </w:tcPr>
          <w:p w:rsidR="006D2E81" w:rsidRDefault="00F05916">
            <w:pPr>
              <w:jc w:val="center"/>
            </w:pPr>
            <w:r>
              <w:rPr>
                <w:color w:val="000000"/>
                <w:sz w:val="24"/>
                <w:szCs w:val="24"/>
              </w:rPr>
              <w:t>-</w:t>
            </w:r>
          </w:p>
        </w:tc>
        <w:tc>
          <w:tcPr>
            <w:tcW w:w="1407" w:type="dxa"/>
            <w:vAlign w:val="center"/>
          </w:tcPr>
          <w:p w:rsidR="006D2E81" w:rsidRDefault="00F05916">
            <w:pPr>
              <w:jc w:val="center"/>
            </w:pPr>
            <w:r>
              <w:rPr>
                <w:color w:val="000000"/>
                <w:sz w:val="24"/>
                <w:szCs w:val="24"/>
              </w:rPr>
              <w:t>14</w:t>
            </w:r>
            <w:r>
              <w:rPr>
                <w:color w:val="000000"/>
                <w:sz w:val="24"/>
                <w:szCs w:val="24"/>
              </w:rPr>
              <w:t>年</w:t>
            </w:r>
          </w:p>
        </w:tc>
        <w:tc>
          <w:tcPr>
            <w:tcW w:w="2673" w:type="dxa"/>
            <w:vAlign w:val="center"/>
          </w:tcPr>
          <w:p w:rsidR="006D2E81" w:rsidRDefault="00F05916">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szCs w:val="24"/>
              </w:rPr>
              <w:t>矿证券</w:t>
            </w:r>
            <w:proofErr w:type="gramEnd"/>
            <w:r>
              <w:rPr>
                <w:color w:val="000000"/>
                <w:sz w:val="24"/>
                <w:szCs w:val="24"/>
              </w:rPr>
              <w:t>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w:t>
            </w:r>
            <w:proofErr w:type="gramStart"/>
            <w:r>
              <w:rPr>
                <w:color w:val="000000"/>
                <w:sz w:val="24"/>
                <w:szCs w:val="24"/>
              </w:rPr>
              <w:t>信货</w:t>
            </w:r>
            <w:proofErr w:type="gramEnd"/>
            <w:r>
              <w:rPr>
                <w:color w:val="000000"/>
                <w:sz w:val="24"/>
                <w:szCs w:val="24"/>
              </w:rPr>
              <w:t>币市场</w:t>
            </w:r>
            <w:proofErr w:type="gramStart"/>
            <w:r>
              <w:rPr>
                <w:color w:val="000000"/>
                <w:sz w:val="24"/>
                <w:szCs w:val="24"/>
              </w:rPr>
              <w:t>基金基金</w:t>
            </w:r>
            <w:proofErr w:type="gramEnd"/>
            <w:r>
              <w:rPr>
                <w:color w:val="000000"/>
                <w:sz w:val="24"/>
                <w:szCs w:val="24"/>
              </w:rPr>
              <w:t>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proofErr w:type="gramStart"/>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w:t>
            </w:r>
            <w:proofErr w:type="gramEnd"/>
            <w:r>
              <w:rPr>
                <w:color w:val="000000"/>
                <w:sz w:val="24"/>
                <w:szCs w:val="24"/>
              </w:rPr>
              <w:t>保本混合型证券投资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w:t>
            </w:r>
            <w:proofErr w:type="gramEnd"/>
            <w:r>
              <w:rPr>
                <w:color w:val="000000"/>
                <w:sz w:val="24"/>
                <w:szCs w:val="24"/>
              </w:rPr>
              <w:t>货币市场证券投资</w:t>
            </w:r>
            <w:proofErr w:type="gramStart"/>
            <w:r>
              <w:rPr>
                <w:color w:val="000000"/>
                <w:sz w:val="24"/>
                <w:szCs w:val="24"/>
              </w:rPr>
              <w:t>基金基金</w:t>
            </w:r>
            <w:proofErr w:type="gramEnd"/>
            <w:r>
              <w:rPr>
                <w:color w:val="000000"/>
                <w:sz w:val="24"/>
                <w:szCs w:val="24"/>
              </w:rPr>
              <w:t>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w:t>
            </w:r>
            <w:proofErr w:type="gramStart"/>
            <w:r>
              <w:rPr>
                <w:color w:val="000000"/>
                <w:sz w:val="24"/>
                <w:szCs w:val="24"/>
              </w:rPr>
              <w:t>任银华纯债</w:t>
            </w:r>
            <w:proofErr w:type="gramEnd"/>
            <w:r>
              <w:rPr>
                <w:color w:val="000000"/>
                <w:sz w:val="24"/>
                <w:szCs w:val="24"/>
              </w:rPr>
              <w:t>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w:t>
            </w:r>
            <w:proofErr w:type="gramStart"/>
            <w:r>
              <w:rPr>
                <w:color w:val="000000"/>
                <w:sz w:val="24"/>
                <w:szCs w:val="24"/>
              </w:rPr>
              <w:t>任银华交易</w:t>
            </w:r>
            <w:proofErr w:type="gramEnd"/>
            <w:r>
              <w:rPr>
                <w:color w:val="000000"/>
                <w:sz w:val="24"/>
                <w:szCs w:val="24"/>
              </w:rPr>
              <w:t>型货币市场</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w:t>
            </w:r>
            <w:proofErr w:type="gramEnd"/>
            <w:r>
              <w:rPr>
                <w:color w:val="000000"/>
                <w:sz w:val="24"/>
                <w:szCs w:val="24"/>
              </w:rPr>
              <w:t>信用四季红债券型证券投资</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w:t>
            </w:r>
            <w:proofErr w:type="gramEnd"/>
            <w:r>
              <w:rPr>
                <w:color w:val="000000"/>
                <w:sz w:val="24"/>
                <w:szCs w:val="24"/>
              </w:rPr>
              <w:t>信用季季红债券型证券投资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w:t>
            </w:r>
            <w:proofErr w:type="gramEnd"/>
            <w:r>
              <w:rPr>
                <w:color w:val="000000"/>
                <w:sz w:val="24"/>
                <w:szCs w:val="24"/>
              </w:rPr>
              <w:t>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日担任交银施罗德丰硕收益债券型证券投资基金的基金经理。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2019</w:t>
            </w:r>
            <w:r>
              <w:rPr>
                <w:color w:val="000000"/>
                <w:sz w:val="24"/>
                <w:szCs w:val="24"/>
              </w:rPr>
              <w:t>年</w:t>
            </w:r>
            <w:r>
              <w:rPr>
                <w:color w:val="000000"/>
                <w:sz w:val="24"/>
                <w:szCs w:val="24"/>
              </w:rPr>
              <w:t>3</w:t>
            </w:r>
            <w:r>
              <w:rPr>
                <w:color w:val="000000"/>
                <w:sz w:val="24"/>
                <w:szCs w:val="24"/>
              </w:rPr>
              <w:t>月</w:t>
            </w:r>
            <w:r>
              <w:rPr>
                <w:color w:val="000000"/>
                <w:sz w:val="24"/>
                <w:szCs w:val="24"/>
              </w:rPr>
              <w:t>14</w:t>
            </w:r>
            <w:r>
              <w:rPr>
                <w:color w:val="000000"/>
                <w:sz w:val="24"/>
                <w:szCs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D2E81" w:rsidRDefault="00F0591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D2E81" w:rsidRDefault="00F0591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D2E81" w:rsidRDefault="00F0591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D2E81" w:rsidRDefault="00F05916">
      <w:pPr>
        <w:spacing w:before="29" w:line="288" w:lineRule="auto"/>
        <w:ind w:firstLineChars="200" w:firstLine="480"/>
        <w:rPr>
          <w:color w:val="000000"/>
          <w:sz w:val="24"/>
          <w:szCs w:val="24"/>
        </w:rPr>
      </w:pPr>
      <w:r>
        <w:rPr>
          <w:color w:val="000000"/>
          <w:sz w:val="24"/>
          <w:szCs w:val="24"/>
        </w:rPr>
        <w:t>2020</w:t>
      </w:r>
      <w:r>
        <w:rPr>
          <w:color w:val="000000"/>
          <w:sz w:val="24"/>
          <w:szCs w:val="24"/>
        </w:rPr>
        <w:t>年一季度债券收益率震荡下行，短端收益率下行幅度更大，收益率曲线呈现牛市陡峭化格局。一季度市场关注的焦点在于新冠疫情的发展，收益率下行的主要集中于国内疫情爆发和海外疫情扩散两个阶段。具体运行来看，一月初资金面宽松，央行向市场持续注入流动性，在经济企稳的背景下，债市受配置盘支撑走势仍偏强。一月下旬，冠状病毒疫情在国内爆发，春节期间全国防疫隔离措施升级，海外风险偏好也快速下降，股市、原油等明显下跌，避险资产债券、黄金上涨，春节后央行下调逆回购利率</w:t>
      </w:r>
      <w:r>
        <w:rPr>
          <w:color w:val="000000"/>
          <w:sz w:val="24"/>
          <w:szCs w:val="24"/>
        </w:rPr>
        <w:t>10bp</w:t>
      </w:r>
      <w:r>
        <w:rPr>
          <w:color w:val="000000"/>
          <w:sz w:val="24"/>
          <w:szCs w:val="24"/>
        </w:rPr>
        <w:t>，长</w:t>
      </w:r>
      <w:proofErr w:type="gramStart"/>
      <w:r>
        <w:rPr>
          <w:color w:val="000000"/>
          <w:sz w:val="24"/>
          <w:szCs w:val="24"/>
        </w:rPr>
        <w:t>端利率</w:t>
      </w:r>
      <w:proofErr w:type="gramEnd"/>
      <w:r>
        <w:rPr>
          <w:color w:val="000000"/>
          <w:sz w:val="24"/>
          <w:szCs w:val="24"/>
        </w:rPr>
        <w:t>大幅下行，悲观情绪快速释放，此后随着国内疫情防控显效，政策也开始加强企业复工，债市转向震荡。进入二月下旬，海外疫情加速扩散，三月初美联储紧急降息</w:t>
      </w:r>
      <w:r>
        <w:rPr>
          <w:color w:val="000000"/>
          <w:sz w:val="24"/>
          <w:szCs w:val="24"/>
        </w:rPr>
        <w:t>50bp</w:t>
      </w:r>
      <w:r>
        <w:rPr>
          <w:color w:val="000000"/>
          <w:sz w:val="24"/>
          <w:szCs w:val="24"/>
        </w:rPr>
        <w:t>后引发全球宽松预期，风险资产快速受到冲击，债券利率进一步向下突破。</w:t>
      </w:r>
      <w:r>
        <w:rPr>
          <w:color w:val="000000"/>
          <w:sz w:val="24"/>
          <w:szCs w:val="24"/>
        </w:rPr>
        <w:t>2020</w:t>
      </w:r>
      <w:r>
        <w:rPr>
          <w:color w:val="000000"/>
          <w:sz w:val="24"/>
          <w:szCs w:val="24"/>
        </w:rPr>
        <w:t>年</w:t>
      </w:r>
      <w:r>
        <w:rPr>
          <w:color w:val="000000"/>
          <w:sz w:val="24"/>
          <w:szCs w:val="24"/>
        </w:rPr>
        <w:t>3</w:t>
      </w:r>
      <w:r>
        <w:rPr>
          <w:color w:val="000000"/>
          <w:sz w:val="24"/>
          <w:szCs w:val="24"/>
        </w:rPr>
        <w:t>月</w:t>
      </w:r>
      <w:r>
        <w:rPr>
          <w:color w:val="000000"/>
          <w:sz w:val="24"/>
          <w:szCs w:val="24"/>
        </w:rPr>
        <w:t>9</w:t>
      </w:r>
      <w:r>
        <w:rPr>
          <w:color w:val="000000"/>
          <w:sz w:val="24"/>
          <w:szCs w:val="24"/>
        </w:rPr>
        <w:t>日起，海外流动性危机显现，全球美元流动性紧张情况下，外资抛压对中国债市带来阶段性的调整，收益率小幅上行。</w:t>
      </w:r>
      <w:r>
        <w:rPr>
          <w:color w:val="000000"/>
          <w:sz w:val="24"/>
          <w:szCs w:val="24"/>
        </w:rPr>
        <w:t>2020</w:t>
      </w:r>
      <w:r>
        <w:rPr>
          <w:color w:val="000000"/>
          <w:sz w:val="24"/>
          <w:szCs w:val="24"/>
        </w:rPr>
        <w:t>年</w:t>
      </w:r>
      <w:r>
        <w:rPr>
          <w:color w:val="000000"/>
          <w:sz w:val="24"/>
          <w:szCs w:val="24"/>
        </w:rPr>
        <w:t>3</w:t>
      </w:r>
      <w:r>
        <w:rPr>
          <w:color w:val="000000"/>
          <w:sz w:val="24"/>
          <w:szCs w:val="24"/>
        </w:rPr>
        <w:t>月</w:t>
      </w:r>
      <w:r>
        <w:rPr>
          <w:color w:val="000000"/>
          <w:sz w:val="24"/>
          <w:szCs w:val="24"/>
        </w:rPr>
        <w:t>16</w:t>
      </w:r>
      <w:r>
        <w:rPr>
          <w:color w:val="000000"/>
          <w:sz w:val="24"/>
          <w:szCs w:val="24"/>
        </w:rPr>
        <w:t>日美联储紧急降息</w:t>
      </w:r>
      <w:r>
        <w:rPr>
          <w:color w:val="000000"/>
          <w:sz w:val="24"/>
          <w:szCs w:val="24"/>
        </w:rPr>
        <w:t>100bp</w:t>
      </w:r>
      <w:r>
        <w:rPr>
          <w:color w:val="000000"/>
          <w:sz w:val="24"/>
          <w:szCs w:val="24"/>
        </w:rPr>
        <w:t>，随后密集推出流动性工具、开启无限量</w:t>
      </w:r>
      <w:r>
        <w:rPr>
          <w:color w:val="000000"/>
          <w:sz w:val="24"/>
          <w:szCs w:val="24"/>
        </w:rPr>
        <w:t>QE</w:t>
      </w:r>
      <w:r>
        <w:rPr>
          <w:color w:val="000000"/>
          <w:sz w:val="24"/>
          <w:szCs w:val="24"/>
        </w:rPr>
        <w:t>等，市场的流动性紧张形势得到缓解，国</w:t>
      </w:r>
      <w:proofErr w:type="gramStart"/>
      <w:r>
        <w:rPr>
          <w:color w:val="000000"/>
          <w:sz w:val="24"/>
          <w:szCs w:val="24"/>
        </w:rPr>
        <w:t>内债市</w:t>
      </w:r>
      <w:proofErr w:type="gramEnd"/>
      <w:r>
        <w:rPr>
          <w:color w:val="000000"/>
          <w:sz w:val="24"/>
          <w:szCs w:val="24"/>
        </w:rPr>
        <w:t>收益率在降息预期影响下重回下行通道。</w:t>
      </w:r>
    </w:p>
    <w:p w:rsidR="006D2E81" w:rsidRDefault="00F05916">
      <w:pPr>
        <w:spacing w:before="29" w:line="288" w:lineRule="auto"/>
        <w:ind w:firstLineChars="200" w:firstLine="480"/>
        <w:rPr>
          <w:color w:val="000000"/>
          <w:sz w:val="24"/>
          <w:szCs w:val="24"/>
        </w:rPr>
      </w:pPr>
      <w:r>
        <w:rPr>
          <w:color w:val="000000"/>
          <w:sz w:val="24"/>
          <w:szCs w:val="24"/>
        </w:rPr>
        <w:t>报告期内，组合在建仓期间，综合考虑利率债和信用债的利差水平，以利率债为主要配置标的，同时精选部分信用债提升组合收益，基于对宏观经济和政策的判断，适当拉长组合久期，由于资金相对宽松，组合保持一定的杠杆操作，并通过精选信用</w:t>
      </w:r>
      <w:proofErr w:type="gramStart"/>
      <w:r>
        <w:rPr>
          <w:color w:val="000000"/>
          <w:sz w:val="24"/>
          <w:szCs w:val="24"/>
        </w:rPr>
        <w:t>个券</w:t>
      </w:r>
      <w:proofErr w:type="gramEnd"/>
      <w:r>
        <w:rPr>
          <w:color w:val="000000"/>
          <w:sz w:val="24"/>
          <w:szCs w:val="24"/>
        </w:rPr>
        <w:t>，增强组合收益。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国内方面随着疫情的控制逐步开始复工复产，但海外疫情的蔓延尚未看到拐点。国内一季度经济大幅下行已经确认，而目前看，进出口形势不乐观，居民消费意愿减弱，投资对经济的拉动也受到居民和企业资产负债表的约束，二季度经济压力仍然较大。逆周期调节的政策仍将继续加码，货币政策保持宽松，引导利率下行，财政政策更加积极。债券收益率预计将维持区间震荡格局，在流动性宽松和收益率低位的背景下，重点关注债券票息策略。操作策略方面，我们关注信用债的票息机会，进一步挖掘信用债投资机会，并维持中等的杠杆水平，以期提升组合整体静态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1,364,632,000.00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93.29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1,364,632,000.00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93.29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81,892,716.80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16,253,101.06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1,462,777,817.86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637225" w:rsidRPr="00637225" w:rsidRDefault="00637225" w:rsidP="00637225">
      <w:pPr>
        <w:autoSpaceDE w:val="0"/>
        <w:autoSpaceDN w:val="0"/>
        <w:adjustRightInd w:val="0"/>
        <w:spacing w:before="29" w:line="288" w:lineRule="auto"/>
        <w:jc w:val="left"/>
        <w:rPr>
          <w:rFonts w:hint="eastAsia"/>
          <w:b/>
          <w:bCs/>
          <w:color w:val="000000"/>
          <w:kern w:val="0"/>
          <w:sz w:val="24"/>
          <w:szCs w:val="24"/>
        </w:rPr>
      </w:pPr>
      <w:r w:rsidRPr="00637225">
        <w:rPr>
          <w:rFonts w:hint="eastAsia"/>
          <w:b/>
          <w:bCs/>
          <w:color w:val="000000"/>
          <w:kern w:val="0"/>
          <w:sz w:val="24"/>
          <w:szCs w:val="24"/>
        </w:rPr>
        <w:t xml:space="preserve">5.2 </w:t>
      </w:r>
      <w:r w:rsidRPr="00637225">
        <w:rPr>
          <w:rFonts w:hint="eastAsia"/>
          <w:b/>
          <w:bCs/>
          <w:color w:val="000000"/>
          <w:kern w:val="0"/>
          <w:sz w:val="24"/>
          <w:szCs w:val="24"/>
        </w:rPr>
        <w:t>报告期末按行业分类的股票投资组合</w:t>
      </w:r>
    </w:p>
    <w:p w:rsidR="00637225" w:rsidRPr="00637225" w:rsidRDefault="00637225" w:rsidP="00637225">
      <w:pPr>
        <w:autoSpaceDE w:val="0"/>
        <w:autoSpaceDN w:val="0"/>
        <w:adjustRightInd w:val="0"/>
        <w:spacing w:before="29" w:line="288" w:lineRule="auto"/>
        <w:jc w:val="left"/>
        <w:rPr>
          <w:rFonts w:hint="eastAsia"/>
          <w:b/>
          <w:bCs/>
          <w:color w:val="000000"/>
          <w:kern w:val="0"/>
          <w:sz w:val="24"/>
          <w:szCs w:val="24"/>
        </w:rPr>
      </w:pPr>
      <w:r w:rsidRPr="00637225">
        <w:rPr>
          <w:rFonts w:hint="eastAsia"/>
          <w:b/>
          <w:bCs/>
          <w:color w:val="000000"/>
          <w:kern w:val="0"/>
          <w:sz w:val="24"/>
          <w:szCs w:val="24"/>
        </w:rPr>
        <w:t>5.2.1</w:t>
      </w:r>
      <w:r w:rsidRPr="00637225">
        <w:rPr>
          <w:rFonts w:hint="eastAsia"/>
          <w:b/>
          <w:bCs/>
          <w:color w:val="000000"/>
          <w:kern w:val="0"/>
          <w:sz w:val="24"/>
          <w:szCs w:val="24"/>
        </w:rPr>
        <w:t>报告期末按行业分类的境内股票投资组合</w:t>
      </w:r>
    </w:p>
    <w:p w:rsidR="00637225" w:rsidRPr="00637225" w:rsidRDefault="00637225" w:rsidP="00637225">
      <w:pPr>
        <w:autoSpaceDE w:val="0"/>
        <w:autoSpaceDN w:val="0"/>
        <w:adjustRightInd w:val="0"/>
        <w:spacing w:before="29" w:line="288" w:lineRule="auto"/>
        <w:jc w:val="left"/>
        <w:rPr>
          <w:rFonts w:hint="eastAsia"/>
          <w:bCs/>
          <w:color w:val="000000"/>
          <w:kern w:val="0"/>
          <w:sz w:val="24"/>
          <w:szCs w:val="24"/>
        </w:rPr>
      </w:pPr>
      <w:r w:rsidRPr="00637225">
        <w:rPr>
          <w:rFonts w:hint="eastAsia"/>
          <w:bCs/>
          <w:color w:val="000000"/>
          <w:kern w:val="0"/>
          <w:sz w:val="24"/>
          <w:szCs w:val="24"/>
        </w:rPr>
        <w:t>本基金本报告期末未持有股票。</w:t>
      </w:r>
    </w:p>
    <w:p w:rsidR="00637225" w:rsidRPr="00637225" w:rsidRDefault="00637225" w:rsidP="00637225">
      <w:pPr>
        <w:autoSpaceDE w:val="0"/>
        <w:autoSpaceDN w:val="0"/>
        <w:adjustRightInd w:val="0"/>
        <w:spacing w:before="29" w:line="288" w:lineRule="auto"/>
        <w:jc w:val="left"/>
        <w:rPr>
          <w:rFonts w:hint="eastAsia"/>
          <w:b/>
          <w:bCs/>
          <w:color w:val="000000"/>
          <w:kern w:val="0"/>
          <w:sz w:val="24"/>
          <w:szCs w:val="24"/>
        </w:rPr>
      </w:pPr>
      <w:r w:rsidRPr="00637225">
        <w:rPr>
          <w:rFonts w:hint="eastAsia"/>
          <w:b/>
          <w:bCs/>
          <w:color w:val="000000"/>
          <w:kern w:val="0"/>
          <w:sz w:val="24"/>
          <w:szCs w:val="24"/>
        </w:rPr>
        <w:t>5.2.2</w:t>
      </w:r>
      <w:r w:rsidRPr="00637225">
        <w:rPr>
          <w:rFonts w:hint="eastAsia"/>
          <w:b/>
          <w:bCs/>
          <w:color w:val="000000"/>
          <w:kern w:val="0"/>
          <w:sz w:val="24"/>
          <w:szCs w:val="24"/>
        </w:rPr>
        <w:t>报告期末按行业分类的港股通投资股票投资组合</w:t>
      </w:r>
    </w:p>
    <w:p w:rsidR="00CA2641" w:rsidRPr="00637225" w:rsidRDefault="00637225" w:rsidP="00637225">
      <w:pPr>
        <w:autoSpaceDE w:val="0"/>
        <w:autoSpaceDN w:val="0"/>
        <w:adjustRightInd w:val="0"/>
        <w:spacing w:before="29" w:line="288" w:lineRule="auto"/>
        <w:jc w:val="left"/>
        <w:rPr>
          <w:bCs/>
          <w:color w:val="000000"/>
          <w:kern w:val="0"/>
          <w:sz w:val="24"/>
          <w:szCs w:val="24"/>
        </w:rPr>
      </w:pPr>
      <w:r w:rsidRPr="00637225">
        <w:rPr>
          <w:rFonts w:hint="eastAsia"/>
          <w:bCs/>
          <w:color w:val="000000"/>
          <w:kern w:val="0"/>
          <w:sz w:val="24"/>
          <w:szCs w:val="24"/>
        </w:rPr>
        <w:t>本基金本报告期末未持有通过港股通投资的股票。</w:t>
      </w:r>
    </w:p>
    <w:p w:rsidR="00637225" w:rsidRPr="00CA2641" w:rsidRDefault="00637225" w:rsidP="00637225">
      <w:pPr>
        <w:autoSpaceDE w:val="0"/>
        <w:autoSpaceDN w:val="0"/>
        <w:adjustRightInd w:val="0"/>
        <w:spacing w:before="29" w:line="288" w:lineRule="auto"/>
        <w:jc w:val="left"/>
        <w:rPr>
          <w:rFonts w:hint="eastAsia"/>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972,152,000.00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96.42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972,152,000.00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96.42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161,707,000.00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16.04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50,005,000.00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4.96</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180,768,000.00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17.93</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1,364,632,000.00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135.34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D2E81">
        <w:trPr>
          <w:jc w:val="center"/>
        </w:trPr>
        <w:tc>
          <w:tcPr>
            <w:tcW w:w="850" w:type="dxa"/>
            <w:vAlign w:val="center"/>
          </w:tcPr>
          <w:p w:rsidR="006D2E81" w:rsidRDefault="00F05916">
            <w:pPr>
              <w:jc w:val="center"/>
            </w:pPr>
            <w:r>
              <w:rPr>
                <w:color w:val="000000"/>
                <w:sz w:val="24"/>
                <w:szCs w:val="24"/>
              </w:rPr>
              <w:t>1</w:t>
            </w:r>
          </w:p>
        </w:tc>
        <w:tc>
          <w:tcPr>
            <w:tcW w:w="1475" w:type="dxa"/>
            <w:vAlign w:val="center"/>
          </w:tcPr>
          <w:p w:rsidR="006D2E81" w:rsidRDefault="00F05916">
            <w:pPr>
              <w:jc w:val="center"/>
            </w:pPr>
            <w:r>
              <w:rPr>
                <w:color w:val="000000"/>
                <w:sz w:val="24"/>
                <w:szCs w:val="24"/>
              </w:rPr>
              <w:t>190202</w:t>
            </w:r>
          </w:p>
        </w:tc>
        <w:tc>
          <w:tcPr>
            <w:tcW w:w="1769" w:type="dxa"/>
            <w:vAlign w:val="center"/>
          </w:tcPr>
          <w:p w:rsidR="006D2E81" w:rsidRDefault="00F05916">
            <w:pPr>
              <w:jc w:val="center"/>
            </w:pPr>
            <w:r>
              <w:rPr>
                <w:color w:val="000000"/>
                <w:sz w:val="24"/>
                <w:szCs w:val="24"/>
              </w:rPr>
              <w:t>19</w:t>
            </w:r>
            <w:r>
              <w:rPr>
                <w:color w:val="000000"/>
                <w:sz w:val="24"/>
                <w:szCs w:val="24"/>
              </w:rPr>
              <w:t>国开</w:t>
            </w:r>
            <w:r>
              <w:rPr>
                <w:color w:val="000000"/>
                <w:sz w:val="24"/>
                <w:szCs w:val="24"/>
              </w:rPr>
              <w:t>02</w:t>
            </w:r>
          </w:p>
        </w:tc>
        <w:tc>
          <w:tcPr>
            <w:tcW w:w="1387" w:type="dxa"/>
            <w:vAlign w:val="center"/>
          </w:tcPr>
          <w:p w:rsidR="006D2E81" w:rsidRDefault="00F05916">
            <w:pPr>
              <w:jc w:val="right"/>
            </w:pPr>
            <w:r>
              <w:rPr>
                <w:color w:val="000000"/>
                <w:sz w:val="24"/>
                <w:szCs w:val="24"/>
              </w:rPr>
              <w:t>5,600,000</w:t>
            </w:r>
          </w:p>
        </w:tc>
        <w:tc>
          <w:tcPr>
            <w:tcW w:w="2150" w:type="dxa"/>
            <w:vAlign w:val="center"/>
          </w:tcPr>
          <w:p w:rsidR="006D2E81" w:rsidRDefault="00F05916">
            <w:pPr>
              <w:jc w:val="right"/>
            </w:pPr>
            <w:r>
              <w:rPr>
                <w:color w:val="000000"/>
                <w:sz w:val="24"/>
                <w:szCs w:val="24"/>
              </w:rPr>
              <w:t>568,512,000.00</w:t>
            </w:r>
          </w:p>
        </w:tc>
        <w:tc>
          <w:tcPr>
            <w:tcW w:w="1237" w:type="dxa"/>
            <w:vAlign w:val="center"/>
          </w:tcPr>
          <w:p w:rsidR="006D2E81" w:rsidRDefault="00F05916">
            <w:pPr>
              <w:jc w:val="right"/>
            </w:pPr>
            <w:r>
              <w:rPr>
                <w:color w:val="000000"/>
                <w:sz w:val="24"/>
                <w:szCs w:val="24"/>
              </w:rPr>
              <w:t>56.38</w:t>
            </w:r>
          </w:p>
        </w:tc>
      </w:tr>
      <w:tr w:rsidR="006D2E81">
        <w:trPr>
          <w:jc w:val="center"/>
        </w:trPr>
        <w:tc>
          <w:tcPr>
            <w:tcW w:w="850" w:type="dxa"/>
            <w:vAlign w:val="center"/>
          </w:tcPr>
          <w:p w:rsidR="006D2E81" w:rsidRDefault="00F05916">
            <w:pPr>
              <w:jc w:val="center"/>
            </w:pPr>
            <w:r>
              <w:rPr>
                <w:color w:val="000000"/>
                <w:sz w:val="24"/>
                <w:szCs w:val="24"/>
              </w:rPr>
              <w:t>2</w:t>
            </w:r>
          </w:p>
        </w:tc>
        <w:tc>
          <w:tcPr>
            <w:tcW w:w="1475" w:type="dxa"/>
            <w:vAlign w:val="center"/>
          </w:tcPr>
          <w:p w:rsidR="006D2E81" w:rsidRDefault="00F05916">
            <w:pPr>
              <w:jc w:val="center"/>
            </w:pPr>
            <w:r>
              <w:rPr>
                <w:color w:val="000000"/>
                <w:sz w:val="24"/>
                <w:szCs w:val="24"/>
              </w:rPr>
              <w:t>190207</w:t>
            </w:r>
          </w:p>
        </w:tc>
        <w:tc>
          <w:tcPr>
            <w:tcW w:w="1769" w:type="dxa"/>
            <w:vAlign w:val="center"/>
          </w:tcPr>
          <w:p w:rsidR="006D2E81" w:rsidRDefault="00F05916">
            <w:pPr>
              <w:jc w:val="center"/>
            </w:pPr>
            <w:r>
              <w:rPr>
                <w:color w:val="000000"/>
                <w:sz w:val="24"/>
                <w:szCs w:val="24"/>
              </w:rPr>
              <w:t>19</w:t>
            </w:r>
            <w:r>
              <w:rPr>
                <w:color w:val="000000"/>
                <w:sz w:val="24"/>
                <w:szCs w:val="24"/>
              </w:rPr>
              <w:t>国开</w:t>
            </w:r>
            <w:r>
              <w:rPr>
                <w:color w:val="000000"/>
                <w:sz w:val="24"/>
                <w:szCs w:val="24"/>
              </w:rPr>
              <w:t>07</w:t>
            </w:r>
          </w:p>
        </w:tc>
        <w:tc>
          <w:tcPr>
            <w:tcW w:w="1387" w:type="dxa"/>
            <w:vAlign w:val="center"/>
          </w:tcPr>
          <w:p w:rsidR="006D2E81" w:rsidRDefault="00F05916">
            <w:pPr>
              <w:jc w:val="right"/>
            </w:pPr>
            <w:r>
              <w:rPr>
                <w:color w:val="000000"/>
                <w:sz w:val="24"/>
                <w:szCs w:val="24"/>
              </w:rPr>
              <w:t>3,700,000</w:t>
            </w:r>
          </w:p>
        </w:tc>
        <w:tc>
          <w:tcPr>
            <w:tcW w:w="2150" w:type="dxa"/>
            <w:vAlign w:val="center"/>
          </w:tcPr>
          <w:p w:rsidR="006D2E81" w:rsidRDefault="00F05916">
            <w:pPr>
              <w:jc w:val="right"/>
            </w:pPr>
            <w:r>
              <w:rPr>
                <w:color w:val="000000"/>
                <w:sz w:val="24"/>
                <w:szCs w:val="24"/>
              </w:rPr>
              <w:t>377,548,000.00</w:t>
            </w:r>
          </w:p>
        </w:tc>
        <w:tc>
          <w:tcPr>
            <w:tcW w:w="1237" w:type="dxa"/>
            <w:vAlign w:val="center"/>
          </w:tcPr>
          <w:p w:rsidR="006D2E81" w:rsidRDefault="00F05916">
            <w:pPr>
              <w:jc w:val="right"/>
            </w:pPr>
            <w:r>
              <w:rPr>
                <w:color w:val="000000"/>
                <w:sz w:val="24"/>
                <w:szCs w:val="24"/>
              </w:rPr>
              <w:t>37.44</w:t>
            </w:r>
          </w:p>
        </w:tc>
      </w:tr>
      <w:tr w:rsidR="006D2E81">
        <w:trPr>
          <w:jc w:val="center"/>
        </w:trPr>
        <w:tc>
          <w:tcPr>
            <w:tcW w:w="850" w:type="dxa"/>
            <w:vAlign w:val="center"/>
          </w:tcPr>
          <w:p w:rsidR="006D2E81" w:rsidRDefault="00F05916">
            <w:pPr>
              <w:jc w:val="center"/>
            </w:pPr>
            <w:r>
              <w:rPr>
                <w:color w:val="000000"/>
                <w:sz w:val="24"/>
                <w:szCs w:val="24"/>
              </w:rPr>
              <w:t>3</w:t>
            </w:r>
          </w:p>
        </w:tc>
        <w:tc>
          <w:tcPr>
            <w:tcW w:w="1475" w:type="dxa"/>
            <w:vAlign w:val="center"/>
          </w:tcPr>
          <w:p w:rsidR="006D2E81" w:rsidRDefault="00F05916">
            <w:pPr>
              <w:jc w:val="center"/>
            </w:pPr>
            <w:r>
              <w:rPr>
                <w:color w:val="000000"/>
                <w:sz w:val="24"/>
                <w:szCs w:val="24"/>
              </w:rPr>
              <w:t>102000524</w:t>
            </w:r>
          </w:p>
        </w:tc>
        <w:tc>
          <w:tcPr>
            <w:tcW w:w="1769" w:type="dxa"/>
            <w:vAlign w:val="center"/>
          </w:tcPr>
          <w:p w:rsidR="006D2E81" w:rsidRDefault="00F05916">
            <w:pPr>
              <w:jc w:val="center"/>
            </w:pPr>
            <w:r>
              <w:rPr>
                <w:color w:val="000000"/>
                <w:sz w:val="24"/>
                <w:szCs w:val="24"/>
              </w:rPr>
              <w:t>20</w:t>
            </w:r>
            <w:r>
              <w:rPr>
                <w:color w:val="000000"/>
                <w:sz w:val="24"/>
                <w:szCs w:val="24"/>
              </w:rPr>
              <w:t>申通</w:t>
            </w:r>
            <w:r>
              <w:rPr>
                <w:color w:val="000000"/>
                <w:sz w:val="24"/>
                <w:szCs w:val="24"/>
              </w:rPr>
              <w:t>MTN001</w:t>
            </w:r>
          </w:p>
        </w:tc>
        <w:tc>
          <w:tcPr>
            <w:tcW w:w="1387" w:type="dxa"/>
            <w:vAlign w:val="center"/>
          </w:tcPr>
          <w:p w:rsidR="006D2E81" w:rsidRDefault="00F05916">
            <w:pPr>
              <w:jc w:val="right"/>
            </w:pPr>
            <w:r>
              <w:rPr>
                <w:color w:val="000000"/>
                <w:sz w:val="24"/>
                <w:szCs w:val="24"/>
              </w:rPr>
              <w:t>1,000,000</w:t>
            </w:r>
          </w:p>
        </w:tc>
        <w:tc>
          <w:tcPr>
            <w:tcW w:w="2150" w:type="dxa"/>
            <w:vAlign w:val="center"/>
          </w:tcPr>
          <w:p w:rsidR="006D2E81" w:rsidRDefault="00F05916">
            <w:pPr>
              <w:jc w:val="right"/>
            </w:pPr>
            <w:r>
              <w:rPr>
                <w:color w:val="000000"/>
                <w:sz w:val="24"/>
                <w:szCs w:val="24"/>
              </w:rPr>
              <w:t>99,750,000.00</w:t>
            </w:r>
          </w:p>
        </w:tc>
        <w:tc>
          <w:tcPr>
            <w:tcW w:w="1237" w:type="dxa"/>
            <w:vAlign w:val="center"/>
          </w:tcPr>
          <w:p w:rsidR="006D2E81" w:rsidRDefault="00F05916">
            <w:pPr>
              <w:jc w:val="right"/>
            </w:pPr>
            <w:r>
              <w:rPr>
                <w:color w:val="000000"/>
                <w:sz w:val="24"/>
                <w:szCs w:val="24"/>
              </w:rPr>
              <w:t>9.89</w:t>
            </w:r>
          </w:p>
        </w:tc>
      </w:tr>
      <w:tr w:rsidR="006D2E81">
        <w:trPr>
          <w:jc w:val="center"/>
        </w:trPr>
        <w:tc>
          <w:tcPr>
            <w:tcW w:w="850" w:type="dxa"/>
            <w:vAlign w:val="center"/>
          </w:tcPr>
          <w:p w:rsidR="006D2E81" w:rsidRDefault="00F05916">
            <w:pPr>
              <w:jc w:val="center"/>
            </w:pPr>
            <w:r>
              <w:rPr>
                <w:color w:val="000000"/>
                <w:sz w:val="24"/>
                <w:szCs w:val="24"/>
              </w:rPr>
              <w:t>4</w:t>
            </w:r>
          </w:p>
        </w:tc>
        <w:tc>
          <w:tcPr>
            <w:tcW w:w="1475" w:type="dxa"/>
            <w:vAlign w:val="center"/>
          </w:tcPr>
          <w:p w:rsidR="006D2E81" w:rsidRDefault="00F05916">
            <w:pPr>
              <w:jc w:val="center"/>
            </w:pPr>
            <w:r>
              <w:rPr>
                <w:color w:val="000000"/>
                <w:sz w:val="24"/>
                <w:szCs w:val="24"/>
              </w:rPr>
              <w:t>163246</w:t>
            </w:r>
          </w:p>
        </w:tc>
        <w:tc>
          <w:tcPr>
            <w:tcW w:w="1769" w:type="dxa"/>
            <w:vAlign w:val="center"/>
          </w:tcPr>
          <w:p w:rsidR="006D2E81" w:rsidRDefault="00F05916">
            <w:pPr>
              <w:jc w:val="center"/>
            </w:pPr>
            <w:r>
              <w:rPr>
                <w:color w:val="000000"/>
                <w:sz w:val="24"/>
                <w:szCs w:val="24"/>
              </w:rPr>
              <w:t>20</w:t>
            </w:r>
            <w:r>
              <w:rPr>
                <w:color w:val="000000"/>
                <w:sz w:val="24"/>
                <w:szCs w:val="24"/>
              </w:rPr>
              <w:t>上国投</w:t>
            </w:r>
          </w:p>
        </w:tc>
        <w:tc>
          <w:tcPr>
            <w:tcW w:w="1387" w:type="dxa"/>
            <w:vAlign w:val="center"/>
          </w:tcPr>
          <w:p w:rsidR="006D2E81" w:rsidRDefault="00F05916">
            <w:pPr>
              <w:jc w:val="right"/>
            </w:pPr>
            <w:r>
              <w:rPr>
                <w:color w:val="000000"/>
                <w:sz w:val="24"/>
                <w:szCs w:val="24"/>
              </w:rPr>
              <w:t>800,000</w:t>
            </w:r>
          </w:p>
        </w:tc>
        <w:tc>
          <w:tcPr>
            <w:tcW w:w="2150" w:type="dxa"/>
            <w:vAlign w:val="center"/>
          </w:tcPr>
          <w:p w:rsidR="006D2E81" w:rsidRDefault="00F05916">
            <w:pPr>
              <w:jc w:val="right"/>
            </w:pPr>
            <w:r>
              <w:rPr>
                <w:color w:val="000000"/>
                <w:sz w:val="24"/>
                <w:szCs w:val="24"/>
              </w:rPr>
              <w:t>80,056,000.00</w:t>
            </w:r>
          </w:p>
        </w:tc>
        <w:tc>
          <w:tcPr>
            <w:tcW w:w="1237" w:type="dxa"/>
            <w:vAlign w:val="center"/>
          </w:tcPr>
          <w:p w:rsidR="006D2E81" w:rsidRDefault="00F05916">
            <w:pPr>
              <w:jc w:val="right"/>
            </w:pPr>
            <w:r>
              <w:rPr>
                <w:color w:val="000000"/>
                <w:sz w:val="24"/>
                <w:szCs w:val="24"/>
              </w:rPr>
              <w:t>7.94</w:t>
            </w:r>
          </w:p>
        </w:tc>
      </w:tr>
      <w:tr w:rsidR="006D2E81">
        <w:trPr>
          <w:jc w:val="center"/>
        </w:trPr>
        <w:tc>
          <w:tcPr>
            <w:tcW w:w="850" w:type="dxa"/>
            <w:vAlign w:val="center"/>
          </w:tcPr>
          <w:p w:rsidR="006D2E81" w:rsidRDefault="00F05916">
            <w:pPr>
              <w:jc w:val="center"/>
            </w:pPr>
            <w:r>
              <w:rPr>
                <w:color w:val="000000"/>
                <w:sz w:val="24"/>
                <w:szCs w:val="24"/>
              </w:rPr>
              <w:t>5</w:t>
            </w:r>
          </w:p>
        </w:tc>
        <w:tc>
          <w:tcPr>
            <w:tcW w:w="1475" w:type="dxa"/>
            <w:vAlign w:val="center"/>
          </w:tcPr>
          <w:p w:rsidR="006D2E81" w:rsidRDefault="00F05916">
            <w:pPr>
              <w:jc w:val="center"/>
            </w:pPr>
            <w:r>
              <w:rPr>
                <w:color w:val="000000"/>
                <w:sz w:val="24"/>
                <w:szCs w:val="24"/>
              </w:rPr>
              <w:t>101653044</w:t>
            </w:r>
          </w:p>
        </w:tc>
        <w:tc>
          <w:tcPr>
            <w:tcW w:w="1769" w:type="dxa"/>
            <w:vAlign w:val="center"/>
          </w:tcPr>
          <w:p w:rsidR="006D2E81" w:rsidRDefault="00F05916">
            <w:pPr>
              <w:jc w:val="center"/>
            </w:pPr>
            <w:r>
              <w:rPr>
                <w:color w:val="000000"/>
                <w:sz w:val="24"/>
                <w:szCs w:val="24"/>
              </w:rPr>
              <w:t>16</w:t>
            </w:r>
            <w:proofErr w:type="gramStart"/>
            <w:r>
              <w:rPr>
                <w:color w:val="000000"/>
                <w:sz w:val="24"/>
                <w:szCs w:val="24"/>
              </w:rPr>
              <w:t>商飞</w:t>
            </w:r>
            <w:proofErr w:type="gramEnd"/>
            <w:r>
              <w:rPr>
                <w:color w:val="000000"/>
                <w:sz w:val="24"/>
                <w:szCs w:val="24"/>
              </w:rPr>
              <w:t>MTN001</w:t>
            </w:r>
          </w:p>
        </w:tc>
        <w:tc>
          <w:tcPr>
            <w:tcW w:w="1387" w:type="dxa"/>
            <w:vAlign w:val="center"/>
          </w:tcPr>
          <w:p w:rsidR="006D2E81" w:rsidRDefault="00F05916">
            <w:pPr>
              <w:jc w:val="right"/>
            </w:pPr>
            <w:r>
              <w:rPr>
                <w:color w:val="000000"/>
                <w:sz w:val="24"/>
                <w:szCs w:val="24"/>
              </w:rPr>
              <w:t>700,000</w:t>
            </w:r>
          </w:p>
        </w:tc>
        <w:tc>
          <w:tcPr>
            <w:tcW w:w="2150" w:type="dxa"/>
            <w:vAlign w:val="center"/>
          </w:tcPr>
          <w:p w:rsidR="006D2E81" w:rsidRDefault="00F05916">
            <w:pPr>
              <w:jc w:val="right"/>
            </w:pPr>
            <w:r>
              <w:rPr>
                <w:color w:val="000000"/>
                <w:sz w:val="24"/>
                <w:szCs w:val="24"/>
              </w:rPr>
              <w:t>70,854,000.00</w:t>
            </w:r>
          </w:p>
        </w:tc>
        <w:tc>
          <w:tcPr>
            <w:tcW w:w="1237" w:type="dxa"/>
            <w:vAlign w:val="center"/>
          </w:tcPr>
          <w:p w:rsidR="006D2E81" w:rsidRDefault="00F05916">
            <w:pPr>
              <w:jc w:val="right"/>
            </w:pPr>
            <w:r>
              <w:rPr>
                <w:color w:val="000000"/>
                <w:sz w:val="24"/>
                <w:szCs w:val="24"/>
              </w:rPr>
              <w:t>7.03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16,253,101.06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16,253,101.06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F4387B" w:rsidRPr="00414345" w:rsidRDefault="00F4387B" w:rsidP="00C15CAC">
      <w:pPr>
        <w:autoSpaceDE w:val="0"/>
        <w:autoSpaceDN w:val="0"/>
        <w:adjustRightInd w:val="0"/>
        <w:spacing w:before="29" w:line="288" w:lineRule="auto"/>
        <w:jc w:val="left"/>
        <w:rPr>
          <w:rFonts w:hint="eastAsia"/>
          <w:color w:val="000000"/>
          <w:sz w:val="24"/>
          <w:szCs w:val="24"/>
        </w:rPr>
      </w:pPr>
    </w:p>
    <w:p w:rsidR="00F4387B" w:rsidRPr="00F4387B" w:rsidRDefault="00F4387B" w:rsidP="00F4387B">
      <w:pPr>
        <w:autoSpaceDE w:val="0"/>
        <w:autoSpaceDN w:val="0"/>
        <w:adjustRightInd w:val="0"/>
        <w:spacing w:before="29" w:line="288" w:lineRule="auto"/>
        <w:jc w:val="left"/>
        <w:rPr>
          <w:rFonts w:hint="eastAsia"/>
          <w:b/>
          <w:bCs/>
          <w:color w:val="000000"/>
          <w:kern w:val="0"/>
          <w:sz w:val="24"/>
          <w:szCs w:val="24"/>
        </w:rPr>
      </w:pPr>
      <w:r w:rsidRPr="00F4387B">
        <w:rPr>
          <w:rFonts w:hint="eastAsia"/>
          <w:b/>
          <w:bCs/>
          <w:color w:val="000000"/>
          <w:kern w:val="0"/>
          <w:sz w:val="24"/>
          <w:szCs w:val="24"/>
        </w:rPr>
        <w:t>5.11.5</w:t>
      </w:r>
      <w:proofErr w:type="gramStart"/>
      <w:r w:rsidRPr="00F4387B">
        <w:rPr>
          <w:rFonts w:hint="eastAsia"/>
          <w:b/>
          <w:bCs/>
          <w:color w:val="000000"/>
          <w:kern w:val="0"/>
          <w:sz w:val="24"/>
          <w:szCs w:val="24"/>
        </w:rPr>
        <w:t>期末前</w:t>
      </w:r>
      <w:proofErr w:type="gramEnd"/>
      <w:r w:rsidRPr="00F4387B">
        <w:rPr>
          <w:rFonts w:hint="eastAsia"/>
          <w:b/>
          <w:bCs/>
          <w:color w:val="000000"/>
          <w:kern w:val="0"/>
          <w:sz w:val="24"/>
          <w:szCs w:val="24"/>
        </w:rPr>
        <w:t>十名股票中存在流通受限情况的说明</w:t>
      </w:r>
    </w:p>
    <w:p w:rsidR="00F4387B" w:rsidRDefault="00F4387B" w:rsidP="00F4387B">
      <w:pPr>
        <w:autoSpaceDE w:val="0"/>
        <w:autoSpaceDN w:val="0"/>
        <w:adjustRightInd w:val="0"/>
        <w:spacing w:before="29" w:line="288" w:lineRule="auto"/>
        <w:jc w:val="left"/>
        <w:rPr>
          <w:bCs/>
          <w:color w:val="000000"/>
          <w:kern w:val="0"/>
          <w:sz w:val="24"/>
          <w:szCs w:val="24"/>
        </w:rPr>
      </w:pPr>
      <w:r w:rsidRPr="00F4387B">
        <w:rPr>
          <w:rFonts w:hint="eastAsia"/>
          <w:bCs/>
          <w:color w:val="000000"/>
          <w:kern w:val="0"/>
          <w:sz w:val="24"/>
          <w:szCs w:val="24"/>
        </w:rPr>
        <w:t>本基金本报告期末未持有股票。</w:t>
      </w:r>
    </w:p>
    <w:p w:rsidR="00F4387B" w:rsidRPr="00F4387B" w:rsidRDefault="00F4387B" w:rsidP="00F4387B">
      <w:pPr>
        <w:autoSpaceDE w:val="0"/>
        <w:autoSpaceDN w:val="0"/>
        <w:adjustRightInd w:val="0"/>
        <w:spacing w:before="29" w:line="288" w:lineRule="auto"/>
        <w:jc w:val="left"/>
        <w:rPr>
          <w:rFonts w:hint="eastAsia"/>
          <w:color w:val="000000"/>
          <w:sz w:val="24"/>
          <w:szCs w:val="24"/>
        </w:rPr>
      </w:pPr>
      <w:bookmarkStart w:id="0" w:name="_GoBack"/>
      <w:bookmarkEnd w:id="0"/>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999,999,000.00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999,999,000.00</w:t>
            </w:r>
          </w:p>
        </w:tc>
      </w:tr>
    </w:tbl>
    <w:p w:rsidR="006D2E81" w:rsidRDefault="00F0591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w:t>
            </w:r>
            <w:proofErr w:type="gramStart"/>
            <w:r w:rsidRPr="00ED2620">
              <w:rPr>
                <w:color w:val="000000"/>
              </w:rPr>
              <w:t>初管理</w:t>
            </w:r>
            <w:proofErr w:type="gramEnd"/>
            <w:r w:rsidRPr="00ED2620">
              <w:rPr>
                <w:color w:val="000000"/>
              </w:rPr>
              <w:t>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10,000,000.00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10,000,000.00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1.00</w:t>
            </w:r>
          </w:p>
        </w:tc>
      </w:tr>
    </w:tbl>
    <w:p w:rsidR="006D2E81" w:rsidRDefault="00F0591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D21FFF" w:rsidRPr="00414345" w:rsidRDefault="00D21FFF"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423B9" w:rsidRPr="00414345">
        <w:rPr>
          <w:color w:val="000000"/>
          <w:kern w:val="0"/>
          <w:sz w:val="24"/>
          <w:szCs w:val="24"/>
        </w:rPr>
        <w:t>8</w:t>
      </w:r>
      <w:r w:rsidR="00834E74">
        <w:rPr>
          <w:color w:val="000000"/>
          <w:kern w:val="0"/>
          <w:sz w:val="24"/>
          <w:szCs w:val="24"/>
        </w:rPr>
        <w:t xml:space="preserve">  </w:t>
      </w:r>
      <w:r w:rsidR="003307FE" w:rsidRPr="00414345">
        <w:rPr>
          <w:color w:val="000000"/>
          <w:kern w:val="0"/>
          <w:sz w:val="24"/>
          <w:szCs w:val="24"/>
        </w:rPr>
        <w:t>报告期末</w:t>
      </w:r>
      <w:r w:rsidRPr="00414345">
        <w:rPr>
          <w:color w:val="000000"/>
          <w:kern w:val="0"/>
          <w:sz w:val="24"/>
          <w:szCs w:val="24"/>
        </w:rPr>
        <w:t>发起</w:t>
      </w:r>
      <w:proofErr w:type="gramStart"/>
      <w:r w:rsidRPr="00414345">
        <w:rPr>
          <w:color w:val="000000"/>
          <w:kern w:val="0"/>
          <w:sz w:val="24"/>
          <w:szCs w:val="24"/>
        </w:rPr>
        <w:t>式基金</w:t>
      </w:r>
      <w:proofErr w:type="gramEnd"/>
      <w:r w:rsidRPr="00414345">
        <w:rPr>
          <w:color w:val="000000"/>
          <w:kern w:val="0"/>
          <w:sz w:val="24"/>
          <w:szCs w:val="24"/>
        </w:rPr>
        <w:t>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2387"/>
        <w:gridCol w:w="1156"/>
        <w:gridCol w:w="1312"/>
        <w:gridCol w:w="1064"/>
        <w:gridCol w:w="1456"/>
        <w:gridCol w:w="1493"/>
      </w:tblGrid>
      <w:tr w:rsidR="00D21FFF" w:rsidRPr="00414345" w:rsidTr="00AB4DB6">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发起份额承诺持有期限</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w:t>
            </w:r>
            <w:proofErr w:type="gramStart"/>
            <w:r w:rsidRPr="00414345">
              <w:rPr>
                <w:color w:val="000000"/>
                <w:sz w:val="24"/>
                <w:szCs w:val="24"/>
              </w:rPr>
              <w:t>固有资金</w:t>
            </w:r>
            <w:proofErr w:type="gramEnd"/>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10,000,000.00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不少于三年</w:t>
            </w:r>
          </w:p>
        </w:tc>
      </w:tr>
      <w:tr w:rsidR="00D21FFF" w:rsidRPr="00414345" w:rsidTr="00AB4DB6">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基金管理</w:t>
            </w:r>
            <w:proofErr w:type="gramStart"/>
            <w:r w:rsidRPr="00414345">
              <w:rPr>
                <w:color w:val="000000"/>
                <w:sz w:val="24"/>
                <w:szCs w:val="24"/>
              </w:rPr>
              <w:t>人股东</w:t>
            </w:r>
            <w:proofErr w:type="gramEnd"/>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10,000,000.00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bl>
    <w:p w:rsidR="005B09FA" w:rsidRPr="00414345" w:rsidRDefault="005B09FA" w:rsidP="00C15CAC">
      <w:pPr>
        <w:autoSpaceDE w:val="0"/>
        <w:autoSpaceDN w:val="0"/>
        <w:adjustRightInd w:val="0"/>
        <w:spacing w:before="29" w:line="288" w:lineRule="auto"/>
        <w:jc w:val="left"/>
        <w:rPr>
          <w:color w:val="000000"/>
          <w:sz w:val="24"/>
          <w:szCs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6D2E81">
        <w:tc>
          <w:tcPr>
            <w:tcW w:w="993" w:type="dxa"/>
            <w:vMerge w:val="restart"/>
          </w:tcPr>
          <w:p w:rsidR="006D2E81" w:rsidRDefault="006D2E81"/>
          <w:p w:rsidR="006D2E81" w:rsidRDefault="00F05916">
            <w:r>
              <w:rPr>
                <w:rFonts w:ascii="宋体" w:hAnsi="宋体" w:hint="eastAsia"/>
                <w:bCs/>
                <w:color w:val="000000"/>
                <w:kern w:val="0"/>
              </w:rPr>
              <w:t>机构</w:t>
            </w:r>
          </w:p>
        </w:tc>
        <w:tc>
          <w:tcPr>
            <w:tcW w:w="992" w:type="dxa"/>
            <w:vAlign w:val="center"/>
          </w:tcPr>
          <w:p w:rsidR="006D2E81" w:rsidRDefault="00F05916">
            <w:pPr>
              <w:jc w:val="center"/>
            </w:pPr>
            <w:r>
              <w:rPr>
                <w:rFonts w:ascii="宋体" w:hAnsi="宋体"/>
                <w:color w:val="000000"/>
                <w:kern w:val="0"/>
              </w:rPr>
              <w:t>1</w:t>
            </w:r>
          </w:p>
        </w:tc>
        <w:tc>
          <w:tcPr>
            <w:tcW w:w="1843" w:type="dxa"/>
            <w:vAlign w:val="center"/>
          </w:tcPr>
          <w:p w:rsidR="006D2E81" w:rsidRDefault="00F05916">
            <w:pPr>
              <w:jc w:val="center"/>
            </w:pPr>
            <w:r>
              <w:rPr>
                <w:rFonts w:ascii="宋体" w:hAnsi="宋体"/>
                <w:color w:val="000000"/>
                <w:kern w:val="0"/>
              </w:rPr>
              <w:t>2020/1/1-2020/3/31</w:t>
            </w:r>
          </w:p>
        </w:tc>
        <w:tc>
          <w:tcPr>
            <w:tcW w:w="851" w:type="dxa"/>
            <w:vAlign w:val="center"/>
          </w:tcPr>
          <w:p w:rsidR="006D2E81" w:rsidRDefault="00F05916">
            <w:pPr>
              <w:jc w:val="center"/>
            </w:pPr>
            <w:r>
              <w:rPr>
                <w:rFonts w:ascii="宋体" w:hAnsi="宋体"/>
                <w:color w:val="000000"/>
                <w:kern w:val="0"/>
              </w:rPr>
              <w:t>989,999,000.00</w:t>
            </w:r>
          </w:p>
        </w:tc>
        <w:tc>
          <w:tcPr>
            <w:tcW w:w="850" w:type="dxa"/>
            <w:vAlign w:val="center"/>
          </w:tcPr>
          <w:p w:rsidR="006D2E81" w:rsidRDefault="00F05916">
            <w:pPr>
              <w:jc w:val="center"/>
            </w:pPr>
            <w:r>
              <w:rPr>
                <w:rFonts w:ascii="宋体" w:hAnsi="宋体"/>
                <w:color w:val="000000"/>
                <w:kern w:val="0"/>
              </w:rPr>
              <w:t>-</w:t>
            </w:r>
          </w:p>
        </w:tc>
        <w:tc>
          <w:tcPr>
            <w:tcW w:w="1134" w:type="dxa"/>
            <w:vAlign w:val="center"/>
          </w:tcPr>
          <w:p w:rsidR="006D2E81" w:rsidRDefault="00F05916">
            <w:pPr>
              <w:jc w:val="center"/>
            </w:pPr>
            <w:r>
              <w:rPr>
                <w:rFonts w:ascii="宋体" w:hAnsi="宋体"/>
                <w:color w:val="000000"/>
                <w:kern w:val="0"/>
              </w:rPr>
              <w:t>-</w:t>
            </w:r>
          </w:p>
        </w:tc>
        <w:tc>
          <w:tcPr>
            <w:tcW w:w="1419" w:type="dxa"/>
            <w:vAlign w:val="center"/>
          </w:tcPr>
          <w:p w:rsidR="006D2E81" w:rsidRDefault="00F05916">
            <w:pPr>
              <w:jc w:val="center"/>
            </w:pPr>
            <w:r>
              <w:rPr>
                <w:rFonts w:ascii="宋体" w:hAnsi="宋体"/>
                <w:color w:val="000000"/>
                <w:kern w:val="0"/>
              </w:rPr>
              <w:t>989,999,000.00</w:t>
            </w:r>
          </w:p>
        </w:tc>
        <w:tc>
          <w:tcPr>
            <w:tcW w:w="1130" w:type="dxa"/>
            <w:vAlign w:val="center"/>
          </w:tcPr>
          <w:p w:rsidR="006D2E81" w:rsidRDefault="00F05916">
            <w:pPr>
              <w:jc w:val="center"/>
            </w:pPr>
            <w:r>
              <w:rPr>
                <w:rFonts w:ascii="宋体" w:hAnsi="宋体"/>
                <w:color w:val="000000"/>
                <w:kern w:val="0"/>
              </w:rPr>
              <w:t>99.00%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D2E81" w:rsidRDefault="00F0591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w:t>
      </w:r>
      <w:proofErr w:type="gramStart"/>
      <w:r>
        <w:rPr>
          <w:color w:val="000000"/>
          <w:sz w:val="24"/>
          <w:szCs w:val="24"/>
        </w:rPr>
        <w:t>裕坤纯债</w:t>
      </w:r>
      <w:proofErr w:type="gramEnd"/>
      <w:r>
        <w:rPr>
          <w:color w:val="000000"/>
          <w:sz w:val="24"/>
          <w:szCs w:val="24"/>
        </w:rPr>
        <w:t>一年定期开放债券型发起式证券投资基金募集注册的文件；</w:t>
      </w:r>
      <w:r>
        <w:rPr>
          <w:color w:val="000000"/>
          <w:sz w:val="24"/>
          <w:szCs w:val="24"/>
        </w:rPr>
        <w:t xml:space="preserve"> </w:t>
      </w:r>
    </w:p>
    <w:p w:rsidR="006D2E81" w:rsidRDefault="00F0591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、《交银施罗德裕坤纯债一年定期开放债券型发起式证券投资基金基金合同》；</w:t>
      </w:r>
      <w:r>
        <w:rPr>
          <w:color w:val="000000"/>
          <w:sz w:val="24"/>
          <w:szCs w:val="24"/>
        </w:rPr>
        <w:t xml:space="preserve"> </w:t>
      </w:r>
    </w:p>
    <w:p w:rsidR="006D2E81" w:rsidRDefault="00F0591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、《交银施罗德裕坤纯债一年定期开放债券型发起式证券投资基金招募说明书》；</w:t>
      </w:r>
      <w:r>
        <w:rPr>
          <w:color w:val="000000"/>
          <w:sz w:val="24"/>
          <w:szCs w:val="24"/>
        </w:rPr>
        <w:t xml:space="preserve"> </w:t>
      </w:r>
    </w:p>
    <w:p w:rsidR="006D2E81" w:rsidRDefault="00F0591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、《交银施罗德裕坤纯债一年定期开放债券型发起式证券投资基金托管协议》；</w:t>
      </w:r>
      <w:r>
        <w:rPr>
          <w:color w:val="000000"/>
          <w:sz w:val="24"/>
          <w:szCs w:val="24"/>
        </w:rPr>
        <w:t xml:space="preserve"> </w:t>
      </w:r>
    </w:p>
    <w:p w:rsidR="006D2E81" w:rsidRDefault="00F05916">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w:t>
      </w:r>
      <w:proofErr w:type="gramStart"/>
      <w:r>
        <w:rPr>
          <w:color w:val="000000"/>
          <w:sz w:val="24"/>
          <w:szCs w:val="24"/>
        </w:rPr>
        <w:t>裕坤纯债</w:t>
      </w:r>
      <w:proofErr w:type="gramEnd"/>
      <w:r>
        <w:rPr>
          <w:color w:val="000000"/>
          <w:sz w:val="24"/>
          <w:szCs w:val="24"/>
        </w:rPr>
        <w:t>一年定期开放债券型发起式证券投资基金的法律意见书；</w:t>
      </w:r>
      <w:r>
        <w:rPr>
          <w:color w:val="000000"/>
          <w:sz w:val="24"/>
          <w:szCs w:val="24"/>
        </w:rPr>
        <w:t xml:space="preserve"> </w:t>
      </w:r>
    </w:p>
    <w:p w:rsidR="006D2E81" w:rsidRDefault="00F0591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D2E81" w:rsidRDefault="00F0591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w:t>
      </w:r>
      <w:proofErr w:type="gramStart"/>
      <w:r w:rsidRPr="00414345">
        <w:rPr>
          <w:color w:val="000000"/>
          <w:sz w:val="24"/>
          <w:szCs w:val="24"/>
        </w:rPr>
        <w:t>裕坤纯债</w:t>
      </w:r>
      <w:proofErr w:type="gramEnd"/>
      <w:r w:rsidRPr="00414345">
        <w:rPr>
          <w:color w:val="000000"/>
          <w:sz w:val="24"/>
          <w:szCs w:val="24"/>
        </w:rPr>
        <w:t>一年定期开放债券型发起式证券投资基金在指定报刊上各项公告的原稿。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D2E81" w:rsidRDefault="00F0591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916" w:rsidRDefault="00F05916" w:rsidP="00876D65">
      <w:r>
        <w:separator/>
      </w:r>
    </w:p>
  </w:endnote>
  <w:endnote w:type="continuationSeparator" w:id="0">
    <w:p w:rsidR="00F05916" w:rsidRDefault="00F0591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F4387B">
      <w:rPr>
        <w:noProof/>
        <w:kern w:val="0"/>
        <w:szCs w:val="21"/>
      </w:rPr>
      <w:t>13</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F4387B">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916" w:rsidRDefault="00F05916" w:rsidP="00876D65">
      <w:r>
        <w:separator/>
      </w:r>
    </w:p>
  </w:footnote>
  <w:footnote w:type="continuationSeparator" w:id="0">
    <w:p w:rsidR="00F05916" w:rsidRDefault="00F0591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w:t>
    </w:r>
    <w:proofErr w:type="gramStart"/>
    <w:r w:rsidRPr="003E676C">
      <w:rPr>
        <w:sz w:val="24"/>
        <w:szCs w:val="24"/>
      </w:rPr>
      <w:t>裕坤纯债</w:t>
    </w:r>
    <w:proofErr w:type="gramEnd"/>
    <w:r w:rsidRPr="003E676C">
      <w:rPr>
        <w:sz w:val="24"/>
        <w:szCs w:val="24"/>
      </w:rPr>
      <w:t>一年定期开放债券型发起式证券投资基金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225"/>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E81"/>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2641"/>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05916"/>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387B"/>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10FB4-D510-43BE-8B26-ECD04258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13</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603</cp:revision>
  <dcterms:created xsi:type="dcterms:W3CDTF">2012-10-16T06:07:00Z</dcterms:created>
  <dcterms:modified xsi:type="dcterms:W3CDTF">2020-04-20T05:50:00Z</dcterms:modified>
</cp:coreProperties>
</file>