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1,273,834,996.10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121,407,827.43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33,037,776.92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2,084,827,076.93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2.50%</w:t>
            </w:r>
          </w:p>
        </w:tc>
        <w:tc>
          <w:tcPr>
            <w:vAlign w:val="center"/>
          </w:tcPr>
          <w:p>
            <w:pPr>
              <w:jc w:val="center"/>
            </w:pPr>
            <w:r>
              <w:rPr>
                <w:color w:val="000000"/>
                <w:sz w:val="24"/>
                <w:szCs w:val="24"/>
              </w:rPr>
              <w:t>1.68%</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7.40%</w:t>
            </w:r>
          </w:p>
        </w:tc>
        <w:tc>
          <w:tcPr>
            <w:vAlign w:val="center"/>
          </w:tcPr>
          <w:p>
            <w:pPr>
              <w:jc w:val="center"/>
            </w:pPr>
            <w:r>
              <w:rPr>
                <w:color w:val="000000"/>
                <w:sz w:val="24"/>
                <w:szCs w:val="24"/>
              </w:rPr>
              <w:t>0.53%</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交银主题优选混合、交银国企改革灵活配置混合、交银瑞思混合的基金经理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受新冠肺炎疫情加剧的影响，经济出现显著回落，海外疫情的扩散所带来全球短期衰退趋势愈演愈烈。为了对冲投资、消费、出口等全方位的需求下滑，同时确保疫情可控，中央结合财政手段和货币政策出台了大量针对性的扶持和托底措施。我们认为政策在未来一段时间将维持偏宽松格局。尽管受到疫情短期的剧烈冲击，但中期来看不改市场运行趋势，预计目前市场仍处于底部区域，下行风险不大，在流动性偏松的大环境下，市场有望在二季度探明底部，下半年有望延续结构性行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报告期内，本基金整体维持中性仓位，行业配置主要集中在金融地产、先进制造、食品农业以及计算机传媒等行业，整体小幅跑赢业绩比较基准。展望下阶段，我们认为如果新冠疫情在全球得到有效控制，同时通胀压力减缓，那么无需对市场过度悲观，基本面“深坑”后投资机会将逐渐显现，市场估值可能企稳。伴随科创板及创业板中更多优质资产登陆资本市场，上市企业的分化会加大，拥有较好现金流以及商业壁垒的企业仍是我们看好的主要方向。而伴随贸易战、新冠疫情等外部不利因素，我们认为更应聚焦于和内需相关，不受外需影响的领域和上市企业。未来我们将继续关注受益于流动性宽松的金融地产，受益于进口替代的高端制造等领域，受益于技术升级的计算机、传媒、通信等行业，以及食品、医药等必须消费品。</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1,645,390,093.05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1,645,390,093.05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90,354,000.00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90,354,000.00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389,377,885.17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5,694,909.62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2,130,816,887.84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111,817,766.76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799,638,760.53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56,769,671.49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36,040,700.50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4,903,198.51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38,804,399.00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158,493,160.04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113,212,662.00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188,527,118.00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70,259,000.44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17,552.98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49,049,926.00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17,856,176.80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1,645,390,093.05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78.92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6,753,900</w:t>
            </w:r>
          </w:p>
        </w:tc>
        <w:tc>
          <w:tcPr>
            <w:vAlign w:val="center"/>
          </w:tcPr>
          <w:p>
            <w:pPr>
              <w:jc w:val="right"/>
            </w:pPr>
            <w:r>
              <w:rPr>
                <w:color w:val="000000"/>
                <w:sz w:val="24"/>
                <w:szCs w:val="24"/>
              </w:rPr>
              <w:t>95,162,451.00</w:t>
            </w:r>
          </w:p>
        </w:tc>
        <w:tc>
          <w:tcPr>
            <w:vAlign w:val="center"/>
          </w:tcPr>
          <w:p>
            <w:pPr>
              <w:jc w:val="right"/>
            </w:pPr>
            <w:r>
              <w:rPr>
                <w:color w:val="000000"/>
                <w:sz w:val="24"/>
                <w:szCs w:val="24"/>
              </w:rPr>
              <w:t>4.56</w:t>
            </w:r>
          </w:p>
        </w:tc>
      </w:tr>
      <w:tr>
        <w:tc>
          <w:tcPr>
            <w:vAlign w:val="center"/>
          </w:tcPr>
          <w:p>
            <w:pPr>
              <w:jc w:val="center"/>
            </w:pPr>
            <w:r>
              <w:rPr>
                <w:color w:val="000000"/>
                <w:sz w:val="24"/>
                <w:szCs w:val="24"/>
              </w:rPr>
              <w:t>2</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1,911,347</w:t>
            </w:r>
          </w:p>
        </w:tc>
        <w:tc>
          <w:tcPr>
            <w:vAlign w:val="center"/>
          </w:tcPr>
          <w:p>
            <w:pPr>
              <w:jc w:val="right"/>
            </w:pPr>
            <w:r>
              <w:rPr>
                <w:color w:val="000000"/>
                <w:sz w:val="24"/>
                <w:szCs w:val="24"/>
              </w:rPr>
              <w:t>70,719,839.00</w:t>
            </w:r>
          </w:p>
        </w:tc>
        <w:tc>
          <w:tcPr>
            <w:vAlign w:val="center"/>
          </w:tcPr>
          <w:p>
            <w:pPr>
              <w:jc w:val="right"/>
            </w:pPr>
            <w:r>
              <w:rPr>
                <w:color w:val="000000"/>
                <w:sz w:val="24"/>
                <w:szCs w:val="24"/>
              </w:rPr>
              <w:t>3.39</w:t>
            </w:r>
          </w:p>
        </w:tc>
      </w:tr>
      <w:tr>
        <w:tc>
          <w:tcPr>
            <w:vAlign w:val="center"/>
          </w:tcPr>
          <w:p>
            <w:pPr>
              <w:jc w:val="center"/>
            </w:pPr>
            <w:r>
              <w:rPr>
                <w:color w:val="000000"/>
                <w:sz w:val="24"/>
                <w:szCs w:val="24"/>
              </w:rPr>
              <w:t>3</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3,700,023</w:t>
            </w:r>
          </w:p>
        </w:tc>
        <w:tc>
          <w:tcPr>
            <w:vAlign w:val="center"/>
          </w:tcPr>
          <w:p>
            <w:pPr>
              <w:jc w:val="right"/>
            </w:pPr>
            <w:r>
              <w:rPr>
                <w:color w:val="000000"/>
                <w:sz w:val="24"/>
                <w:szCs w:val="24"/>
              </w:rPr>
              <w:t>67,044,416.76</w:t>
            </w:r>
          </w:p>
        </w:tc>
        <w:tc>
          <w:tcPr>
            <w:vAlign w:val="center"/>
          </w:tcPr>
          <w:p>
            <w:pPr>
              <w:jc w:val="right"/>
            </w:pPr>
            <w:r>
              <w:rPr>
                <w:color w:val="000000"/>
                <w:sz w:val="24"/>
                <w:szCs w:val="24"/>
              </w:rPr>
              <w:t>3.22</w:t>
            </w:r>
          </w:p>
        </w:tc>
      </w:tr>
      <w:tr>
        <w:tc>
          <w:tcPr>
            <w:vAlign w:val="center"/>
          </w:tcPr>
          <w:p>
            <w:pPr>
              <w:jc w:val="center"/>
            </w:pPr>
            <w:r>
              <w:rPr>
                <w:color w:val="000000"/>
                <w:sz w:val="24"/>
                <w:szCs w:val="24"/>
              </w:rPr>
              <w:t>4</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4,013,000</w:t>
            </w:r>
          </w:p>
        </w:tc>
        <w:tc>
          <w:tcPr>
            <w:vAlign w:val="center"/>
          </w:tcPr>
          <w:p>
            <w:pPr>
              <w:jc w:val="right"/>
            </w:pPr>
            <w:r>
              <w:rPr>
                <w:color w:val="000000"/>
                <w:sz w:val="24"/>
                <w:szCs w:val="24"/>
              </w:rPr>
              <w:t>63,846,830.00</w:t>
            </w:r>
          </w:p>
        </w:tc>
        <w:tc>
          <w:tcPr>
            <w:vAlign w:val="center"/>
          </w:tcPr>
          <w:p>
            <w:pPr>
              <w:jc w:val="right"/>
            </w:pPr>
            <w:r>
              <w:rPr>
                <w:color w:val="000000"/>
                <w:sz w:val="24"/>
                <w:szCs w:val="24"/>
              </w:rPr>
              <w:t>3.06</w:t>
            </w:r>
          </w:p>
        </w:tc>
      </w:tr>
      <w:tr>
        <w:tc>
          <w:tcPr>
            <w:vAlign w:val="center"/>
          </w:tcPr>
          <w:p>
            <w:pPr>
              <w:jc w:val="center"/>
            </w:pPr>
            <w:r>
              <w:rPr>
                <w:color w:val="000000"/>
                <w:sz w:val="24"/>
                <w:szCs w:val="24"/>
              </w:rPr>
              <w:t>5</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1,175,284</w:t>
            </w:r>
          </w:p>
        </w:tc>
        <w:tc>
          <w:tcPr>
            <w:vAlign w:val="center"/>
          </w:tcPr>
          <w:p>
            <w:pPr>
              <w:jc w:val="right"/>
            </w:pPr>
            <w:r>
              <w:rPr>
                <w:color w:val="000000"/>
                <w:sz w:val="24"/>
                <w:szCs w:val="24"/>
              </w:rPr>
              <w:t>60,820,947.00</w:t>
            </w:r>
          </w:p>
        </w:tc>
        <w:tc>
          <w:tcPr>
            <w:vAlign w:val="center"/>
          </w:tcPr>
          <w:p>
            <w:pPr>
              <w:jc w:val="right"/>
            </w:pPr>
            <w:r>
              <w:rPr>
                <w:color w:val="000000"/>
                <w:sz w:val="24"/>
                <w:szCs w:val="24"/>
              </w:rPr>
              <w:t>2.92</w:t>
            </w:r>
          </w:p>
        </w:tc>
      </w:tr>
      <w:tr>
        <w:tc>
          <w:tcPr>
            <w:vAlign w:val="center"/>
          </w:tcPr>
          <w:p>
            <w:pPr>
              <w:jc w:val="center"/>
            </w:pPr>
            <w:r>
              <w:rPr>
                <w:color w:val="000000"/>
                <w:sz w:val="24"/>
                <w:szCs w:val="24"/>
              </w:rPr>
              <w:t>6</w:t>
            </w:r>
          </w:p>
        </w:tc>
        <w:tc>
          <w:tcPr>
            <w:vAlign w:val="center"/>
          </w:tcPr>
          <w:p>
            <w:pPr>
              <w:jc w:val="center"/>
            </w:pPr>
            <w:r>
              <w:rPr>
                <w:color w:val="000000"/>
                <w:sz w:val="24"/>
                <w:szCs w:val="24"/>
              </w:rPr>
              <w:t>000656</w:t>
            </w:r>
          </w:p>
        </w:tc>
        <w:tc>
          <w:tcPr>
            <w:vAlign w:val="center"/>
          </w:tcPr>
          <w:p>
            <w:pPr>
              <w:jc w:val="center"/>
            </w:pPr>
            <w:r>
              <w:rPr>
                <w:color w:val="000000"/>
                <w:sz w:val="24"/>
                <w:szCs w:val="24"/>
              </w:rPr>
              <w:t>金科股份</w:t>
            </w:r>
          </w:p>
        </w:tc>
        <w:tc>
          <w:tcPr>
            <w:vAlign w:val="center"/>
          </w:tcPr>
          <w:p>
            <w:pPr>
              <w:jc w:val="right"/>
            </w:pPr>
            <w:r>
              <w:rPr>
                <w:color w:val="000000"/>
                <w:sz w:val="24"/>
                <w:szCs w:val="24"/>
              </w:rPr>
              <w:t>6,617,200</w:t>
            </w:r>
          </w:p>
        </w:tc>
        <w:tc>
          <w:tcPr>
            <w:vAlign w:val="center"/>
          </w:tcPr>
          <w:p>
            <w:pPr>
              <w:jc w:val="right"/>
            </w:pPr>
            <w:r>
              <w:rPr>
                <w:color w:val="000000"/>
                <w:sz w:val="24"/>
                <w:szCs w:val="24"/>
              </w:rPr>
              <w:t>52,672,912.00</w:t>
            </w:r>
          </w:p>
        </w:tc>
        <w:tc>
          <w:tcPr>
            <w:vAlign w:val="center"/>
          </w:tcPr>
          <w:p>
            <w:pPr>
              <w:jc w:val="right"/>
            </w:pPr>
            <w:r>
              <w:rPr>
                <w:color w:val="000000"/>
                <w:sz w:val="24"/>
                <w:szCs w:val="24"/>
              </w:rPr>
              <w:t>2.53</w:t>
            </w:r>
          </w:p>
        </w:tc>
      </w:tr>
      <w:tr>
        <w:tc>
          <w:tcPr>
            <w:vAlign w:val="center"/>
          </w:tcPr>
          <w:p>
            <w:pPr>
              <w:jc w:val="center"/>
            </w:pPr>
            <w:r>
              <w:rPr>
                <w:color w:val="000000"/>
                <w:sz w:val="24"/>
                <w:szCs w:val="24"/>
              </w:rPr>
              <w:t>7</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2,227,700</w:t>
            </w:r>
          </w:p>
        </w:tc>
        <w:tc>
          <w:tcPr>
            <w:vAlign w:val="center"/>
          </w:tcPr>
          <w:p>
            <w:pPr>
              <w:jc w:val="right"/>
            </w:pPr>
            <w:r>
              <w:rPr>
                <w:color w:val="000000"/>
                <w:sz w:val="24"/>
                <w:szCs w:val="24"/>
              </w:rPr>
              <w:t>49,365,832.00</w:t>
            </w:r>
          </w:p>
        </w:tc>
        <w:tc>
          <w:tcPr>
            <w:vAlign w:val="center"/>
          </w:tcPr>
          <w:p>
            <w:pPr>
              <w:jc w:val="right"/>
            </w:pPr>
            <w:r>
              <w:rPr>
                <w:color w:val="000000"/>
                <w:sz w:val="24"/>
                <w:szCs w:val="24"/>
              </w:rPr>
              <w:t>2.37</w:t>
            </w:r>
          </w:p>
        </w:tc>
      </w:tr>
      <w:tr>
        <w:tc>
          <w:tcPr>
            <w:vAlign w:val="center"/>
          </w:tcPr>
          <w:p>
            <w:pPr>
              <w:jc w:val="center"/>
            </w:pPr>
            <w:r>
              <w:rPr>
                <w:color w:val="000000"/>
                <w:sz w:val="24"/>
                <w:szCs w:val="24"/>
              </w:rPr>
              <w:t>8</w:t>
            </w:r>
          </w:p>
        </w:tc>
        <w:tc>
          <w:tcPr>
            <w:vAlign w:val="center"/>
          </w:tcPr>
          <w:p>
            <w:pPr>
              <w:jc w:val="center"/>
            </w:pPr>
            <w:r>
              <w:rPr>
                <w:color w:val="000000"/>
                <w:sz w:val="24"/>
                <w:szCs w:val="24"/>
              </w:rPr>
              <w:t>000860</w:t>
            </w:r>
          </w:p>
        </w:tc>
        <w:tc>
          <w:tcPr>
            <w:vAlign w:val="center"/>
          </w:tcPr>
          <w:p>
            <w:pPr>
              <w:jc w:val="center"/>
            </w:pPr>
            <w:r>
              <w:rPr>
                <w:color w:val="000000"/>
                <w:sz w:val="24"/>
                <w:szCs w:val="24"/>
              </w:rPr>
              <w:t>顺鑫农业</w:t>
            </w:r>
          </w:p>
        </w:tc>
        <w:tc>
          <w:tcPr>
            <w:vAlign w:val="center"/>
          </w:tcPr>
          <w:p>
            <w:pPr>
              <w:jc w:val="right"/>
            </w:pPr>
            <w:r>
              <w:rPr>
                <w:color w:val="000000"/>
                <w:sz w:val="24"/>
                <w:szCs w:val="24"/>
              </w:rPr>
              <w:t>767,060</w:t>
            </w:r>
          </w:p>
        </w:tc>
        <w:tc>
          <w:tcPr>
            <w:vAlign w:val="center"/>
          </w:tcPr>
          <w:p>
            <w:pPr>
              <w:jc w:val="right"/>
            </w:pPr>
            <w:r>
              <w:rPr>
                <w:color w:val="000000"/>
                <w:sz w:val="24"/>
                <w:szCs w:val="24"/>
              </w:rPr>
              <w:t>47,089,813.40</w:t>
            </w:r>
          </w:p>
        </w:tc>
        <w:tc>
          <w:tcPr>
            <w:vAlign w:val="center"/>
          </w:tcPr>
          <w:p>
            <w:pPr>
              <w:jc w:val="right"/>
            </w:pPr>
            <w:r>
              <w:rPr>
                <w:color w:val="000000"/>
                <w:sz w:val="24"/>
                <w:szCs w:val="24"/>
              </w:rPr>
              <w:t>2.26</w:t>
            </w:r>
          </w:p>
        </w:tc>
      </w:tr>
      <w:tr>
        <w:tc>
          <w:tcPr>
            <w:vAlign w:val="center"/>
          </w:tcPr>
          <w:p>
            <w:pPr>
              <w:jc w:val="center"/>
            </w:pPr>
            <w:r>
              <w:rPr>
                <w:color w:val="000000"/>
                <w:sz w:val="24"/>
                <w:szCs w:val="24"/>
              </w:rPr>
              <w:t>9</w:t>
            </w:r>
          </w:p>
        </w:tc>
        <w:tc>
          <w:tcPr>
            <w:vAlign w:val="center"/>
          </w:tcPr>
          <w:p>
            <w:pPr>
              <w:jc w:val="center"/>
            </w:pPr>
            <w:r>
              <w:rPr>
                <w:color w:val="000000"/>
                <w:sz w:val="24"/>
                <w:szCs w:val="24"/>
              </w:rPr>
              <w:t>603195</w:t>
            </w:r>
          </w:p>
        </w:tc>
        <w:tc>
          <w:tcPr>
            <w:vAlign w:val="center"/>
          </w:tcPr>
          <w:p>
            <w:pPr>
              <w:jc w:val="center"/>
            </w:pPr>
            <w:r>
              <w:rPr>
                <w:color w:val="000000"/>
                <w:sz w:val="24"/>
                <w:szCs w:val="24"/>
              </w:rPr>
              <w:t>公牛集团</w:t>
            </w:r>
          </w:p>
        </w:tc>
        <w:tc>
          <w:tcPr>
            <w:vAlign w:val="center"/>
          </w:tcPr>
          <w:p>
            <w:pPr>
              <w:jc w:val="right"/>
            </w:pPr>
            <w:r>
              <w:rPr>
                <w:color w:val="000000"/>
                <w:sz w:val="24"/>
                <w:szCs w:val="24"/>
              </w:rPr>
              <w:t>296,954</w:t>
            </w:r>
          </w:p>
        </w:tc>
        <w:tc>
          <w:tcPr>
            <w:vAlign w:val="center"/>
          </w:tcPr>
          <w:p>
            <w:pPr>
              <w:jc w:val="right"/>
            </w:pPr>
            <w:r>
              <w:rPr>
                <w:color w:val="000000"/>
                <w:sz w:val="24"/>
                <w:szCs w:val="24"/>
              </w:rPr>
              <w:t>46,018,961.38</w:t>
            </w:r>
          </w:p>
        </w:tc>
        <w:tc>
          <w:tcPr>
            <w:vAlign w:val="center"/>
          </w:tcPr>
          <w:p>
            <w:pPr>
              <w:jc w:val="right"/>
            </w:pPr>
            <w:r>
              <w:rPr>
                <w:color w:val="000000"/>
                <w:sz w:val="24"/>
                <w:szCs w:val="24"/>
              </w:rPr>
              <w:t>2.21</w:t>
            </w:r>
          </w:p>
        </w:tc>
      </w:tr>
      <w:tr>
        <w:tc>
          <w:tcPr>
            <w:vAlign w:val="center"/>
          </w:tcPr>
          <w:p>
            <w:pPr>
              <w:jc w:val="center"/>
            </w:pPr>
            <w:r>
              <w:rPr>
                <w:color w:val="000000"/>
                <w:sz w:val="24"/>
                <w:szCs w:val="24"/>
              </w:rPr>
              <w:t>10</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983,130</w:t>
            </w:r>
          </w:p>
        </w:tc>
        <w:tc>
          <w:tcPr>
            <w:vAlign w:val="center"/>
          </w:tcPr>
          <w:p>
            <w:pPr>
              <w:jc w:val="right"/>
            </w:pPr>
            <w:r>
              <w:rPr>
                <w:color w:val="000000"/>
                <w:sz w:val="24"/>
                <w:szCs w:val="24"/>
              </w:rPr>
              <w:t>45,568,075.50</w:t>
            </w:r>
          </w:p>
        </w:tc>
        <w:tc>
          <w:tcPr>
            <w:vAlign w:val="center"/>
          </w:tcPr>
          <w:p>
            <w:pPr>
              <w:jc w:val="right"/>
            </w:pPr>
            <w:r>
              <w:rPr>
                <w:color w:val="000000"/>
                <w:sz w:val="24"/>
                <w:szCs w:val="24"/>
              </w:rPr>
              <w:t>2.19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90,354,000.00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90,354,000.00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90,354,000.00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4.33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400,000</w:t>
            </w:r>
          </w:p>
        </w:tc>
        <w:tc>
          <w:tcPr>
            <w:vAlign w:val="center"/>
          </w:tcPr>
          <w:p>
            <w:pPr>
              <w:jc w:val="right"/>
            </w:pPr>
            <w:r>
              <w:rPr>
                <w:color w:val="000000"/>
                <w:sz w:val="24"/>
                <w:szCs w:val="24"/>
              </w:rPr>
              <w:t>40,224,000.00</w:t>
            </w:r>
          </w:p>
        </w:tc>
        <w:tc>
          <w:tcPr>
            <w:vAlign w:val="center"/>
          </w:tcPr>
          <w:p>
            <w:pPr>
              <w:jc w:val="right"/>
            </w:pPr>
            <w:r>
              <w:rPr>
                <w:color w:val="000000"/>
                <w:sz w:val="24"/>
                <w:szCs w:val="24"/>
              </w:rPr>
              <w:t>1.93</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200,000</w:t>
            </w:r>
          </w:p>
        </w:tc>
        <w:tc>
          <w:tcPr>
            <w:vAlign w:val="center"/>
          </w:tcPr>
          <w:p>
            <w:pPr>
              <w:jc w:val="right"/>
            </w:pPr>
            <w:r>
              <w:rPr>
                <w:color w:val="000000"/>
                <w:sz w:val="24"/>
                <w:szCs w:val="24"/>
              </w:rPr>
              <w:t>20,106,000.00</w:t>
            </w:r>
          </w:p>
        </w:tc>
        <w:tc>
          <w:tcPr>
            <w:vAlign w:val="center"/>
          </w:tcPr>
          <w:p>
            <w:pPr>
              <w:jc w:val="right"/>
            </w:pPr>
            <w:r>
              <w:rPr>
                <w:color w:val="000000"/>
                <w:sz w:val="24"/>
                <w:szCs w:val="24"/>
              </w:rPr>
              <w:t>0.96</w:t>
            </w:r>
          </w:p>
        </w:tc>
      </w:tr>
      <w:tr>
        <w:tc>
          <w:tcPr>
            <w:vAlign w:val="center"/>
          </w:tcPr>
          <w:p>
            <w:pPr>
              <w:jc w:val="center"/>
            </w:pPr>
            <w:r>
              <w:rPr>
                <w:color w:val="000000"/>
                <w:sz w:val="24"/>
                <w:szCs w:val="24"/>
              </w:rPr>
              <w:t>3</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20,016,000.00</w:t>
            </w:r>
          </w:p>
        </w:tc>
        <w:tc>
          <w:tcPr>
            <w:vAlign w:val="center"/>
          </w:tcPr>
          <w:p>
            <w:pPr>
              <w:jc w:val="right"/>
            </w:pPr>
            <w:r>
              <w:rPr>
                <w:color w:val="000000"/>
                <w:sz w:val="24"/>
                <w:szCs w:val="24"/>
              </w:rPr>
              <w:t>0.96</w:t>
            </w:r>
          </w:p>
        </w:tc>
      </w:tr>
      <w:tr>
        <w:tc>
          <w:tcPr>
            <w:vAlign w:val="center"/>
          </w:tcPr>
          <w:p>
            <w:pPr>
              <w:jc w:val="center"/>
            </w:pPr>
            <w:r>
              <w:rPr>
                <w:color w:val="000000"/>
                <w:sz w:val="24"/>
                <w:szCs w:val="24"/>
              </w:rPr>
              <w:t>4</w:t>
            </w:r>
          </w:p>
        </w:tc>
        <w:tc>
          <w:tcPr>
            <w:vAlign w:val="center"/>
          </w:tcPr>
          <w:p>
            <w:pPr>
              <w:jc w:val="center"/>
            </w:pPr>
            <w:r>
              <w:rPr>
                <w:color w:val="000000"/>
                <w:sz w:val="24"/>
                <w:szCs w:val="24"/>
              </w:rPr>
              <w:t>170305</w:t>
            </w:r>
          </w:p>
        </w:tc>
        <w:tc>
          <w:tcPr>
            <w:vAlign w:val="center"/>
          </w:tcPr>
          <w:p>
            <w:pPr>
              <w:jc w:val="center"/>
            </w:pPr>
            <w:r>
              <w:rPr>
                <w:color w:val="000000"/>
                <w:sz w:val="24"/>
                <w:szCs w:val="24"/>
              </w:rPr>
              <w:t>17进出05</w:t>
            </w:r>
          </w:p>
        </w:tc>
        <w:tc>
          <w:tcPr>
            <w:vAlign w:val="center"/>
          </w:tcPr>
          <w:p>
            <w:pPr>
              <w:jc w:val="right"/>
            </w:pPr>
            <w:r>
              <w:rPr>
                <w:color w:val="000000"/>
                <w:sz w:val="24"/>
                <w:szCs w:val="24"/>
              </w:rPr>
              <w:t>100,000</w:t>
            </w:r>
          </w:p>
        </w:tc>
        <w:tc>
          <w:tcPr>
            <w:vAlign w:val="center"/>
          </w:tcPr>
          <w:p>
            <w:pPr>
              <w:jc w:val="right"/>
            </w:pPr>
            <w:r>
              <w:rPr>
                <w:color w:val="000000"/>
                <w:sz w:val="24"/>
                <w:szCs w:val="24"/>
              </w:rPr>
              <w:t>10,008,000.00</w:t>
            </w:r>
          </w:p>
        </w:tc>
        <w:tc>
          <w:tcPr>
            <w:vAlign w:val="center"/>
          </w:tcPr>
          <w:p>
            <w:pPr>
              <w:jc w:val="right"/>
            </w:pPr>
            <w:r>
              <w:rPr>
                <w:color w:val="000000"/>
                <w:sz w:val="24"/>
                <w:szCs w:val="24"/>
              </w:rPr>
              <w:t>0.48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737,428.98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1,662,687.89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3,294,792.75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5,694,909.62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911,486,749.85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1,027,424,244.88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665,075,998.63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1,273,834,996.10</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