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交银施罗德成长混合型证券投资基金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default" r:id="rId8"/>
          <w:footerReference w:type="default" r:id="rId9"/>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35A25" w:rsidRDefault="00C408D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35A25" w:rsidRDefault="00C408DA">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35A25" w:rsidRDefault="00C408D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35A25" w:rsidRDefault="00C408D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35A25" w:rsidRDefault="00C408D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交银成长混合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519692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2006</w:t>
            </w:r>
            <w:r w:rsidRPr="007F52FA">
              <w:rPr>
                <w:color w:val="000000"/>
                <w:kern w:val="0"/>
                <w:sz w:val="24"/>
              </w:rPr>
              <w:t>年</w:t>
            </w:r>
            <w:r w:rsidRPr="007F52FA">
              <w:rPr>
                <w:color w:val="000000"/>
                <w:kern w:val="0"/>
                <w:sz w:val="24"/>
              </w:rPr>
              <w:t>10</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555,453,771.26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75%×</w:t>
            </w:r>
            <w:r w:rsidRPr="007F52FA">
              <w:rPr>
                <w:color w:val="000000"/>
                <w:kern w:val="0"/>
                <w:sz w:val="24"/>
              </w:rPr>
              <w:t>富时中国</w:t>
            </w:r>
            <w:r w:rsidRPr="007F52FA">
              <w:rPr>
                <w:color w:val="000000"/>
                <w:kern w:val="0"/>
                <w:sz w:val="24"/>
              </w:rPr>
              <w:t>A600</w:t>
            </w:r>
            <w:r w:rsidRPr="007F52FA">
              <w:rPr>
                <w:color w:val="000000"/>
                <w:kern w:val="0"/>
                <w:sz w:val="24"/>
              </w:rPr>
              <w:t>成长指数＋</w:t>
            </w:r>
            <w:r w:rsidRPr="007F52FA">
              <w:rPr>
                <w:color w:val="000000"/>
                <w:kern w:val="0"/>
                <w:sz w:val="24"/>
              </w:rPr>
              <w:t>25%×</w:t>
            </w:r>
            <w:r w:rsidRPr="007F52FA">
              <w:rPr>
                <w:color w:val="000000"/>
                <w:kern w:val="0"/>
                <w:sz w:val="24"/>
              </w:rPr>
              <w:t>富时中国国债指数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本基金是一只混合型基金，以具有良好成长性的公司为</w:t>
            </w:r>
            <w:r w:rsidRPr="007F52FA">
              <w:rPr>
                <w:color w:val="000000"/>
                <w:kern w:val="0"/>
                <w:sz w:val="24"/>
              </w:rPr>
              <w:lastRenderedPageBreak/>
              <w:t>主要投资对象，追求超额收益，其风险和预期收益高于债券型基金和货币市场基金，低于股票型基金。属于承担较高风险、预期收益较高的证券投资基金品种。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H</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519692</w:t>
            </w:r>
            <w:r w:rsidRPr="007F52FA">
              <w:rPr>
                <w:color w:val="000000" w:themeColor="text1"/>
                <w:sz w:val="24"/>
              </w:rPr>
              <w:t>（前端）、</w:t>
            </w:r>
            <w:r w:rsidRPr="007F52FA">
              <w:rPr>
                <w:color w:val="000000" w:themeColor="text1"/>
                <w:sz w:val="24"/>
              </w:rPr>
              <w:t>519693</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960016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555,407,022.46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46,748.80</w:t>
            </w:r>
            <w:r w:rsidRPr="007F52FA">
              <w:rPr>
                <w:color w:val="000000"/>
                <w:kern w:val="0"/>
                <w:sz w:val="24"/>
              </w:rPr>
              <w:t>份</w:t>
            </w:r>
          </w:p>
        </w:tc>
      </w:tr>
    </w:tbl>
    <w:p w:rsidR="000440EB" w:rsidRPr="00414345" w:rsidRDefault="000440EB" w:rsidP="000440EB">
      <w:pPr>
        <w:autoSpaceDE w:val="0"/>
        <w:autoSpaceDN w:val="0"/>
        <w:adjustRightInd w:val="0"/>
        <w:spacing w:before="29" w:line="288" w:lineRule="auto"/>
        <w:jc w:val="left"/>
        <w:rPr>
          <w:color w:val="000000"/>
          <w:sz w:val="24"/>
        </w:rPr>
      </w:pPr>
      <w:r w:rsidRPr="00414345">
        <w:rPr>
          <w:color w:val="000000"/>
          <w:sz w:val="24"/>
        </w:rPr>
        <w:t>注：</w:t>
      </w:r>
      <w:r w:rsidRPr="000440EB">
        <w:rPr>
          <w:rFonts w:hint="eastAsia"/>
          <w:color w:val="000000"/>
          <w:sz w:val="24"/>
        </w:rPr>
        <w:t>富时中国国债指数（</w:t>
      </w:r>
      <w:r w:rsidRPr="000440EB">
        <w:rPr>
          <w:rFonts w:hint="eastAsia"/>
          <w:color w:val="000000"/>
          <w:sz w:val="24"/>
        </w:rPr>
        <w:t>FTSE China Government Bond Index</w:t>
      </w:r>
      <w:r w:rsidRPr="000440EB">
        <w:rPr>
          <w:rFonts w:hint="eastAsia"/>
          <w:color w:val="000000"/>
          <w:sz w:val="24"/>
        </w:rPr>
        <w:t>）在</w:t>
      </w:r>
      <w:r w:rsidRPr="000440EB">
        <w:rPr>
          <w:rFonts w:hint="eastAsia"/>
          <w:color w:val="000000"/>
          <w:sz w:val="24"/>
        </w:rPr>
        <w:t>2019</w:t>
      </w:r>
      <w:r w:rsidRPr="000440EB">
        <w:rPr>
          <w:rFonts w:hint="eastAsia"/>
          <w:color w:val="000000"/>
          <w:sz w:val="24"/>
        </w:rPr>
        <w:t>年</w:t>
      </w:r>
      <w:r w:rsidRPr="000440EB">
        <w:rPr>
          <w:rFonts w:hint="eastAsia"/>
          <w:color w:val="000000"/>
          <w:sz w:val="24"/>
        </w:rPr>
        <w:t>12</w:t>
      </w:r>
      <w:r w:rsidRPr="000440EB">
        <w:rPr>
          <w:rFonts w:hint="eastAsia"/>
          <w:color w:val="000000"/>
          <w:sz w:val="24"/>
        </w:rPr>
        <w:t>月</w:t>
      </w:r>
      <w:r w:rsidRPr="000440EB">
        <w:rPr>
          <w:rFonts w:hint="eastAsia"/>
          <w:color w:val="000000"/>
          <w:sz w:val="24"/>
        </w:rPr>
        <w:t>31</w:t>
      </w:r>
      <w:r w:rsidRPr="000440EB">
        <w:rPr>
          <w:rFonts w:hint="eastAsia"/>
          <w:color w:val="000000"/>
          <w:sz w:val="24"/>
        </w:rPr>
        <w:t>日收盘后停止计算编制，该指数正式变更为富时中国国债指数（</w:t>
      </w:r>
      <w:r w:rsidRPr="000440EB">
        <w:rPr>
          <w:rFonts w:hint="eastAsia"/>
          <w:color w:val="000000"/>
          <w:sz w:val="24"/>
        </w:rPr>
        <w:t>FTSE Chinese Government Bond Index</w:t>
      </w:r>
      <w:r w:rsidRPr="000440EB">
        <w:rPr>
          <w:rFonts w:hint="eastAsia"/>
          <w:color w:val="000000"/>
          <w:sz w:val="24"/>
        </w:rPr>
        <w:t>），本基金据此调整业绩比较基准，本次调整业绩比较基准不涉及指数中文名称更改</w:t>
      </w:r>
      <w:r w:rsidRPr="00414345">
        <w:rPr>
          <w:color w:val="000000"/>
          <w:sz w:val="24"/>
        </w:rPr>
        <w:t>，</w:t>
      </w:r>
      <w:r w:rsidRPr="000440EB">
        <w:rPr>
          <w:rFonts w:hint="eastAsia"/>
          <w:color w:val="000000"/>
          <w:sz w:val="24"/>
        </w:rPr>
        <w:t>变更内容将自</w:t>
      </w:r>
      <w:r w:rsidRPr="000440EB">
        <w:rPr>
          <w:rFonts w:hint="eastAsia"/>
          <w:color w:val="000000"/>
          <w:sz w:val="24"/>
        </w:rPr>
        <w:t>2020</w:t>
      </w:r>
      <w:r w:rsidRPr="000440EB">
        <w:rPr>
          <w:rFonts w:hint="eastAsia"/>
          <w:color w:val="000000"/>
          <w:sz w:val="24"/>
        </w:rPr>
        <w:t>年</w:t>
      </w:r>
      <w:r w:rsidRPr="000440EB">
        <w:rPr>
          <w:rFonts w:hint="eastAsia"/>
          <w:color w:val="000000"/>
          <w:sz w:val="24"/>
        </w:rPr>
        <w:t>1</w:t>
      </w:r>
      <w:r w:rsidRPr="000440EB">
        <w:rPr>
          <w:rFonts w:hint="eastAsia"/>
          <w:color w:val="000000"/>
          <w:sz w:val="24"/>
        </w:rPr>
        <w:t>月</w:t>
      </w:r>
      <w:r w:rsidRPr="000440EB">
        <w:rPr>
          <w:rFonts w:hint="eastAsia"/>
          <w:color w:val="000000"/>
          <w:sz w:val="24"/>
        </w:rPr>
        <w:t>1</w:t>
      </w:r>
      <w:r w:rsidRPr="000440EB">
        <w:rPr>
          <w:rFonts w:hint="eastAsia"/>
          <w:color w:val="000000"/>
          <w:sz w:val="24"/>
        </w:rPr>
        <w:t>日起生效</w:t>
      </w:r>
      <w:r>
        <w:rPr>
          <w:color w:val="000000"/>
          <w:sz w:val="24"/>
        </w:rPr>
        <w:t>。</w:t>
      </w:r>
      <w:r w:rsidRPr="000440EB">
        <w:rPr>
          <w:rFonts w:hint="eastAsia"/>
          <w:color w:val="000000"/>
          <w:sz w:val="24"/>
        </w:rPr>
        <w:t>详情请查阅本基金管理人于</w:t>
      </w:r>
      <w:r w:rsidRPr="000440EB">
        <w:rPr>
          <w:rFonts w:hint="eastAsia"/>
          <w:color w:val="000000"/>
          <w:sz w:val="24"/>
        </w:rPr>
        <w:t>2019</w:t>
      </w:r>
      <w:r w:rsidRPr="000440EB">
        <w:rPr>
          <w:rFonts w:hint="eastAsia"/>
          <w:color w:val="000000"/>
          <w:sz w:val="24"/>
        </w:rPr>
        <w:t>年</w:t>
      </w:r>
      <w:r w:rsidRPr="000440EB">
        <w:rPr>
          <w:rFonts w:hint="eastAsia"/>
          <w:color w:val="000000"/>
          <w:sz w:val="24"/>
        </w:rPr>
        <w:t>12</w:t>
      </w:r>
      <w:r w:rsidRPr="000440EB">
        <w:rPr>
          <w:rFonts w:hint="eastAsia"/>
          <w:color w:val="000000"/>
          <w:sz w:val="24"/>
        </w:rPr>
        <w:t>月</w:t>
      </w:r>
      <w:r w:rsidRPr="000440EB">
        <w:rPr>
          <w:rFonts w:hint="eastAsia"/>
          <w:color w:val="000000"/>
          <w:sz w:val="24"/>
        </w:rPr>
        <w:t>21</w:t>
      </w:r>
      <w:r w:rsidRPr="000440EB">
        <w:rPr>
          <w:rFonts w:hint="eastAsia"/>
          <w:color w:val="000000"/>
          <w:sz w:val="24"/>
        </w:rPr>
        <w:t>日发布的《交银施罗德基金管理有限公司关于交银施罗德成长混合型证券投资基金业绩比较基准变更的公告》</w:t>
      </w:r>
      <w:r w:rsidRPr="00414345">
        <w:rPr>
          <w:color w:val="000000"/>
          <w:sz w:val="24"/>
        </w:rPr>
        <w:t>。</w:t>
      </w:r>
    </w:p>
    <w:p w:rsidR="00740635" w:rsidRPr="000440EB"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交银成长混合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交银成长混合</w:t>
            </w:r>
            <w:r w:rsidRPr="007F52FA">
              <w:rPr>
                <w:sz w:val="24"/>
              </w:rPr>
              <w:t>H</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288,353,339.24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45,307.34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285,796,565.32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56,008.51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0.5000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0.6405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2,847,569,683.53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240,885.33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5.1270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5.1528</w:t>
            </w:r>
          </w:p>
        </w:tc>
      </w:tr>
    </w:tbl>
    <w:p w:rsidR="00A35A25" w:rsidRDefault="00C408D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交银成长混合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35A25">
        <w:trPr>
          <w:jc w:val="center"/>
        </w:trPr>
        <w:tc>
          <w:tcPr>
            <w:tcW w:w="1266" w:type="dxa"/>
            <w:vAlign w:val="center"/>
          </w:tcPr>
          <w:p w:rsidR="00A35A25" w:rsidRDefault="00C408DA">
            <w:pPr>
              <w:jc w:val="left"/>
            </w:pPr>
            <w:r>
              <w:rPr>
                <w:color w:val="000000"/>
                <w:sz w:val="24"/>
              </w:rPr>
              <w:t>过去三个月</w:t>
            </w:r>
          </w:p>
        </w:tc>
        <w:tc>
          <w:tcPr>
            <w:tcW w:w="1267" w:type="dxa"/>
            <w:vAlign w:val="center"/>
          </w:tcPr>
          <w:p w:rsidR="00A35A25" w:rsidRDefault="00C408DA">
            <w:pPr>
              <w:jc w:val="center"/>
            </w:pPr>
            <w:r>
              <w:rPr>
                <w:color w:val="000000"/>
                <w:sz w:val="24"/>
              </w:rPr>
              <w:t>11.02%</w:t>
            </w:r>
          </w:p>
        </w:tc>
        <w:tc>
          <w:tcPr>
            <w:tcW w:w="1267" w:type="dxa"/>
            <w:vAlign w:val="center"/>
          </w:tcPr>
          <w:p w:rsidR="00A35A25" w:rsidRDefault="00C408DA">
            <w:pPr>
              <w:jc w:val="center"/>
            </w:pPr>
            <w:r>
              <w:rPr>
                <w:color w:val="000000"/>
                <w:sz w:val="24"/>
              </w:rPr>
              <w:t>1.98%</w:t>
            </w:r>
          </w:p>
        </w:tc>
        <w:tc>
          <w:tcPr>
            <w:tcW w:w="1267" w:type="dxa"/>
            <w:vAlign w:val="center"/>
          </w:tcPr>
          <w:p w:rsidR="00A35A25" w:rsidRDefault="00C408DA">
            <w:pPr>
              <w:jc w:val="center"/>
            </w:pPr>
            <w:r>
              <w:rPr>
                <w:color w:val="000000"/>
                <w:sz w:val="24"/>
              </w:rPr>
              <w:t>-4.21%</w:t>
            </w:r>
          </w:p>
        </w:tc>
        <w:tc>
          <w:tcPr>
            <w:tcW w:w="1267" w:type="dxa"/>
            <w:vAlign w:val="center"/>
          </w:tcPr>
          <w:p w:rsidR="00A35A25" w:rsidRDefault="00C408DA">
            <w:pPr>
              <w:jc w:val="center"/>
            </w:pPr>
            <w:r>
              <w:rPr>
                <w:color w:val="000000"/>
                <w:sz w:val="24"/>
              </w:rPr>
              <w:t>1.53%</w:t>
            </w:r>
          </w:p>
        </w:tc>
        <w:tc>
          <w:tcPr>
            <w:tcW w:w="1267" w:type="dxa"/>
            <w:vAlign w:val="center"/>
          </w:tcPr>
          <w:p w:rsidR="00A35A25" w:rsidRDefault="00C408DA">
            <w:pPr>
              <w:jc w:val="center"/>
            </w:pPr>
            <w:r>
              <w:rPr>
                <w:color w:val="000000"/>
                <w:sz w:val="24"/>
              </w:rPr>
              <w:t>15.23%</w:t>
            </w:r>
          </w:p>
        </w:tc>
        <w:tc>
          <w:tcPr>
            <w:tcW w:w="1267" w:type="dxa"/>
            <w:vAlign w:val="center"/>
          </w:tcPr>
          <w:p w:rsidR="00A35A25" w:rsidRDefault="00C408DA">
            <w:pPr>
              <w:jc w:val="center"/>
            </w:pPr>
            <w:r>
              <w:rPr>
                <w:color w:val="000000"/>
                <w:sz w:val="24"/>
              </w:rPr>
              <w:t>0.45%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交银成长混合</w:t>
      </w:r>
      <w:r w:rsidR="00FE7FBD" w:rsidRPr="007F52FA">
        <w:rPr>
          <w:b/>
          <w:color w:val="000000"/>
          <w:kern w:val="0"/>
          <w:sz w:val="24"/>
        </w:rPr>
        <w:t>H</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C408DA">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35A25">
        <w:trPr>
          <w:jc w:val="center"/>
        </w:trPr>
        <w:tc>
          <w:tcPr>
            <w:tcW w:w="1266" w:type="dxa"/>
            <w:vAlign w:val="center"/>
          </w:tcPr>
          <w:p w:rsidR="00A35A25" w:rsidRDefault="00C408DA">
            <w:pPr>
              <w:jc w:val="left"/>
            </w:pPr>
            <w:r>
              <w:rPr>
                <w:color w:val="000000"/>
                <w:sz w:val="24"/>
              </w:rPr>
              <w:t>过去三个月</w:t>
            </w:r>
          </w:p>
        </w:tc>
        <w:tc>
          <w:tcPr>
            <w:tcW w:w="1267" w:type="dxa"/>
            <w:vAlign w:val="center"/>
          </w:tcPr>
          <w:p w:rsidR="00A35A25" w:rsidRDefault="00C408DA">
            <w:pPr>
              <w:jc w:val="center"/>
            </w:pPr>
            <w:r>
              <w:rPr>
                <w:color w:val="000000"/>
                <w:sz w:val="24"/>
              </w:rPr>
              <w:t>11.03%</w:t>
            </w:r>
          </w:p>
        </w:tc>
        <w:tc>
          <w:tcPr>
            <w:tcW w:w="1267" w:type="dxa"/>
            <w:vAlign w:val="center"/>
          </w:tcPr>
          <w:p w:rsidR="00A35A25" w:rsidRDefault="00C408DA">
            <w:pPr>
              <w:jc w:val="center"/>
            </w:pPr>
            <w:r>
              <w:rPr>
                <w:color w:val="000000"/>
                <w:sz w:val="24"/>
              </w:rPr>
              <w:t>1.98%</w:t>
            </w:r>
          </w:p>
        </w:tc>
        <w:tc>
          <w:tcPr>
            <w:tcW w:w="1267" w:type="dxa"/>
            <w:vAlign w:val="center"/>
          </w:tcPr>
          <w:p w:rsidR="00A35A25" w:rsidRDefault="00C408DA">
            <w:pPr>
              <w:jc w:val="center"/>
            </w:pPr>
            <w:r>
              <w:rPr>
                <w:color w:val="000000"/>
                <w:sz w:val="24"/>
              </w:rPr>
              <w:t>-4.21%</w:t>
            </w:r>
          </w:p>
        </w:tc>
        <w:tc>
          <w:tcPr>
            <w:tcW w:w="1267" w:type="dxa"/>
            <w:vAlign w:val="center"/>
          </w:tcPr>
          <w:p w:rsidR="00A35A25" w:rsidRDefault="00C408DA">
            <w:pPr>
              <w:jc w:val="center"/>
            </w:pPr>
            <w:r>
              <w:rPr>
                <w:color w:val="000000"/>
                <w:sz w:val="24"/>
              </w:rPr>
              <w:t>1.53%</w:t>
            </w:r>
          </w:p>
        </w:tc>
        <w:tc>
          <w:tcPr>
            <w:tcW w:w="1267" w:type="dxa"/>
            <w:vAlign w:val="center"/>
          </w:tcPr>
          <w:p w:rsidR="00A35A25" w:rsidRDefault="00C408DA">
            <w:pPr>
              <w:jc w:val="center"/>
            </w:pPr>
            <w:r>
              <w:rPr>
                <w:color w:val="000000"/>
                <w:sz w:val="24"/>
              </w:rPr>
              <w:t>15.24%</w:t>
            </w:r>
          </w:p>
        </w:tc>
        <w:tc>
          <w:tcPr>
            <w:tcW w:w="1267" w:type="dxa"/>
            <w:vAlign w:val="center"/>
          </w:tcPr>
          <w:p w:rsidR="00A35A25" w:rsidRDefault="00C408DA">
            <w:pPr>
              <w:jc w:val="center"/>
            </w:pPr>
            <w:r>
              <w:rPr>
                <w:color w:val="000000"/>
                <w:sz w:val="24"/>
              </w:rPr>
              <w:t>0.45%</w:t>
            </w:r>
          </w:p>
        </w:tc>
      </w:tr>
    </w:tbl>
    <w:p w:rsidR="009238DB" w:rsidRPr="007F52FA" w:rsidRDefault="00C408DA" w:rsidP="007C14DF">
      <w:pPr>
        <w:autoSpaceDE w:val="0"/>
        <w:autoSpaceDN w:val="0"/>
        <w:adjustRightInd w:val="0"/>
        <w:spacing w:before="29" w:line="288" w:lineRule="auto"/>
        <w:ind w:left="15"/>
        <w:jc w:val="left"/>
        <w:rPr>
          <w:rFonts w:eastAsiaTheme="minorEastAsia"/>
          <w:b/>
          <w:color w:val="000000"/>
          <w:kern w:val="0"/>
          <w:sz w:val="24"/>
        </w:rPr>
      </w:pPr>
      <w:r>
        <w:rPr>
          <w:rFonts w:hint="eastAsia"/>
          <w:color w:val="000000"/>
          <w:sz w:val="24"/>
        </w:rPr>
        <w:t>注：</w:t>
      </w:r>
      <w:r w:rsidRPr="000440EB">
        <w:rPr>
          <w:rFonts w:hint="eastAsia"/>
          <w:color w:val="000000"/>
          <w:sz w:val="24"/>
        </w:rPr>
        <w:t>富时中国国债指数（</w:t>
      </w:r>
      <w:r w:rsidRPr="000440EB">
        <w:rPr>
          <w:rFonts w:hint="eastAsia"/>
          <w:color w:val="000000"/>
          <w:sz w:val="24"/>
        </w:rPr>
        <w:t>FTSE China Government Bond Index</w:t>
      </w:r>
      <w:r w:rsidRPr="000440EB">
        <w:rPr>
          <w:rFonts w:hint="eastAsia"/>
          <w:color w:val="000000"/>
          <w:sz w:val="24"/>
        </w:rPr>
        <w:t>）在</w:t>
      </w:r>
      <w:r w:rsidRPr="000440EB">
        <w:rPr>
          <w:rFonts w:hint="eastAsia"/>
          <w:color w:val="000000"/>
          <w:sz w:val="24"/>
        </w:rPr>
        <w:t>2019</w:t>
      </w:r>
      <w:r w:rsidRPr="000440EB">
        <w:rPr>
          <w:rFonts w:hint="eastAsia"/>
          <w:color w:val="000000"/>
          <w:sz w:val="24"/>
        </w:rPr>
        <w:t>年</w:t>
      </w:r>
      <w:r w:rsidRPr="000440EB">
        <w:rPr>
          <w:rFonts w:hint="eastAsia"/>
          <w:color w:val="000000"/>
          <w:sz w:val="24"/>
        </w:rPr>
        <w:t>12</w:t>
      </w:r>
      <w:r w:rsidRPr="000440EB">
        <w:rPr>
          <w:rFonts w:hint="eastAsia"/>
          <w:color w:val="000000"/>
          <w:sz w:val="24"/>
        </w:rPr>
        <w:t>月</w:t>
      </w:r>
      <w:r w:rsidRPr="000440EB">
        <w:rPr>
          <w:rFonts w:hint="eastAsia"/>
          <w:color w:val="000000"/>
          <w:sz w:val="24"/>
        </w:rPr>
        <w:t>31</w:t>
      </w:r>
      <w:r w:rsidRPr="000440EB">
        <w:rPr>
          <w:rFonts w:hint="eastAsia"/>
          <w:color w:val="000000"/>
          <w:sz w:val="24"/>
        </w:rPr>
        <w:t>日收盘后停止计算编制，该指数正式变更为富时中国国债指数（</w:t>
      </w:r>
      <w:r w:rsidRPr="000440EB">
        <w:rPr>
          <w:rFonts w:hint="eastAsia"/>
          <w:color w:val="000000"/>
          <w:sz w:val="24"/>
        </w:rPr>
        <w:t>FTSE Chinese Government Bond Index</w:t>
      </w:r>
      <w:r w:rsidRPr="000440EB">
        <w:rPr>
          <w:rFonts w:hint="eastAsia"/>
          <w:color w:val="000000"/>
          <w:sz w:val="24"/>
        </w:rPr>
        <w:t>），本基金据此调整业绩比较基准，本次调整业绩比较基准不涉及指数中文名称更改</w:t>
      </w:r>
      <w:r w:rsidRPr="00414345">
        <w:rPr>
          <w:color w:val="000000"/>
          <w:sz w:val="24"/>
        </w:rPr>
        <w:t>，</w:t>
      </w:r>
      <w:r w:rsidRPr="000440EB">
        <w:rPr>
          <w:rFonts w:hint="eastAsia"/>
          <w:color w:val="000000"/>
          <w:sz w:val="24"/>
        </w:rPr>
        <w:t>变更内容将自</w:t>
      </w:r>
      <w:r w:rsidRPr="000440EB">
        <w:rPr>
          <w:rFonts w:hint="eastAsia"/>
          <w:color w:val="000000"/>
          <w:sz w:val="24"/>
        </w:rPr>
        <w:t>2020</w:t>
      </w:r>
      <w:r w:rsidRPr="000440EB">
        <w:rPr>
          <w:rFonts w:hint="eastAsia"/>
          <w:color w:val="000000"/>
          <w:sz w:val="24"/>
        </w:rPr>
        <w:t>年</w:t>
      </w:r>
      <w:r w:rsidRPr="000440EB">
        <w:rPr>
          <w:rFonts w:hint="eastAsia"/>
          <w:color w:val="000000"/>
          <w:sz w:val="24"/>
        </w:rPr>
        <w:t>1</w:t>
      </w:r>
      <w:r w:rsidRPr="000440EB">
        <w:rPr>
          <w:rFonts w:hint="eastAsia"/>
          <w:color w:val="000000"/>
          <w:sz w:val="24"/>
        </w:rPr>
        <w:t>月</w:t>
      </w:r>
      <w:r w:rsidRPr="000440EB">
        <w:rPr>
          <w:rFonts w:hint="eastAsia"/>
          <w:color w:val="000000"/>
          <w:sz w:val="24"/>
        </w:rPr>
        <w:t>1</w:t>
      </w:r>
      <w:r w:rsidRPr="000440EB">
        <w:rPr>
          <w:rFonts w:hint="eastAsia"/>
          <w:color w:val="000000"/>
          <w:sz w:val="24"/>
        </w:rPr>
        <w:t>日起生效</w:t>
      </w:r>
      <w:r>
        <w:rPr>
          <w:color w:val="000000"/>
          <w:sz w:val="24"/>
        </w:rPr>
        <w:t>，</w:t>
      </w:r>
      <w:r w:rsidRPr="00414345">
        <w:rPr>
          <w:color w:val="000000"/>
          <w:sz w:val="24"/>
        </w:rPr>
        <w:t>3.2.2</w:t>
      </w:r>
      <w:r w:rsidRPr="00414345">
        <w:rPr>
          <w:color w:val="000000"/>
          <w:sz w:val="24"/>
        </w:rPr>
        <w:t>同</w:t>
      </w:r>
      <w:r>
        <w:rPr>
          <w:color w:val="000000"/>
          <w:sz w:val="24"/>
        </w:rPr>
        <w:t>。</w:t>
      </w:r>
      <w:r w:rsidRPr="000440EB">
        <w:rPr>
          <w:rFonts w:hint="eastAsia"/>
          <w:color w:val="000000"/>
          <w:sz w:val="24"/>
        </w:rPr>
        <w:t>详情请查阅本基金管理人于</w:t>
      </w:r>
      <w:r w:rsidRPr="000440EB">
        <w:rPr>
          <w:rFonts w:hint="eastAsia"/>
          <w:color w:val="000000"/>
          <w:sz w:val="24"/>
        </w:rPr>
        <w:t>2019</w:t>
      </w:r>
      <w:r w:rsidRPr="000440EB">
        <w:rPr>
          <w:rFonts w:hint="eastAsia"/>
          <w:color w:val="000000"/>
          <w:sz w:val="24"/>
        </w:rPr>
        <w:t>年</w:t>
      </w:r>
      <w:r w:rsidRPr="000440EB">
        <w:rPr>
          <w:rFonts w:hint="eastAsia"/>
          <w:color w:val="000000"/>
          <w:sz w:val="24"/>
        </w:rPr>
        <w:t>12</w:t>
      </w:r>
      <w:r w:rsidRPr="000440EB">
        <w:rPr>
          <w:rFonts w:hint="eastAsia"/>
          <w:color w:val="000000"/>
          <w:sz w:val="24"/>
        </w:rPr>
        <w:t>月</w:t>
      </w:r>
      <w:r w:rsidRPr="000440EB">
        <w:rPr>
          <w:rFonts w:hint="eastAsia"/>
          <w:color w:val="000000"/>
          <w:sz w:val="24"/>
        </w:rPr>
        <w:t>21</w:t>
      </w:r>
      <w:r w:rsidRPr="000440EB">
        <w:rPr>
          <w:rFonts w:hint="eastAsia"/>
          <w:color w:val="000000"/>
          <w:sz w:val="24"/>
        </w:rPr>
        <w:t>日发布的《交银施罗德基金管理有限公司关于交银施罗德成长混合型证券投资基金业绩比较基准变更的公告》</w:t>
      </w:r>
      <w:r w:rsidR="00073115">
        <w:rPr>
          <w:color w:val="000000"/>
          <w:sz w:val="24"/>
        </w:rPr>
        <w:t>。</w:t>
      </w: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交银施罗德成长混合型证券投资基金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2006</w:t>
      </w:r>
      <w:r w:rsidR="00D04410" w:rsidRPr="007F52FA">
        <w:rPr>
          <w:rFonts w:ascii="Times New Roman" w:hAnsi="Times New Roman"/>
          <w:sz w:val="24"/>
          <w:szCs w:val="24"/>
        </w:rPr>
        <w:t>年</w:t>
      </w:r>
      <w:r w:rsidR="00D04410" w:rsidRPr="007F52FA">
        <w:rPr>
          <w:rFonts w:ascii="Times New Roman" w:hAnsi="Times New Roman"/>
          <w:sz w:val="24"/>
          <w:szCs w:val="24"/>
        </w:rPr>
        <w:t>10</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交银成长混合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2006</w:t>
      </w:r>
      <w:r w:rsidRPr="007F52FA">
        <w:rPr>
          <w:color w:val="000000"/>
          <w:sz w:val="24"/>
        </w:rPr>
        <w:t>年</w:t>
      </w:r>
      <w:r w:rsidRPr="007F52FA">
        <w:rPr>
          <w:color w:val="000000"/>
          <w:sz w:val="24"/>
        </w:rPr>
        <w:t>10</w:t>
      </w:r>
      <w:r w:rsidRPr="007F52FA">
        <w:rPr>
          <w:color w:val="000000"/>
          <w:sz w:val="24"/>
        </w:rPr>
        <w:t>月</w:t>
      </w:r>
      <w:r w:rsidRPr="007F52FA">
        <w:rPr>
          <w:color w:val="000000"/>
          <w:sz w:val="24"/>
        </w:rPr>
        <w:t>23</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交银成长混合</w:t>
      </w:r>
      <w:r w:rsidR="00FE7FBD" w:rsidRPr="007F52FA">
        <w:rPr>
          <w:color w:val="000000"/>
          <w:sz w:val="24"/>
        </w:rPr>
        <w:t>H</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7</w:t>
      </w:r>
      <w:r w:rsidRPr="007F52FA">
        <w:rPr>
          <w:color w:val="000000"/>
          <w:sz w:val="24"/>
        </w:rPr>
        <w:t>日起，开始销售</w:t>
      </w:r>
      <w:r w:rsidRPr="007F52FA">
        <w:rPr>
          <w:color w:val="000000"/>
          <w:sz w:val="24"/>
        </w:rPr>
        <w:t>H</w:t>
      </w:r>
      <w:r w:rsidRPr="007F52FA">
        <w:rPr>
          <w:color w:val="000000"/>
          <w:sz w:val="24"/>
        </w:rPr>
        <w:t>类份额，投资者提交的申购申请于</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35A25">
        <w:trPr>
          <w:jc w:val="center"/>
        </w:trPr>
        <w:tc>
          <w:tcPr>
            <w:tcW w:w="946" w:type="dxa"/>
            <w:vAlign w:val="center"/>
          </w:tcPr>
          <w:p w:rsidR="00A35A25" w:rsidRDefault="00C408DA">
            <w:pPr>
              <w:jc w:val="center"/>
            </w:pPr>
            <w:r>
              <w:rPr>
                <w:color w:val="000000"/>
                <w:sz w:val="24"/>
              </w:rPr>
              <w:t>王少成</w:t>
            </w:r>
          </w:p>
        </w:tc>
        <w:tc>
          <w:tcPr>
            <w:tcW w:w="924" w:type="dxa"/>
            <w:vAlign w:val="center"/>
          </w:tcPr>
          <w:p w:rsidR="00A35A25" w:rsidRDefault="00C408DA">
            <w:pPr>
              <w:jc w:val="center"/>
            </w:pPr>
            <w:r>
              <w:rPr>
                <w:color w:val="000000"/>
                <w:sz w:val="24"/>
              </w:rPr>
              <w:t>交银成长混合、交银蓝筹混合的基金经理，公司权益投资总监</w:t>
            </w:r>
          </w:p>
        </w:tc>
        <w:tc>
          <w:tcPr>
            <w:tcW w:w="1202" w:type="dxa"/>
            <w:vAlign w:val="center"/>
          </w:tcPr>
          <w:p w:rsidR="00A35A25" w:rsidRDefault="00C408DA">
            <w:pPr>
              <w:jc w:val="center"/>
            </w:pPr>
            <w:r>
              <w:rPr>
                <w:color w:val="000000"/>
                <w:sz w:val="24"/>
              </w:rPr>
              <w:t>2015-03-24</w:t>
            </w:r>
          </w:p>
        </w:tc>
        <w:tc>
          <w:tcPr>
            <w:tcW w:w="1300" w:type="dxa"/>
            <w:vAlign w:val="center"/>
          </w:tcPr>
          <w:p w:rsidR="00A35A25" w:rsidRDefault="00C408DA">
            <w:pPr>
              <w:jc w:val="center"/>
            </w:pPr>
            <w:r>
              <w:rPr>
                <w:color w:val="000000"/>
                <w:sz w:val="24"/>
              </w:rPr>
              <w:t>-</w:t>
            </w:r>
          </w:p>
        </w:tc>
        <w:tc>
          <w:tcPr>
            <w:tcW w:w="1245" w:type="dxa"/>
            <w:vAlign w:val="center"/>
          </w:tcPr>
          <w:p w:rsidR="00A35A25" w:rsidRDefault="00C408DA">
            <w:pPr>
              <w:jc w:val="center"/>
            </w:pPr>
            <w:r>
              <w:rPr>
                <w:color w:val="000000"/>
                <w:sz w:val="24"/>
              </w:rPr>
              <w:t>16</w:t>
            </w:r>
            <w:r>
              <w:rPr>
                <w:color w:val="000000"/>
                <w:sz w:val="24"/>
              </w:rPr>
              <w:t>年</w:t>
            </w:r>
          </w:p>
        </w:tc>
        <w:tc>
          <w:tcPr>
            <w:tcW w:w="3251" w:type="dxa"/>
            <w:vAlign w:val="center"/>
          </w:tcPr>
          <w:p w:rsidR="00A35A25" w:rsidRDefault="00C408DA">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lastRenderedPageBreak/>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r>
              <w:rPr>
                <w:color w:val="000000"/>
                <w:sz w:val="24"/>
              </w:rPr>
              <w:t>2013</w:t>
            </w:r>
            <w:r>
              <w:rPr>
                <w:color w:val="000000"/>
                <w:sz w:val="24"/>
              </w:rPr>
              <w:t>年</w:t>
            </w:r>
            <w:r>
              <w:rPr>
                <w:color w:val="000000"/>
                <w:sz w:val="24"/>
              </w:rPr>
              <w:t>7</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17</w:t>
            </w:r>
            <w:r>
              <w:rPr>
                <w:color w:val="000000"/>
                <w:sz w:val="24"/>
              </w:rPr>
              <w:t>日担任交银施罗德成长</w:t>
            </w:r>
            <w:r>
              <w:rPr>
                <w:color w:val="000000"/>
                <w:sz w:val="24"/>
              </w:rPr>
              <w:t>30</w:t>
            </w:r>
            <w:r>
              <w:rPr>
                <w:color w:val="000000"/>
                <w:sz w:val="24"/>
              </w:rPr>
              <w:t>混合型证券投资基金的基金经理。</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日担任交银施罗德恒益灵活配置混合型证券投资基金的基金经理。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A35A25" w:rsidRDefault="00C408D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35A25" w:rsidRDefault="00C408D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35A25" w:rsidRDefault="00C408D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lastRenderedPageBreak/>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35A25" w:rsidRDefault="00C408DA">
      <w:pPr>
        <w:spacing w:before="29" w:line="288" w:lineRule="auto"/>
        <w:ind w:firstLineChars="200" w:firstLine="480"/>
        <w:rPr>
          <w:color w:val="000000"/>
          <w:sz w:val="24"/>
        </w:rPr>
      </w:pPr>
      <w:r>
        <w:rPr>
          <w:color w:val="000000"/>
          <w:sz w:val="24"/>
        </w:rPr>
        <w:t>2020</w:t>
      </w:r>
      <w:r>
        <w:rPr>
          <w:color w:val="000000"/>
          <w:sz w:val="24"/>
        </w:rPr>
        <w:t>年一季度全球经济面临新冠疫情冲击。中国率先阶段性的控制住新冠疫情，但经济的代价巨大，目前已经进入持续复工复产阶段，但考虑到欧美战疫还在攻坚阶段，外需冻结，复工复产路阻且长。过度或者过快的宏观经济刺激政策，将会加剧已经出现的必需品通胀，而非必须品通缩的趋势则会加剧宏观经济内部的结构性失衡。全球疫情防控的短板在发展中国家，在欧美疫情阶段性受控之后，疫情防控走势主要</w:t>
      </w:r>
      <w:r w:rsidR="000C687E">
        <w:rPr>
          <w:rFonts w:hint="eastAsia"/>
          <w:color w:val="000000"/>
          <w:sz w:val="24"/>
        </w:rPr>
        <w:t>取决</w:t>
      </w:r>
      <w:bookmarkStart w:id="0" w:name="_GoBack"/>
      <w:bookmarkEnd w:id="0"/>
      <w:r>
        <w:rPr>
          <w:color w:val="000000"/>
          <w:sz w:val="24"/>
        </w:rPr>
        <w:t>于发展中国家的应对，考虑到全面检测和隔离防控的经济和社会治理方面的硬约束，发展中国家未来疫情的演化对所有投资者都是不可知的，全球战疫的终点不得而知，受此影响全球经济全球化持续受阻，经济增长动能的恢复持续乏力，风险资产定价必将会受到持续的影响。</w:t>
      </w:r>
    </w:p>
    <w:p w:rsidR="00952A72" w:rsidRPr="007F52FA" w:rsidRDefault="00323F25" w:rsidP="007C14DF">
      <w:pPr>
        <w:spacing w:before="29" w:line="288" w:lineRule="auto"/>
        <w:ind w:firstLineChars="200" w:firstLine="480"/>
        <w:rPr>
          <w:color w:val="000000"/>
          <w:sz w:val="24"/>
        </w:rPr>
      </w:pPr>
      <w:r w:rsidRPr="007F52FA">
        <w:rPr>
          <w:color w:val="000000"/>
          <w:sz w:val="24"/>
        </w:rPr>
        <w:t>一季度</w:t>
      </w:r>
      <w:r w:rsidRPr="007F52FA">
        <w:rPr>
          <w:color w:val="000000"/>
          <w:sz w:val="24"/>
        </w:rPr>
        <w:t>A</w:t>
      </w:r>
      <w:r w:rsidRPr="007F52FA">
        <w:rPr>
          <w:color w:val="000000"/>
          <w:sz w:val="24"/>
        </w:rPr>
        <w:t>股市场大幅波动。受疫情影响一季度的中国</w:t>
      </w:r>
      <w:r w:rsidRPr="007F52FA">
        <w:rPr>
          <w:color w:val="000000"/>
          <w:sz w:val="24"/>
        </w:rPr>
        <w:t>GDP</w:t>
      </w:r>
      <w:r w:rsidRPr="007F52FA">
        <w:rPr>
          <w:color w:val="000000"/>
          <w:sz w:val="24"/>
        </w:rPr>
        <w:t>预计负增长，后面宏观经济恢复程度取决于外需恢复节奏和逆周期宏观政策的针对性。在全球经济危机模式下，国内有两类行业容易产生超额收益，一类是纯内需的必须品消费、食品、农业和教育等。另一类是外需的，供应链替代性行业，比如医疗设备，原料药等。后续我们将继续保持相对中性的仓位，同时在有可能产生超额收益的行业板块中寻找质优公司进行投资布局。</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2,457,527,785.27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85.99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2,457,527,785.27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85.99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156,333,500.00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5.47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156,333,500.00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5.47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236,138,704.75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7,904,747.62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0.28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2,857,904,737.64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235,566,414.48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8.27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1,604,715,641.89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56.35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19,147.31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243,906,645.15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8.56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28,140,984.00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87,375,444.00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3.07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17,552.98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257,785,955.46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9.05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2,457,527,785.27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86.30</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A35A25">
        <w:trPr>
          <w:jc w:val="center"/>
        </w:trPr>
        <w:tc>
          <w:tcPr>
            <w:tcW w:w="850" w:type="dxa"/>
            <w:vAlign w:val="center"/>
          </w:tcPr>
          <w:p w:rsidR="00A35A25" w:rsidRDefault="00C408DA">
            <w:pPr>
              <w:jc w:val="center"/>
            </w:pPr>
            <w:r>
              <w:rPr>
                <w:color w:val="000000"/>
                <w:sz w:val="24"/>
              </w:rPr>
              <w:t>1</w:t>
            </w:r>
          </w:p>
        </w:tc>
        <w:tc>
          <w:tcPr>
            <w:tcW w:w="1327" w:type="dxa"/>
            <w:vAlign w:val="center"/>
          </w:tcPr>
          <w:p w:rsidR="00A35A25" w:rsidRDefault="00C408DA">
            <w:pPr>
              <w:jc w:val="center"/>
            </w:pPr>
            <w:r>
              <w:rPr>
                <w:color w:val="000000"/>
                <w:sz w:val="24"/>
              </w:rPr>
              <w:t>002216</w:t>
            </w:r>
          </w:p>
        </w:tc>
        <w:tc>
          <w:tcPr>
            <w:tcW w:w="1769" w:type="dxa"/>
            <w:vAlign w:val="center"/>
          </w:tcPr>
          <w:p w:rsidR="00A35A25" w:rsidRDefault="00C408DA">
            <w:pPr>
              <w:jc w:val="center"/>
            </w:pPr>
            <w:r>
              <w:rPr>
                <w:color w:val="000000"/>
                <w:sz w:val="24"/>
              </w:rPr>
              <w:t>三全食品</w:t>
            </w:r>
          </w:p>
        </w:tc>
        <w:tc>
          <w:tcPr>
            <w:tcW w:w="1327" w:type="dxa"/>
            <w:vAlign w:val="center"/>
          </w:tcPr>
          <w:p w:rsidR="00A35A25" w:rsidRDefault="00C408DA">
            <w:pPr>
              <w:jc w:val="right"/>
            </w:pPr>
            <w:r>
              <w:rPr>
                <w:color w:val="000000"/>
                <w:sz w:val="24"/>
              </w:rPr>
              <w:t>14,431,013</w:t>
            </w:r>
          </w:p>
        </w:tc>
        <w:tc>
          <w:tcPr>
            <w:tcW w:w="1915" w:type="dxa"/>
            <w:vAlign w:val="center"/>
          </w:tcPr>
          <w:p w:rsidR="00A35A25" w:rsidRDefault="00C408DA">
            <w:pPr>
              <w:jc w:val="right"/>
            </w:pPr>
            <w:r>
              <w:rPr>
                <w:color w:val="000000"/>
                <w:sz w:val="24"/>
              </w:rPr>
              <w:t>291,362,152.47</w:t>
            </w:r>
          </w:p>
        </w:tc>
        <w:tc>
          <w:tcPr>
            <w:tcW w:w="1680" w:type="dxa"/>
            <w:vAlign w:val="center"/>
          </w:tcPr>
          <w:p w:rsidR="00A35A25" w:rsidRDefault="00C408DA">
            <w:pPr>
              <w:jc w:val="right"/>
            </w:pPr>
            <w:r>
              <w:rPr>
                <w:color w:val="000000"/>
                <w:sz w:val="24"/>
              </w:rPr>
              <w:t>10.23</w:t>
            </w:r>
          </w:p>
        </w:tc>
      </w:tr>
      <w:tr w:rsidR="00A35A25">
        <w:trPr>
          <w:jc w:val="center"/>
        </w:trPr>
        <w:tc>
          <w:tcPr>
            <w:tcW w:w="850" w:type="dxa"/>
            <w:vAlign w:val="center"/>
          </w:tcPr>
          <w:p w:rsidR="00A35A25" w:rsidRDefault="00C408DA">
            <w:pPr>
              <w:jc w:val="center"/>
            </w:pPr>
            <w:r>
              <w:rPr>
                <w:color w:val="000000"/>
                <w:sz w:val="24"/>
              </w:rPr>
              <w:t>2</w:t>
            </w:r>
          </w:p>
        </w:tc>
        <w:tc>
          <w:tcPr>
            <w:tcW w:w="1327" w:type="dxa"/>
            <w:vAlign w:val="center"/>
          </w:tcPr>
          <w:p w:rsidR="00A35A25" w:rsidRDefault="00C408DA">
            <w:pPr>
              <w:jc w:val="center"/>
            </w:pPr>
            <w:r>
              <w:rPr>
                <w:color w:val="000000"/>
                <w:sz w:val="24"/>
              </w:rPr>
              <w:t>603517</w:t>
            </w:r>
          </w:p>
        </w:tc>
        <w:tc>
          <w:tcPr>
            <w:tcW w:w="1769" w:type="dxa"/>
            <w:vAlign w:val="center"/>
          </w:tcPr>
          <w:p w:rsidR="00A35A25" w:rsidRDefault="00C408DA">
            <w:pPr>
              <w:jc w:val="center"/>
            </w:pPr>
            <w:r>
              <w:rPr>
                <w:color w:val="000000"/>
                <w:sz w:val="24"/>
              </w:rPr>
              <w:t>绝味食品</w:t>
            </w:r>
          </w:p>
        </w:tc>
        <w:tc>
          <w:tcPr>
            <w:tcW w:w="1327" w:type="dxa"/>
            <w:vAlign w:val="center"/>
          </w:tcPr>
          <w:p w:rsidR="00A35A25" w:rsidRDefault="00C408DA">
            <w:pPr>
              <w:jc w:val="right"/>
            </w:pPr>
            <w:r>
              <w:rPr>
                <w:color w:val="000000"/>
                <w:sz w:val="24"/>
              </w:rPr>
              <w:t>5,516,225</w:t>
            </w:r>
          </w:p>
        </w:tc>
        <w:tc>
          <w:tcPr>
            <w:tcW w:w="1915" w:type="dxa"/>
            <w:vAlign w:val="center"/>
          </w:tcPr>
          <w:p w:rsidR="00A35A25" w:rsidRDefault="00C408DA">
            <w:pPr>
              <w:jc w:val="right"/>
            </w:pPr>
            <w:r>
              <w:rPr>
                <w:color w:val="000000"/>
                <w:sz w:val="24"/>
              </w:rPr>
              <w:t>285,464,643.75</w:t>
            </w:r>
          </w:p>
        </w:tc>
        <w:tc>
          <w:tcPr>
            <w:tcW w:w="1680" w:type="dxa"/>
            <w:vAlign w:val="center"/>
          </w:tcPr>
          <w:p w:rsidR="00A35A25" w:rsidRDefault="00C408DA">
            <w:pPr>
              <w:jc w:val="right"/>
            </w:pPr>
            <w:r>
              <w:rPr>
                <w:color w:val="000000"/>
                <w:sz w:val="24"/>
              </w:rPr>
              <w:t>10.02</w:t>
            </w:r>
          </w:p>
        </w:tc>
      </w:tr>
      <w:tr w:rsidR="00A35A25">
        <w:trPr>
          <w:jc w:val="center"/>
        </w:trPr>
        <w:tc>
          <w:tcPr>
            <w:tcW w:w="850" w:type="dxa"/>
            <w:vAlign w:val="center"/>
          </w:tcPr>
          <w:p w:rsidR="00A35A25" w:rsidRDefault="00C408DA">
            <w:pPr>
              <w:jc w:val="center"/>
            </w:pPr>
            <w:r>
              <w:rPr>
                <w:color w:val="000000"/>
                <w:sz w:val="24"/>
              </w:rPr>
              <w:t>3</w:t>
            </w:r>
          </w:p>
        </w:tc>
        <w:tc>
          <w:tcPr>
            <w:tcW w:w="1327" w:type="dxa"/>
            <w:vAlign w:val="center"/>
          </w:tcPr>
          <w:p w:rsidR="00A35A25" w:rsidRDefault="00C408DA">
            <w:pPr>
              <w:jc w:val="center"/>
            </w:pPr>
            <w:r>
              <w:rPr>
                <w:color w:val="000000"/>
                <w:sz w:val="24"/>
              </w:rPr>
              <w:t>002607</w:t>
            </w:r>
          </w:p>
        </w:tc>
        <w:tc>
          <w:tcPr>
            <w:tcW w:w="1769" w:type="dxa"/>
            <w:vAlign w:val="center"/>
          </w:tcPr>
          <w:p w:rsidR="00A35A25" w:rsidRDefault="00C408DA">
            <w:pPr>
              <w:jc w:val="center"/>
            </w:pPr>
            <w:r>
              <w:rPr>
                <w:color w:val="000000"/>
                <w:sz w:val="24"/>
              </w:rPr>
              <w:t>中公教育</w:t>
            </w:r>
          </w:p>
        </w:tc>
        <w:tc>
          <w:tcPr>
            <w:tcW w:w="1327" w:type="dxa"/>
            <w:vAlign w:val="center"/>
          </w:tcPr>
          <w:p w:rsidR="00A35A25" w:rsidRDefault="00C408DA">
            <w:pPr>
              <w:jc w:val="right"/>
            </w:pPr>
            <w:r>
              <w:rPr>
                <w:color w:val="000000"/>
                <w:sz w:val="24"/>
              </w:rPr>
              <w:t>11,321,298</w:t>
            </w:r>
          </w:p>
        </w:tc>
        <w:tc>
          <w:tcPr>
            <w:tcW w:w="1915" w:type="dxa"/>
            <w:vAlign w:val="center"/>
          </w:tcPr>
          <w:p w:rsidR="00A35A25" w:rsidRDefault="00C408DA">
            <w:pPr>
              <w:jc w:val="right"/>
            </w:pPr>
            <w:r>
              <w:rPr>
                <w:color w:val="000000"/>
                <w:sz w:val="24"/>
              </w:rPr>
              <w:t>257,785,955.46</w:t>
            </w:r>
          </w:p>
        </w:tc>
        <w:tc>
          <w:tcPr>
            <w:tcW w:w="1680" w:type="dxa"/>
            <w:vAlign w:val="center"/>
          </w:tcPr>
          <w:p w:rsidR="00A35A25" w:rsidRDefault="00C408DA">
            <w:pPr>
              <w:jc w:val="right"/>
            </w:pPr>
            <w:r>
              <w:rPr>
                <w:color w:val="000000"/>
                <w:sz w:val="24"/>
              </w:rPr>
              <w:t>9.05</w:t>
            </w:r>
          </w:p>
        </w:tc>
      </w:tr>
      <w:tr w:rsidR="00A35A25">
        <w:trPr>
          <w:jc w:val="center"/>
        </w:trPr>
        <w:tc>
          <w:tcPr>
            <w:tcW w:w="850" w:type="dxa"/>
            <w:vAlign w:val="center"/>
          </w:tcPr>
          <w:p w:rsidR="00A35A25" w:rsidRDefault="00C408DA">
            <w:pPr>
              <w:jc w:val="center"/>
            </w:pPr>
            <w:r>
              <w:rPr>
                <w:color w:val="000000"/>
                <w:sz w:val="24"/>
              </w:rPr>
              <w:t>4</w:t>
            </w:r>
          </w:p>
        </w:tc>
        <w:tc>
          <w:tcPr>
            <w:tcW w:w="1327" w:type="dxa"/>
            <w:vAlign w:val="center"/>
          </w:tcPr>
          <w:p w:rsidR="00A35A25" w:rsidRDefault="00C408DA">
            <w:pPr>
              <w:jc w:val="center"/>
            </w:pPr>
            <w:r>
              <w:rPr>
                <w:color w:val="000000"/>
                <w:sz w:val="24"/>
              </w:rPr>
              <w:t>603707</w:t>
            </w:r>
          </w:p>
        </w:tc>
        <w:tc>
          <w:tcPr>
            <w:tcW w:w="1769" w:type="dxa"/>
            <w:vAlign w:val="center"/>
          </w:tcPr>
          <w:p w:rsidR="00A35A25" w:rsidRDefault="00C408DA">
            <w:pPr>
              <w:jc w:val="center"/>
            </w:pPr>
            <w:r>
              <w:rPr>
                <w:color w:val="000000"/>
                <w:sz w:val="24"/>
              </w:rPr>
              <w:t>健友股份</w:t>
            </w:r>
          </w:p>
        </w:tc>
        <w:tc>
          <w:tcPr>
            <w:tcW w:w="1327" w:type="dxa"/>
            <w:vAlign w:val="center"/>
          </w:tcPr>
          <w:p w:rsidR="00A35A25" w:rsidRDefault="00C408DA">
            <w:pPr>
              <w:jc w:val="right"/>
            </w:pPr>
            <w:r>
              <w:rPr>
                <w:color w:val="000000"/>
                <w:sz w:val="24"/>
              </w:rPr>
              <w:t>4,765,063</w:t>
            </w:r>
          </w:p>
        </w:tc>
        <w:tc>
          <w:tcPr>
            <w:tcW w:w="1915" w:type="dxa"/>
            <w:vAlign w:val="center"/>
          </w:tcPr>
          <w:p w:rsidR="00A35A25" w:rsidRDefault="00C408DA">
            <w:pPr>
              <w:jc w:val="right"/>
            </w:pPr>
            <w:r>
              <w:rPr>
                <w:color w:val="000000"/>
                <w:sz w:val="24"/>
              </w:rPr>
              <w:t>240,540,380.24</w:t>
            </w:r>
          </w:p>
        </w:tc>
        <w:tc>
          <w:tcPr>
            <w:tcW w:w="1680" w:type="dxa"/>
            <w:vAlign w:val="center"/>
          </w:tcPr>
          <w:p w:rsidR="00A35A25" w:rsidRDefault="00C408DA">
            <w:pPr>
              <w:jc w:val="right"/>
            </w:pPr>
            <w:r>
              <w:rPr>
                <w:color w:val="000000"/>
                <w:sz w:val="24"/>
              </w:rPr>
              <w:t>8.45</w:t>
            </w:r>
          </w:p>
        </w:tc>
      </w:tr>
      <w:tr w:rsidR="00A35A25">
        <w:trPr>
          <w:jc w:val="center"/>
        </w:trPr>
        <w:tc>
          <w:tcPr>
            <w:tcW w:w="850" w:type="dxa"/>
            <w:vAlign w:val="center"/>
          </w:tcPr>
          <w:p w:rsidR="00A35A25" w:rsidRDefault="00C408DA">
            <w:pPr>
              <w:jc w:val="center"/>
            </w:pPr>
            <w:r>
              <w:rPr>
                <w:color w:val="000000"/>
                <w:sz w:val="24"/>
              </w:rPr>
              <w:t>5</w:t>
            </w:r>
          </w:p>
        </w:tc>
        <w:tc>
          <w:tcPr>
            <w:tcW w:w="1327" w:type="dxa"/>
            <w:vAlign w:val="center"/>
          </w:tcPr>
          <w:p w:rsidR="00A35A25" w:rsidRDefault="00C408DA">
            <w:pPr>
              <w:jc w:val="center"/>
            </w:pPr>
            <w:r>
              <w:rPr>
                <w:color w:val="000000"/>
                <w:sz w:val="24"/>
              </w:rPr>
              <w:t>000998</w:t>
            </w:r>
          </w:p>
        </w:tc>
        <w:tc>
          <w:tcPr>
            <w:tcW w:w="1769" w:type="dxa"/>
            <w:vAlign w:val="center"/>
          </w:tcPr>
          <w:p w:rsidR="00A35A25" w:rsidRDefault="00C408DA">
            <w:pPr>
              <w:jc w:val="center"/>
            </w:pPr>
            <w:r>
              <w:rPr>
                <w:color w:val="000000"/>
                <w:sz w:val="24"/>
              </w:rPr>
              <w:t>隆平高科</w:t>
            </w:r>
          </w:p>
        </w:tc>
        <w:tc>
          <w:tcPr>
            <w:tcW w:w="1327" w:type="dxa"/>
            <w:vAlign w:val="center"/>
          </w:tcPr>
          <w:p w:rsidR="00A35A25" w:rsidRDefault="00C408DA">
            <w:pPr>
              <w:jc w:val="right"/>
            </w:pPr>
            <w:r>
              <w:rPr>
                <w:color w:val="000000"/>
                <w:sz w:val="24"/>
              </w:rPr>
              <w:t>13,000,354</w:t>
            </w:r>
          </w:p>
        </w:tc>
        <w:tc>
          <w:tcPr>
            <w:tcW w:w="1915" w:type="dxa"/>
            <w:vAlign w:val="center"/>
          </w:tcPr>
          <w:p w:rsidR="00A35A25" w:rsidRDefault="00C408DA">
            <w:pPr>
              <w:jc w:val="right"/>
            </w:pPr>
            <w:r>
              <w:rPr>
                <w:color w:val="000000"/>
                <w:sz w:val="24"/>
              </w:rPr>
              <w:t>235,566,414.48</w:t>
            </w:r>
          </w:p>
        </w:tc>
        <w:tc>
          <w:tcPr>
            <w:tcW w:w="1680" w:type="dxa"/>
            <w:vAlign w:val="center"/>
          </w:tcPr>
          <w:p w:rsidR="00A35A25" w:rsidRDefault="00C408DA">
            <w:pPr>
              <w:jc w:val="right"/>
            </w:pPr>
            <w:r>
              <w:rPr>
                <w:color w:val="000000"/>
                <w:sz w:val="24"/>
              </w:rPr>
              <w:t>8.27</w:t>
            </w:r>
          </w:p>
        </w:tc>
      </w:tr>
      <w:tr w:rsidR="00A35A25">
        <w:trPr>
          <w:jc w:val="center"/>
        </w:trPr>
        <w:tc>
          <w:tcPr>
            <w:tcW w:w="850" w:type="dxa"/>
            <w:vAlign w:val="center"/>
          </w:tcPr>
          <w:p w:rsidR="00A35A25" w:rsidRDefault="00C408DA">
            <w:pPr>
              <w:jc w:val="center"/>
            </w:pPr>
            <w:r>
              <w:rPr>
                <w:color w:val="000000"/>
                <w:sz w:val="24"/>
              </w:rPr>
              <w:t>6</w:t>
            </w:r>
          </w:p>
        </w:tc>
        <w:tc>
          <w:tcPr>
            <w:tcW w:w="1327" w:type="dxa"/>
            <w:vAlign w:val="center"/>
          </w:tcPr>
          <w:p w:rsidR="00A35A25" w:rsidRDefault="00C408DA">
            <w:pPr>
              <w:jc w:val="center"/>
            </w:pPr>
            <w:r>
              <w:rPr>
                <w:color w:val="000000"/>
                <w:sz w:val="24"/>
              </w:rPr>
              <w:t>002230</w:t>
            </w:r>
          </w:p>
        </w:tc>
        <w:tc>
          <w:tcPr>
            <w:tcW w:w="1769" w:type="dxa"/>
            <w:vAlign w:val="center"/>
          </w:tcPr>
          <w:p w:rsidR="00A35A25" w:rsidRDefault="00C408DA">
            <w:pPr>
              <w:jc w:val="center"/>
            </w:pPr>
            <w:r>
              <w:rPr>
                <w:color w:val="000000"/>
                <w:sz w:val="24"/>
              </w:rPr>
              <w:t>科大讯飞</w:t>
            </w:r>
          </w:p>
        </w:tc>
        <w:tc>
          <w:tcPr>
            <w:tcW w:w="1327" w:type="dxa"/>
            <w:vAlign w:val="center"/>
          </w:tcPr>
          <w:p w:rsidR="00A35A25" w:rsidRDefault="00C408DA">
            <w:pPr>
              <w:jc w:val="right"/>
            </w:pPr>
            <w:r>
              <w:rPr>
                <w:color w:val="000000"/>
                <w:sz w:val="24"/>
              </w:rPr>
              <w:t>4,424,864</w:t>
            </w:r>
          </w:p>
        </w:tc>
        <w:tc>
          <w:tcPr>
            <w:tcW w:w="1915" w:type="dxa"/>
            <w:vAlign w:val="center"/>
          </w:tcPr>
          <w:p w:rsidR="00A35A25" w:rsidRDefault="00C408DA">
            <w:pPr>
              <w:jc w:val="right"/>
            </w:pPr>
            <w:r>
              <w:rPr>
                <w:color w:val="000000"/>
                <w:sz w:val="24"/>
              </w:rPr>
              <w:t>152,023,663.44</w:t>
            </w:r>
          </w:p>
        </w:tc>
        <w:tc>
          <w:tcPr>
            <w:tcW w:w="1680" w:type="dxa"/>
            <w:vAlign w:val="center"/>
          </w:tcPr>
          <w:p w:rsidR="00A35A25" w:rsidRDefault="00C408DA">
            <w:pPr>
              <w:jc w:val="right"/>
            </w:pPr>
            <w:r>
              <w:rPr>
                <w:color w:val="000000"/>
                <w:sz w:val="24"/>
              </w:rPr>
              <w:t>5.34</w:t>
            </w:r>
          </w:p>
        </w:tc>
      </w:tr>
      <w:tr w:rsidR="00A35A25">
        <w:trPr>
          <w:jc w:val="center"/>
        </w:trPr>
        <w:tc>
          <w:tcPr>
            <w:tcW w:w="850" w:type="dxa"/>
            <w:vAlign w:val="center"/>
          </w:tcPr>
          <w:p w:rsidR="00A35A25" w:rsidRDefault="00C408DA">
            <w:pPr>
              <w:jc w:val="center"/>
            </w:pPr>
            <w:r>
              <w:rPr>
                <w:color w:val="000000"/>
                <w:sz w:val="24"/>
              </w:rPr>
              <w:t>7</w:t>
            </w:r>
          </w:p>
        </w:tc>
        <w:tc>
          <w:tcPr>
            <w:tcW w:w="1327" w:type="dxa"/>
            <w:vAlign w:val="center"/>
          </w:tcPr>
          <w:p w:rsidR="00A35A25" w:rsidRDefault="00C408DA">
            <w:pPr>
              <w:jc w:val="center"/>
            </w:pPr>
            <w:r>
              <w:rPr>
                <w:color w:val="000000"/>
                <w:sz w:val="24"/>
              </w:rPr>
              <w:t>002311</w:t>
            </w:r>
          </w:p>
        </w:tc>
        <w:tc>
          <w:tcPr>
            <w:tcW w:w="1769" w:type="dxa"/>
            <w:vAlign w:val="center"/>
          </w:tcPr>
          <w:p w:rsidR="00A35A25" w:rsidRDefault="00C408DA">
            <w:pPr>
              <w:jc w:val="center"/>
            </w:pPr>
            <w:r>
              <w:rPr>
                <w:color w:val="000000"/>
                <w:sz w:val="24"/>
              </w:rPr>
              <w:t>海大集团</w:t>
            </w:r>
          </w:p>
        </w:tc>
        <w:tc>
          <w:tcPr>
            <w:tcW w:w="1327" w:type="dxa"/>
            <w:vAlign w:val="center"/>
          </w:tcPr>
          <w:p w:rsidR="00A35A25" w:rsidRDefault="00C408DA">
            <w:pPr>
              <w:jc w:val="right"/>
            </w:pPr>
            <w:r>
              <w:rPr>
                <w:color w:val="000000"/>
                <w:sz w:val="24"/>
              </w:rPr>
              <w:t>3,381,072</w:t>
            </w:r>
          </w:p>
        </w:tc>
        <w:tc>
          <w:tcPr>
            <w:tcW w:w="1915" w:type="dxa"/>
            <w:vAlign w:val="center"/>
          </w:tcPr>
          <w:p w:rsidR="00A35A25" w:rsidRDefault="00C408DA">
            <w:pPr>
              <w:jc w:val="right"/>
            </w:pPr>
            <w:r>
              <w:rPr>
                <w:color w:val="000000"/>
                <w:sz w:val="24"/>
              </w:rPr>
              <w:t>135,919,094.40</w:t>
            </w:r>
          </w:p>
        </w:tc>
        <w:tc>
          <w:tcPr>
            <w:tcW w:w="1680" w:type="dxa"/>
            <w:vAlign w:val="center"/>
          </w:tcPr>
          <w:p w:rsidR="00A35A25" w:rsidRDefault="00C408DA">
            <w:pPr>
              <w:jc w:val="right"/>
            </w:pPr>
            <w:r>
              <w:rPr>
                <w:color w:val="000000"/>
                <w:sz w:val="24"/>
              </w:rPr>
              <w:t>4.77</w:t>
            </w:r>
          </w:p>
        </w:tc>
      </w:tr>
      <w:tr w:rsidR="00A35A25">
        <w:trPr>
          <w:jc w:val="center"/>
        </w:trPr>
        <w:tc>
          <w:tcPr>
            <w:tcW w:w="850" w:type="dxa"/>
            <w:vAlign w:val="center"/>
          </w:tcPr>
          <w:p w:rsidR="00A35A25" w:rsidRDefault="00C408DA">
            <w:pPr>
              <w:jc w:val="center"/>
            </w:pPr>
            <w:r>
              <w:rPr>
                <w:color w:val="000000"/>
                <w:sz w:val="24"/>
              </w:rPr>
              <w:t>8</w:t>
            </w:r>
          </w:p>
        </w:tc>
        <w:tc>
          <w:tcPr>
            <w:tcW w:w="1327" w:type="dxa"/>
            <w:vAlign w:val="center"/>
          </w:tcPr>
          <w:p w:rsidR="00A35A25" w:rsidRDefault="00C408DA">
            <w:pPr>
              <w:jc w:val="center"/>
            </w:pPr>
            <w:r>
              <w:rPr>
                <w:color w:val="000000"/>
                <w:sz w:val="24"/>
              </w:rPr>
              <w:t>600529</w:t>
            </w:r>
          </w:p>
        </w:tc>
        <w:tc>
          <w:tcPr>
            <w:tcW w:w="1769" w:type="dxa"/>
            <w:vAlign w:val="center"/>
          </w:tcPr>
          <w:p w:rsidR="00A35A25" w:rsidRDefault="00C408DA">
            <w:pPr>
              <w:jc w:val="center"/>
            </w:pPr>
            <w:r>
              <w:rPr>
                <w:color w:val="000000"/>
                <w:sz w:val="24"/>
              </w:rPr>
              <w:t>山东药玻</w:t>
            </w:r>
          </w:p>
        </w:tc>
        <w:tc>
          <w:tcPr>
            <w:tcW w:w="1327" w:type="dxa"/>
            <w:vAlign w:val="center"/>
          </w:tcPr>
          <w:p w:rsidR="00A35A25" w:rsidRDefault="00C408DA">
            <w:pPr>
              <w:jc w:val="right"/>
            </w:pPr>
            <w:r>
              <w:rPr>
                <w:color w:val="000000"/>
                <w:sz w:val="24"/>
              </w:rPr>
              <w:t>3,235,100</w:t>
            </w:r>
          </w:p>
        </w:tc>
        <w:tc>
          <w:tcPr>
            <w:tcW w:w="1915" w:type="dxa"/>
            <w:vAlign w:val="center"/>
          </w:tcPr>
          <w:p w:rsidR="00A35A25" w:rsidRDefault="00C408DA">
            <w:pPr>
              <w:jc w:val="right"/>
            </w:pPr>
            <w:r>
              <w:rPr>
                <w:color w:val="000000"/>
                <w:sz w:val="24"/>
              </w:rPr>
              <w:t>108,634,658.00</w:t>
            </w:r>
          </w:p>
        </w:tc>
        <w:tc>
          <w:tcPr>
            <w:tcW w:w="1680" w:type="dxa"/>
            <w:vAlign w:val="center"/>
          </w:tcPr>
          <w:p w:rsidR="00A35A25" w:rsidRDefault="00C408DA">
            <w:pPr>
              <w:jc w:val="right"/>
            </w:pPr>
            <w:r>
              <w:rPr>
                <w:color w:val="000000"/>
                <w:sz w:val="24"/>
              </w:rPr>
              <w:t>3.81</w:t>
            </w:r>
          </w:p>
        </w:tc>
      </w:tr>
      <w:tr w:rsidR="00A35A25">
        <w:trPr>
          <w:jc w:val="center"/>
        </w:trPr>
        <w:tc>
          <w:tcPr>
            <w:tcW w:w="850" w:type="dxa"/>
            <w:vAlign w:val="center"/>
          </w:tcPr>
          <w:p w:rsidR="00A35A25" w:rsidRDefault="00C408DA">
            <w:pPr>
              <w:jc w:val="center"/>
            </w:pPr>
            <w:r>
              <w:rPr>
                <w:color w:val="000000"/>
                <w:sz w:val="24"/>
              </w:rPr>
              <w:t>9</w:t>
            </w:r>
          </w:p>
        </w:tc>
        <w:tc>
          <w:tcPr>
            <w:tcW w:w="1327" w:type="dxa"/>
            <w:vAlign w:val="center"/>
          </w:tcPr>
          <w:p w:rsidR="00A35A25" w:rsidRDefault="00C408DA">
            <w:pPr>
              <w:jc w:val="center"/>
            </w:pPr>
            <w:r>
              <w:rPr>
                <w:color w:val="000000"/>
                <w:sz w:val="24"/>
              </w:rPr>
              <w:t>002507</w:t>
            </w:r>
          </w:p>
        </w:tc>
        <w:tc>
          <w:tcPr>
            <w:tcW w:w="1769" w:type="dxa"/>
            <w:vAlign w:val="center"/>
          </w:tcPr>
          <w:p w:rsidR="00A35A25" w:rsidRDefault="00C408DA">
            <w:pPr>
              <w:jc w:val="center"/>
            </w:pPr>
            <w:r>
              <w:rPr>
                <w:color w:val="000000"/>
                <w:sz w:val="24"/>
              </w:rPr>
              <w:t>涪陵榨菜</w:t>
            </w:r>
          </w:p>
        </w:tc>
        <w:tc>
          <w:tcPr>
            <w:tcW w:w="1327" w:type="dxa"/>
            <w:vAlign w:val="center"/>
          </w:tcPr>
          <w:p w:rsidR="00A35A25" w:rsidRDefault="00C408DA">
            <w:pPr>
              <w:jc w:val="right"/>
            </w:pPr>
            <w:r>
              <w:rPr>
                <w:color w:val="000000"/>
                <w:sz w:val="24"/>
              </w:rPr>
              <w:t>2,917,450</w:t>
            </w:r>
          </w:p>
        </w:tc>
        <w:tc>
          <w:tcPr>
            <w:tcW w:w="1915" w:type="dxa"/>
            <w:vAlign w:val="center"/>
          </w:tcPr>
          <w:p w:rsidR="00A35A25" w:rsidRDefault="00C408DA">
            <w:pPr>
              <w:jc w:val="right"/>
            </w:pPr>
            <w:r>
              <w:rPr>
                <w:color w:val="000000"/>
                <w:sz w:val="24"/>
              </w:rPr>
              <w:t>92,016,373.00</w:t>
            </w:r>
          </w:p>
        </w:tc>
        <w:tc>
          <w:tcPr>
            <w:tcW w:w="1680" w:type="dxa"/>
            <w:vAlign w:val="center"/>
          </w:tcPr>
          <w:p w:rsidR="00A35A25" w:rsidRDefault="00C408DA">
            <w:pPr>
              <w:jc w:val="right"/>
            </w:pPr>
            <w:r>
              <w:rPr>
                <w:color w:val="000000"/>
                <w:sz w:val="24"/>
              </w:rPr>
              <w:t>3.23</w:t>
            </w:r>
          </w:p>
        </w:tc>
      </w:tr>
      <w:tr w:rsidR="00A35A25">
        <w:trPr>
          <w:jc w:val="center"/>
        </w:trPr>
        <w:tc>
          <w:tcPr>
            <w:tcW w:w="850" w:type="dxa"/>
            <w:vAlign w:val="center"/>
          </w:tcPr>
          <w:p w:rsidR="00A35A25" w:rsidRDefault="00C408DA">
            <w:pPr>
              <w:jc w:val="center"/>
            </w:pPr>
            <w:r>
              <w:rPr>
                <w:color w:val="000000"/>
                <w:sz w:val="24"/>
              </w:rPr>
              <w:t>10</w:t>
            </w:r>
          </w:p>
        </w:tc>
        <w:tc>
          <w:tcPr>
            <w:tcW w:w="1327" w:type="dxa"/>
            <w:vAlign w:val="center"/>
          </w:tcPr>
          <w:p w:rsidR="00A35A25" w:rsidRDefault="00C408DA">
            <w:pPr>
              <w:jc w:val="center"/>
            </w:pPr>
            <w:r>
              <w:rPr>
                <w:color w:val="000000"/>
                <w:sz w:val="24"/>
              </w:rPr>
              <w:t>002027</w:t>
            </w:r>
          </w:p>
        </w:tc>
        <w:tc>
          <w:tcPr>
            <w:tcW w:w="1769" w:type="dxa"/>
            <w:vAlign w:val="center"/>
          </w:tcPr>
          <w:p w:rsidR="00A35A25" w:rsidRDefault="00C408DA">
            <w:pPr>
              <w:jc w:val="center"/>
            </w:pPr>
            <w:r>
              <w:rPr>
                <w:color w:val="000000"/>
                <w:sz w:val="24"/>
              </w:rPr>
              <w:t>分众传媒</w:t>
            </w:r>
          </w:p>
        </w:tc>
        <w:tc>
          <w:tcPr>
            <w:tcW w:w="1327" w:type="dxa"/>
            <w:vAlign w:val="center"/>
          </w:tcPr>
          <w:p w:rsidR="00A35A25" w:rsidRDefault="00C408DA">
            <w:pPr>
              <w:jc w:val="right"/>
            </w:pPr>
            <w:r>
              <w:rPr>
                <w:color w:val="000000"/>
                <w:sz w:val="24"/>
              </w:rPr>
              <w:t>19,768,200</w:t>
            </w:r>
          </w:p>
        </w:tc>
        <w:tc>
          <w:tcPr>
            <w:tcW w:w="1915" w:type="dxa"/>
            <w:vAlign w:val="center"/>
          </w:tcPr>
          <w:p w:rsidR="00A35A25" w:rsidRDefault="00C408DA">
            <w:pPr>
              <w:jc w:val="right"/>
            </w:pPr>
            <w:r>
              <w:rPr>
                <w:color w:val="000000"/>
                <w:sz w:val="24"/>
              </w:rPr>
              <w:t>87,375,444.00</w:t>
            </w:r>
          </w:p>
        </w:tc>
        <w:tc>
          <w:tcPr>
            <w:tcW w:w="1680" w:type="dxa"/>
            <w:vAlign w:val="center"/>
          </w:tcPr>
          <w:p w:rsidR="00A35A25" w:rsidRDefault="00C408DA">
            <w:pPr>
              <w:jc w:val="right"/>
            </w:pPr>
            <w:r>
              <w:rPr>
                <w:color w:val="000000"/>
                <w:sz w:val="24"/>
              </w:rPr>
              <w:t>3.07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150,279,000.00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150,279,000.00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6,054,500.00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0.21</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156,333,500.00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5.49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35A25">
        <w:trPr>
          <w:jc w:val="center"/>
        </w:trPr>
        <w:tc>
          <w:tcPr>
            <w:tcW w:w="1075" w:type="dxa"/>
            <w:vAlign w:val="center"/>
          </w:tcPr>
          <w:p w:rsidR="00A35A25" w:rsidRDefault="00C408DA">
            <w:pPr>
              <w:jc w:val="center"/>
            </w:pPr>
            <w:r>
              <w:rPr>
                <w:color w:val="000000"/>
                <w:sz w:val="24"/>
              </w:rPr>
              <w:t>1</w:t>
            </w:r>
          </w:p>
        </w:tc>
        <w:tc>
          <w:tcPr>
            <w:tcW w:w="1533" w:type="dxa"/>
            <w:vAlign w:val="center"/>
          </w:tcPr>
          <w:p w:rsidR="00A35A25" w:rsidRDefault="00C408DA">
            <w:pPr>
              <w:jc w:val="center"/>
            </w:pPr>
            <w:r>
              <w:rPr>
                <w:color w:val="000000"/>
                <w:sz w:val="24"/>
              </w:rPr>
              <w:t>190405</w:t>
            </w:r>
          </w:p>
        </w:tc>
        <w:tc>
          <w:tcPr>
            <w:tcW w:w="1533" w:type="dxa"/>
            <w:vAlign w:val="center"/>
          </w:tcPr>
          <w:p w:rsidR="00A35A25" w:rsidRDefault="00C408DA">
            <w:pPr>
              <w:jc w:val="center"/>
            </w:pPr>
            <w:r>
              <w:rPr>
                <w:color w:val="000000"/>
                <w:sz w:val="24"/>
              </w:rPr>
              <w:t>19</w:t>
            </w:r>
            <w:r>
              <w:rPr>
                <w:color w:val="000000"/>
                <w:sz w:val="24"/>
              </w:rPr>
              <w:t>农发</w:t>
            </w:r>
            <w:r>
              <w:rPr>
                <w:color w:val="000000"/>
                <w:sz w:val="24"/>
              </w:rPr>
              <w:t>05</w:t>
            </w:r>
          </w:p>
        </w:tc>
        <w:tc>
          <w:tcPr>
            <w:tcW w:w="1394" w:type="dxa"/>
            <w:vAlign w:val="center"/>
          </w:tcPr>
          <w:p w:rsidR="00A35A25" w:rsidRDefault="00C408DA">
            <w:pPr>
              <w:jc w:val="right"/>
            </w:pPr>
            <w:r>
              <w:rPr>
                <w:color w:val="000000"/>
                <w:sz w:val="24"/>
              </w:rPr>
              <w:t>600,000</w:t>
            </w:r>
          </w:p>
        </w:tc>
        <w:tc>
          <w:tcPr>
            <w:tcW w:w="1944" w:type="dxa"/>
            <w:vAlign w:val="center"/>
          </w:tcPr>
          <w:p w:rsidR="00A35A25" w:rsidRDefault="00C408DA">
            <w:pPr>
              <w:jc w:val="right"/>
            </w:pPr>
            <w:r>
              <w:rPr>
                <w:color w:val="000000"/>
                <w:sz w:val="24"/>
              </w:rPr>
              <w:t>60,150,000.00</w:t>
            </w:r>
          </w:p>
        </w:tc>
        <w:tc>
          <w:tcPr>
            <w:tcW w:w="1389" w:type="dxa"/>
            <w:vAlign w:val="center"/>
          </w:tcPr>
          <w:p w:rsidR="00A35A25" w:rsidRDefault="00C408DA">
            <w:pPr>
              <w:jc w:val="right"/>
            </w:pPr>
            <w:r>
              <w:rPr>
                <w:color w:val="000000"/>
                <w:sz w:val="24"/>
              </w:rPr>
              <w:t>2.11</w:t>
            </w:r>
          </w:p>
        </w:tc>
      </w:tr>
      <w:tr w:rsidR="00A35A25">
        <w:trPr>
          <w:jc w:val="center"/>
        </w:trPr>
        <w:tc>
          <w:tcPr>
            <w:tcW w:w="1075" w:type="dxa"/>
            <w:vAlign w:val="center"/>
          </w:tcPr>
          <w:p w:rsidR="00A35A25" w:rsidRDefault="00C408DA">
            <w:pPr>
              <w:jc w:val="center"/>
            </w:pPr>
            <w:r>
              <w:rPr>
                <w:color w:val="000000"/>
                <w:sz w:val="24"/>
              </w:rPr>
              <w:t>2</w:t>
            </w:r>
          </w:p>
        </w:tc>
        <w:tc>
          <w:tcPr>
            <w:tcW w:w="1533" w:type="dxa"/>
            <w:vAlign w:val="center"/>
          </w:tcPr>
          <w:p w:rsidR="00A35A25" w:rsidRDefault="00C408DA">
            <w:pPr>
              <w:jc w:val="center"/>
            </w:pPr>
            <w:r>
              <w:rPr>
                <w:color w:val="000000"/>
                <w:sz w:val="24"/>
              </w:rPr>
              <w:t>190206</w:t>
            </w:r>
          </w:p>
        </w:tc>
        <w:tc>
          <w:tcPr>
            <w:tcW w:w="1533" w:type="dxa"/>
            <w:vAlign w:val="center"/>
          </w:tcPr>
          <w:p w:rsidR="00A35A25" w:rsidRDefault="00C408DA">
            <w:pPr>
              <w:jc w:val="center"/>
            </w:pPr>
            <w:r>
              <w:rPr>
                <w:color w:val="000000"/>
                <w:sz w:val="24"/>
              </w:rPr>
              <w:t>19</w:t>
            </w:r>
            <w:r>
              <w:rPr>
                <w:color w:val="000000"/>
                <w:sz w:val="24"/>
              </w:rPr>
              <w:t>国开</w:t>
            </w:r>
            <w:r>
              <w:rPr>
                <w:color w:val="000000"/>
                <w:sz w:val="24"/>
              </w:rPr>
              <w:t>06</w:t>
            </w:r>
          </w:p>
        </w:tc>
        <w:tc>
          <w:tcPr>
            <w:tcW w:w="1394" w:type="dxa"/>
            <w:vAlign w:val="center"/>
          </w:tcPr>
          <w:p w:rsidR="00A35A25" w:rsidRDefault="00C408DA">
            <w:pPr>
              <w:jc w:val="right"/>
            </w:pPr>
            <w:r>
              <w:rPr>
                <w:color w:val="000000"/>
                <w:sz w:val="24"/>
              </w:rPr>
              <w:t>500,000</w:t>
            </w:r>
          </w:p>
        </w:tc>
        <w:tc>
          <w:tcPr>
            <w:tcW w:w="1944" w:type="dxa"/>
            <w:vAlign w:val="center"/>
          </w:tcPr>
          <w:p w:rsidR="00A35A25" w:rsidRDefault="00C408DA">
            <w:pPr>
              <w:jc w:val="right"/>
            </w:pPr>
            <w:r>
              <w:rPr>
                <w:color w:val="000000"/>
                <w:sz w:val="24"/>
              </w:rPr>
              <w:t>50,040,000.00</w:t>
            </w:r>
          </w:p>
        </w:tc>
        <w:tc>
          <w:tcPr>
            <w:tcW w:w="1389" w:type="dxa"/>
            <w:vAlign w:val="center"/>
          </w:tcPr>
          <w:p w:rsidR="00A35A25" w:rsidRDefault="00C408DA">
            <w:pPr>
              <w:jc w:val="right"/>
            </w:pPr>
            <w:r>
              <w:rPr>
                <w:color w:val="000000"/>
                <w:sz w:val="24"/>
              </w:rPr>
              <w:t>1.76</w:t>
            </w:r>
          </w:p>
        </w:tc>
      </w:tr>
      <w:tr w:rsidR="00A35A25">
        <w:trPr>
          <w:jc w:val="center"/>
        </w:trPr>
        <w:tc>
          <w:tcPr>
            <w:tcW w:w="1075" w:type="dxa"/>
            <w:vAlign w:val="center"/>
          </w:tcPr>
          <w:p w:rsidR="00A35A25" w:rsidRDefault="00C408DA">
            <w:pPr>
              <w:jc w:val="center"/>
            </w:pPr>
            <w:r>
              <w:rPr>
                <w:color w:val="000000"/>
                <w:sz w:val="24"/>
              </w:rPr>
              <w:t>3</w:t>
            </w:r>
          </w:p>
        </w:tc>
        <w:tc>
          <w:tcPr>
            <w:tcW w:w="1533" w:type="dxa"/>
            <w:vAlign w:val="center"/>
          </w:tcPr>
          <w:p w:rsidR="00A35A25" w:rsidRDefault="00C408DA">
            <w:pPr>
              <w:jc w:val="center"/>
            </w:pPr>
            <w:r>
              <w:rPr>
                <w:color w:val="000000"/>
                <w:sz w:val="24"/>
              </w:rPr>
              <w:t>200304</w:t>
            </w:r>
          </w:p>
        </w:tc>
        <w:tc>
          <w:tcPr>
            <w:tcW w:w="1533" w:type="dxa"/>
            <w:vAlign w:val="center"/>
          </w:tcPr>
          <w:p w:rsidR="00A35A25" w:rsidRDefault="00C408DA">
            <w:pPr>
              <w:jc w:val="center"/>
            </w:pPr>
            <w:r>
              <w:rPr>
                <w:color w:val="000000"/>
                <w:sz w:val="24"/>
              </w:rPr>
              <w:t>20</w:t>
            </w:r>
            <w:r>
              <w:rPr>
                <w:color w:val="000000"/>
                <w:sz w:val="24"/>
              </w:rPr>
              <w:t>进出</w:t>
            </w:r>
            <w:r>
              <w:rPr>
                <w:color w:val="000000"/>
                <w:sz w:val="24"/>
              </w:rPr>
              <w:t>04</w:t>
            </w:r>
          </w:p>
        </w:tc>
        <w:tc>
          <w:tcPr>
            <w:tcW w:w="1394" w:type="dxa"/>
            <w:vAlign w:val="center"/>
          </w:tcPr>
          <w:p w:rsidR="00A35A25" w:rsidRDefault="00C408DA">
            <w:pPr>
              <w:jc w:val="right"/>
            </w:pPr>
            <w:r>
              <w:rPr>
                <w:color w:val="000000"/>
                <w:sz w:val="24"/>
              </w:rPr>
              <w:t>200,000</w:t>
            </w:r>
          </w:p>
        </w:tc>
        <w:tc>
          <w:tcPr>
            <w:tcW w:w="1944" w:type="dxa"/>
            <w:vAlign w:val="center"/>
          </w:tcPr>
          <w:p w:rsidR="00A35A25" w:rsidRDefault="00C408DA">
            <w:pPr>
              <w:jc w:val="right"/>
            </w:pPr>
            <w:r>
              <w:rPr>
                <w:color w:val="000000"/>
                <w:sz w:val="24"/>
              </w:rPr>
              <w:t>20,028,000.00</w:t>
            </w:r>
          </w:p>
        </w:tc>
        <w:tc>
          <w:tcPr>
            <w:tcW w:w="1389" w:type="dxa"/>
            <w:vAlign w:val="center"/>
          </w:tcPr>
          <w:p w:rsidR="00A35A25" w:rsidRDefault="00C408DA">
            <w:pPr>
              <w:jc w:val="right"/>
            </w:pPr>
            <w:r>
              <w:rPr>
                <w:color w:val="000000"/>
                <w:sz w:val="24"/>
              </w:rPr>
              <w:t>0.70</w:t>
            </w:r>
          </w:p>
        </w:tc>
      </w:tr>
      <w:tr w:rsidR="00A35A25">
        <w:trPr>
          <w:jc w:val="center"/>
        </w:trPr>
        <w:tc>
          <w:tcPr>
            <w:tcW w:w="1075" w:type="dxa"/>
            <w:vAlign w:val="center"/>
          </w:tcPr>
          <w:p w:rsidR="00A35A25" w:rsidRDefault="00C408DA">
            <w:pPr>
              <w:jc w:val="center"/>
            </w:pPr>
            <w:r>
              <w:rPr>
                <w:color w:val="000000"/>
                <w:sz w:val="24"/>
              </w:rPr>
              <w:t>4</w:t>
            </w:r>
          </w:p>
        </w:tc>
        <w:tc>
          <w:tcPr>
            <w:tcW w:w="1533" w:type="dxa"/>
            <w:vAlign w:val="center"/>
          </w:tcPr>
          <w:p w:rsidR="00A35A25" w:rsidRDefault="00C408DA">
            <w:pPr>
              <w:jc w:val="center"/>
            </w:pPr>
            <w:r>
              <w:rPr>
                <w:color w:val="000000"/>
                <w:sz w:val="24"/>
              </w:rPr>
              <w:t>190211</w:t>
            </w:r>
          </w:p>
        </w:tc>
        <w:tc>
          <w:tcPr>
            <w:tcW w:w="1533" w:type="dxa"/>
            <w:vAlign w:val="center"/>
          </w:tcPr>
          <w:p w:rsidR="00A35A25" w:rsidRDefault="00C408DA">
            <w:pPr>
              <w:jc w:val="center"/>
            </w:pPr>
            <w:r>
              <w:rPr>
                <w:color w:val="000000"/>
                <w:sz w:val="24"/>
              </w:rPr>
              <w:t>19</w:t>
            </w:r>
            <w:r>
              <w:rPr>
                <w:color w:val="000000"/>
                <w:sz w:val="24"/>
              </w:rPr>
              <w:t>国开</w:t>
            </w:r>
            <w:r>
              <w:rPr>
                <w:color w:val="000000"/>
                <w:sz w:val="24"/>
              </w:rPr>
              <w:t>11</w:t>
            </w:r>
          </w:p>
        </w:tc>
        <w:tc>
          <w:tcPr>
            <w:tcW w:w="1394" w:type="dxa"/>
            <w:vAlign w:val="center"/>
          </w:tcPr>
          <w:p w:rsidR="00A35A25" w:rsidRDefault="00C408DA">
            <w:pPr>
              <w:jc w:val="right"/>
            </w:pPr>
            <w:r>
              <w:rPr>
                <w:color w:val="000000"/>
                <w:sz w:val="24"/>
              </w:rPr>
              <w:t>100,000</w:t>
            </w:r>
          </w:p>
        </w:tc>
        <w:tc>
          <w:tcPr>
            <w:tcW w:w="1944" w:type="dxa"/>
            <w:vAlign w:val="center"/>
          </w:tcPr>
          <w:p w:rsidR="00A35A25" w:rsidRDefault="00C408DA">
            <w:pPr>
              <w:jc w:val="right"/>
            </w:pPr>
            <w:r>
              <w:rPr>
                <w:color w:val="000000"/>
                <w:sz w:val="24"/>
              </w:rPr>
              <w:t>10,053,000.00</w:t>
            </w:r>
          </w:p>
        </w:tc>
        <w:tc>
          <w:tcPr>
            <w:tcW w:w="1389" w:type="dxa"/>
            <w:vAlign w:val="center"/>
          </w:tcPr>
          <w:p w:rsidR="00A35A25" w:rsidRDefault="00C408DA">
            <w:pPr>
              <w:jc w:val="right"/>
            </w:pPr>
            <w:r>
              <w:rPr>
                <w:color w:val="000000"/>
                <w:sz w:val="24"/>
              </w:rPr>
              <w:t>0.35</w:t>
            </w:r>
          </w:p>
        </w:tc>
      </w:tr>
      <w:tr w:rsidR="00A35A25">
        <w:trPr>
          <w:jc w:val="center"/>
        </w:trPr>
        <w:tc>
          <w:tcPr>
            <w:tcW w:w="1075" w:type="dxa"/>
            <w:vAlign w:val="center"/>
          </w:tcPr>
          <w:p w:rsidR="00A35A25" w:rsidRDefault="00C408DA">
            <w:pPr>
              <w:jc w:val="center"/>
            </w:pPr>
            <w:r>
              <w:rPr>
                <w:color w:val="000000"/>
                <w:sz w:val="24"/>
              </w:rPr>
              <w:t>5</w:t>
            </w:r>
          </w:p>
        </w:tc>
        <w:tc>
          <w:tcPr>
            <w:tcW w:w="1533" w:type="dxa"/>
            <w:vAlign w:val="center"/>
          </w:tcPr>
          <w:p w:rsidR="00A35A25" w:rsidRDefault="00C408DA">
            <w:pPr>
              <w:jc w:val="center"/>
            </w:pPr>
            <w:r>
              <w:rPr>
                <w:color w:val="000000"/>
                <w:sz w:val="24"/>
              </w:rPr>
              <w:t>170305</w:t>
            </w:r>
          </w:p>
        </w:tc>
        <w:tc>
          <w:tcPr>
            <w:tcW w:w="1533" w:type="dxa"/>
            <w:vAlign w:val="center"/>
          </w:tcPr>
          <w:p w:rsidR="00A35A25" w:rsidRDefault="00C408DA">
            <w:pPr>
              <w:jc w:val="center"/>
            </w:pPr>
            <w:r>
              <w:rPr>
                <w:color w:val="000000"/>
                <w:sz w:val="24"/>
              </w:rPr>
              <w:t>17</w:t>
            </w:r>
            <w:r>
              <w:rPr>
                <w:color w:val="000000"/>
                <w:sz w:val="24"/>
              </w:rPr>
              <w:t>进出</w:t>
            </w:r>
            <w:r>
              <w:rPr>
                <w:color w:val="000000"/>
                <w:sz w:val="24"/>
              </w:rPr>
              <w:t>05</w:t>
            </w:r>
          </w:p>
        </w:tc>
        <w:tc>
          <w:tcPr>
            <w:tcW w:w="1394" w:type="dxa"/>
            <w:vAlign w:val="center"/>
          </w:tcPr>
          <w:p w:rsidR="00A35A25" w:rsidRDefault="00C408DA">
            <w:pPr>
              <w:jc w:val="right"/>
            </w:pPr>
            <w:r>
              <w:rPr>
                <w:color w:val="000000"/>
                <w:sz w:val="24"/>
              </w:rPr>
              <w:t>100,000</w:t>
            </w:r>
          </w:p>
        </w:tc>
        <w:tc>
          <w:tcPr>
            <w:tcW w:w="1944" w:type="dxa"/>
            <w:vAlign w:val="center"/>
          </w:tcPr>
          <w:p w:rsidR="00A35A25" w:rsidRDefault="00C408DA">
            <w:pPr>
              <w:jc w:val="right"/>
            </w:pPr>
            <w:r>
              <w:rPr>
                <w:color w:val="000000"/>
                <w:sz w:val="24"/>
              </w:rPr>
              <w:t>10,008,000.00</w:t>
            </w:r>
          </w:p>
        </w:tc>
        <w:tc>
          <w:tcPr>
            <w:tcW w:w="1389" w:type="dxa"/>
            <w:vAlign w:val="center"/>
          </w:tcPr>
          <w:p w:rsidR="00A35A25" w:rsidRDefault="00C408DA">
            <w:pPr>
              <w:jc w:val="right"/>
            </w:pPr>
            <w:r>
              <w:rPr>
                <w:color w:val="000000"/>
                <w:sz w:val="24"/>
              </w:rPr>
              <w:t>0.35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566,387.01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2,830,538.81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3,006,499.39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1,501,322.41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7,904,747.62</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571E42" w:rsidRPr="00571E42" w:rsidRDefault="00571E42" w:rsidP="00571E42">
      <w:pPr>
        <w:autoSpaceDE w:val="0"/>
        <w:autoSpaceDN w:val="0"/>
        <w:adjustRightInd w:val="0"/>
        <w:spacing w:before="29" w:line="288" w:lineRule="auto"/>
        <w:jc w:val="right"/>
        <w:rPr>
          <w:rFonts w:eastAsiaTheme="minorEastAsia"/>
          <w:bCs/>
          <w:sz w:val="24"/>
        </w:rPr>
      </w:pPr>
      <w:r w:rsidRPr="001B7979">
        <w:rPr>
          <w:color w:val="00000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1843E2"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1843E2">
              <w:rPr>
                <w:rFonts w:hint="eastAsia"/>
                <w:color w:val="000000"/>
                <w:kern w:val="0"/>
                <w:sz w:val="24"/>
              </w:rPr>
              <w:t>(</w:t>
            </w:r>
            <w:r w:rsidR="001843E2">
              <w:rPr>
                <w:color w:val="000000"/>
                <w:kern w:val="0"/>
                <w:sz w:val="24"/>
              </w:rPr>
              <w:t>%</w:t>
            </w:r>
            <w:r w:rsidR="001843E2">
              <w:rPr>
                <w:rFonts w:hint="eastAsia"/>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A35A25">
        <w:trPr>
          <w:jc w:val="center"/>
        </w:trPr>
        <w:tc>
          <w:tcPr>
            <w:tcW w:w="1129" w:type="dxa"/>
            <w:vAlign w:val="center"/>
          </w:tcPr>
          <w:p w:rsidR="00A35A25" w:rsidRDefault="00C408DA">
            <w:pPr>
              <w:jc w:val="center"/>
            </w:pPr>
            <w:r>
              <w:rPr>
                <w:rFonts w:eastAsiaTheme="minorEastAsia"/>
                <w:color w:val="000000"/>
                <w:sz w:val="24"/>
              </w:rPr>
              <w:t>1</w:t>
            </w:r>
          </w:p>
        </w:tc>
        <w:tc>
          <w:tcPr>
            <w:tcW w:w="1356" w:type="dxa"/>
            <w:vAlign w:val="center"/>
          </w:tcPr>
          <w:p w:rsidR="00A35A25" w:rsidRDefault="00C408DA">
            <w:pPr>
              <w:jc w:val="center"/>
            </w:pPr>
            <w:r>
              <w:rPr>
                <w:rFonts w:eastAsiaTheme="minorEastAsia"/>
                <w:color w:val="000000"/>
                <w:sz w:val="24"/>
              </w:rPr>
              <w:t>002230</w:t>
            </w:r>
          </w:p>
        </w:tc>
        <w:tc>
          <w:tcPr>
            <w:tcW w:w="1355" w:type="dxa"/>
            <w:vAlign w:val="center"/>
          </w:tcPr>
          <w:p w:rsidR="00A35A25" w:rsidRDefault="00C408DA">
            <w:pPr>
              <w:jc w:val="center"/>
            </w:pPr>
            <w:r>
              <w:rPr>
                <w:rFonts w:eastAsiaTheme="minorEastAsia"/>
                <w:color w:val="000000"/>
                <w:sz w:val="24"/>
              </w:rPr>
              <w:t>科大讯飞</w:t>
            </w:r>
          </w:p>
        </w:tc>
        <w:tc>
          <w:tcPr>
            <w:tcW w:w="1880" w:type="dxa"/>
            <w:vAlign w:val="center"/>
          </w:tcPr>
          <w:p w:rsidR="00A35A25" w:rsidRDefault="00C408DA">
            <w:pPr>
              <w:jc w:val="right"/>
            </w:pPr>
            <w:r>
              <w:rPr>
                <w:rFonts w:eastAsiaTheme="minorEastAsia"/>
                <w:color w:val="000000"/>
                <w:sz w:val="24"/>
              </w:rPr>
              <w:t>6,607,150.00</w:t>
            </w:r>
          </w:p>
        </w:tc>
        <w:tc>
          <w:tcPr>
            <w:tcW w:w="1724" w:type="dxa"/>
            <w:vAlign w:val="center"/>
          </w:tcPr>
          <w:p w:rsidR="00A35A25" w:rsidRDefault="00C408DA">
            <w:pPr>
              <w:jc w:val="right"/>
            </w:pPr>
            <w:r>
              <w:rPr>
                <w:rFonts w:eastAsiaTheme="minorEastAsia"/>
                <w:color w:val="000000"/>
                <w:sz w:val="24"/>
              </w:rPr>
              <w:t>0.23</w:t>
            </w:r>
          </w:p>
        </w:tc>
        <w:tc>
          <w:tcPr>
            <w:tcW w:w="1424" w:type="dxa"/>
            <w:vAlign w:val="center"/>
          </w:tcPr>
          <w:p w:rsidR="00A35A25" w:rsidRDefault="00C408DA">
            <w:pPr>
              <w:jc w:val="right"/>
            </w:pPr>
            <w:r>
              <w:rPr>
                <w:rFonts w:eastAsiaTheme="minorEastAsia"/>
                <w:color w:val="000000"/>
                <w:sz w:val="24"/>
              </w:rPr>
              <w:t>限售股</w:t>
            </w:r>
          </w:p>
        </w:tc>
      </w:tr>
    </w:tbl>
    <w:p w:rsidR="001D5CD0" w:rsidRPr="007F52FA" w:rsidRDefault="001D5CD0" w:rsidP="007C14DF">
      <w:pPr>
        <w:spacing w:before="29" w:line="288" w:lineRule="auto"/>
        <w:rPr>
          <w:rFonts w:eastAsiaTheme="minorEastAsia"/>
          <w:sz w:val="24"/>
        </w:rPr>
      </w:pP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H</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599,365,100.48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190,322.16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21,210,469.83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65,168,547.85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143,573.36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555,407,022.46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46,748.80</w:t>
            </w:r>
          </w:p>
        </w:tc>
      </w:tr>
    </w:tbl>
    <w:p w:rsidR="00A35A25" w:rsidRDefault="00C408D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35A25" w:rsidRDefault="00C408D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、中国证监会批准交银施罗德成长股票证券投资基金募集的文件；</w:t>
      </w:r>
      <w:r>
        <w:rPr>
          <w:rFonts w:eastAsiaTheme="minorEastAsia"/>
          <w:color w:val="000000"/>
          <w:sz w:val="24"/>
        </w:rPr>
        <w:t xml:space="preserve"> </w:t>
      </w:r>
    </w:p>
    <w:p w:rsidR="00A35A25" w:rsidRDefault="00C408D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、《交银施罗德成长混合型证券投资基金基金合同》；</w:t>
      </w:r>
      <w:r>
        <w:rPr>
          <w:rFonts w:eastAsiaTheme="minorEastAsia"/>
          <w:color w:val="000000"/>
          <w:sz w:val="24"/>
        </w:rPr>
        <w:t xml:space="preserve"> </w:t>
      </w:r>
    </w:p>
    <w:p w:rsidR="00A35A25" w:rsidRDefault="00C408D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、《交银施罗德成长混合型证券投资基金招募说明书》；</w:t>
      </w:r>
      <w:r>
        <w:rPr>
          <w:rFonts w:eastAsiaTheme="minorEastAsia"/>
          <w:color w:val="000000"/>
          <w:sz w:val="24"/>
        </w:rPr>
        <w:t xml:space="preserve"> </w:t>
      </w:r>
    </w:p>
    <w:p w:rsidR="00A35A25" w:rsidRDefault="00C408D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、《交银施罗德成长混合型证券投资基金托管协议》；</w:t>
      </w:r>
      <w:r>
        <w:rPr>
          <w:rFonts w:eastAsiaTheme="minorEastAsia"/>
          <w:color w:val="000000"/>
          <w:sz w:val="24"/>
        </w:rPr>
        <w:t xml:space="preserve"> </w:t>
      </w:r>
    </w:p>
    <w:p w:rsidR="00A35A25" w:rsidRDefault="00C408D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、关于募集交银施罗德成长股票证券投资基金之法律意见书；</w:t>
      </w:r>
      <w:r>
        <w:rPr>
          <w:rFonts w:eastAsiaTheme="minorEastAsia"/>
          <w:color w:val="000000"/>
          <w:sz w:val="24"/>
        </w:rPr>
        <w:t xml:space="preserve"> </w:t>
      </w:r>
    </w:p>
    <w:p w:rsidR="00A35A25" w:rsidRDefault="00C408DA">
      <w:pPr>
        <w:spacing w:before="29" w:line="288" w:lineRule="auto"/>
        <w:ind w:firstLineChars="200" w:firstLine="480"/>
        <w:rPr>
          <w:rFonts w:eastAsiaTheme="minorEastAsia"/>
          <w:color w:val="000000"/>
          <w:sz w:val="24"/>
        </w:rPr>
      </w:pPr>
      <w:r>
        <w:rPr>
          <w:rFonts w:eastAsiaTheme="minorEastAsia"/>
          <w:color w:val="000000"/>
          <w:sz w:val="24"/>
        </w:rPr>
        <w:lastRenderedPageBreak/>
        <w:t>6</w:t>
      </w:r>
      <w:r>
        <w:rPr>
          <w:rFonts w:eastAsiaTheme="minorEastAsia"/>
          <w:color w:val="000000"/>
          <w:sz w:val="24"/>
        </w:rPr>
        <w:t>、基金管理人业务资格批件、营业执照；</w:t>
      </w:r>
      <w:r>
        <w:rPr>
          <w:rFonts w:eastAsiaTheme="minorEastAsia"/>
          <w:color w:val="000000"/>
          <w:sz w:val="24"/>
        </w:rPr>
        <w:t xml:space="preserve"> </w:t>
      </w:r>
    </w:p>
    <w:p w:rsidR="00A35A25" w:rsidRDefault="00C408D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、报告期内交银施罗德成长混合型证券投资基金在指定报刊上各项公告的原稿。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A35A25" w:rsidRDefault="00C408D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49B" w:rsidRDefault="0086549B">
      <w:r>
        <w:separator/>
      </w:r>
    </w:p>
  </w:endnote>
  <w:endnote w:type="continuationSeparator" w:id="0">
    <w:p w:rsidR="0086549B" w:rsidRDefault="0086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C687E">
      <w:rPr>
        <w:noProof/>
        <w:kern w:val="0"/>
        <w:szCs w:val="21"/>
      </w:rPr>
      <w:t>8</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C687E">
      <w:rPr>
        <w:noProof/>
        <w:kern w:val="0"/>
        <w:szCs w:val="21"/>
      </w:rPr>
      <w:t>14</w:t>
    </w:r>
    <w:r w:rsidR="0042114A">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49B" w:rsidRDefault="0086549B">
      <w:r>
        <w:separator/>
      </w:r>
    </w:p>
  </w:footnote>
  <w:footnote w:type="continuationSeparator" w:id="0">
    <w:p w:rsidR="0086549B" w:rsidRDefault="00865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交银施罗德成长混合型证券投资基金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40EB"/>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3115"/>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687E"/>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49B"/>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5A25"/>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08DA"/>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2283A-B342-4724-B21F-C601DEA3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450</TotalTime>
  <Pages>1</Pages>
  <Words>1261</Words>
  <Characters>7194</Characters>
  <Application>Microsoft Office Word</Application>
  <DocSecurity>0</DocSecurity>
  <Lines>59</Lines>
  <Paragraphs>16</Paragraphs>
  <ScaleCrop>false</ScaleCrop>
  <Company>TRT. Ltd. Co.</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409</cp:revision>
  <cp:lastPrinted>2007-07-19T00:46:00Z</cp:lastPrinted>
  <dcterms:created xsi:type="dcterms:W3CDTF">2014-01-17T06:19:00Z</dcterms:created>
  <dcterms:modified xsi:type="dcterms:W3CDTF">2020-04-16T09:16:00Z</dcterms:modified>
</cp:coreProperties>
</file>