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交银施罗德数据产业灵活配置混合型证券投资基金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二〇二〇年四月二十二日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3F5E8E" w:rsidRDefault="009730DA">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3F5E8E" w:rsidRDefault="009730DA">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2020</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3F5E8E" w:rsidRDefault="009730DA">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3F5E8E" w:rsidRDefault="009730DA">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3F5E8E" w:rsidRDefault="009730DA">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交银数据产业灵活配置混合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519773</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519773</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8</w:t>
            </w:r>
            <w:r w:rsidRPr="00414345">
              <w:rPr>
                <w:color w:val="000000"/>
                <w:kern w:val="0"/>
                <w:sz w:val="24"/>
                <w:szCs w:val="24"/>
              </w:rPr>
              <w:t>月</w:t>
            </w:r>
            <w:r w:rsidRPr="00414345">
              <w:rPr>
                <w:color w:val="000000"/>
                <w:kern w:val="0"/>
                <w:sz w:val="24"/>
                <w:szCs w:val="24"/>
              </w:rPr>
              <w:t>16</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2,690,124,077.34</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本基金重点关注数据产业链的上中下游企业，在控制风险并保持基金资产良好的流动性的前提下，力争实现基金资产的长期稳定增值。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本基金所定义的数据产业的主题范畴是指产生并存储着海量的数据资源的上游资源型公司；依托在数据处理技术上具有卡位优势的中游技术型公司，以及通过对开放数据的交叉关联运</w:t>
            </w:r>
            <w:r w:rsidRPr="00414345">
              <w:rPr>
                <w:color w:val="000000"/>
                <w:kern w:val="0"/>
                <w:sz w:val="24"/>
                <w:szCs w:val="24"/>
              </w:rPr>
              <w:lastRenderedPageBreak/>
              <w:t>用对数据资源实现大数据价值挖掘后的下游平台型公司。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中证综合债券指数收益率</w:t>
            </w:r>
            <w:r w:rsidRPr="00414345">
              <w:rPr>
                <w:color w:val="000000"/>
                <w:kern w:val="0"/>
                <w:sz w:val="24"/>
                <w:szCs w:val="24"/>
              </w:rPr>
              <w:t>×40%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EC7EDF" w:rsidRPr="00414345" w:rsidTr="00EC7EDF">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EC7EDF" w:rsidRPr="00414345" w:rsidTr="00EC7ED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138,301,524.30</w:t>
            </w:r>
          </w:p>
        </w:tc>
      </w:tr>
      <w:tr w:rsidR="00EC7EDF" w:rsidRPr="00414345" w:rsidTr="00EC7ED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37,946,671.98</w:t>
            </w:r>
          </w:p>
        </w:tc>
      </w:tr>
      <w:tr w:rsidR="00EC7EDF" w:rsidRPr="00414345" w:rsidTr="00EC7ED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0.0177</w:t>
            </w:r>
          </w:p>
        </w:tc>
      </w:tr>
      <w:tr w:rsidR="00EC7EDF" w:rsidRPr="00414345" w:rsidTr="00EC7EDF">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3,680,433,073.27</w:t>
            </w:r>
          </w:p>
        </w:tc>
      </w:tr>
      <w:tr w:rsidR="00EC7EDF" w:rsidRPr="00414345" w:rsidTr="00EC7EDF">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1.368</w:t>
            </w:r>
          </w:p>
        </w:tc>
      </w:tr>
    </w:tbl>
    <w:p w:rsidR="003F5E8E" w:rsidRDefault="009730D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3F5E8E">
        <w:trPr>
          <w:jc w:val="center"/>
        </w:trPr>
        <w:tc>
          <w:tcPr>
            <w:tcW w:w="1701" w:type="dxa"/>
            <w:vAlign w:val="center"/>
          </w:tcPr>
          <w:p w:rsidR="003F5E8E" w:rsidRDefault="009730DA">
            <w:pPr>
              <w:jc w:val="left"/>
            </w:pPr>
            <w:r>
              <w:rPr>
                <w:color w:val="000000"/>
                <w:sz w:val="24"/>
                <w:szCs w:val="24"/>
              </w:rPr>
              <w:t>过去三个月</w:t>
            </w:r>
          </w:p>
        </w:tc>
        <w:tc>
          <w:tcPr>
            <w:tcW w:w="1045" w:type="dxa"/>
            <w:vAlign w:val="center"/>
          </w:tcPr>
          <w:p w:rsidR="003F5E8E" w:rsidRDefault="009730DA">
            <w:pPr>
              <w:jc w:val="center"/>
            </w:pPr>
            <w:r>
              <w:rPr>
                <w:color w:val="000000"/>
                <w:sz w:val="24"/>
                <w:szCs w:val="24"/>
              </w:rPr>
              <w:t>8.83%</w:t>
            </w:r>
          </w:p>
        </w:tc>
        <w:tc>
          <w:tcPr>
            <w:tcW w:w="1344" w:type="dxa"/>
            <w:vAlign w:val="center"/>
          </w:tcPr>
          <w:p w:rsidR="003F5E8E" w:rsidRDefault="009730DA">
            <w:pPr>
              <w:jc w:val="center"/>
            </w:pPr>
            <w:r>
              <w:rPr>
                <w:color w:val="000000"/>
                <w:sz w:val="24"/>
                <w:szCs w:val="24"/>
              </w:rPr>
              <w:t>2.41%</w:t>
            </w:r>
          </w:p>
        </w:tc>
        <w:tc>
          <w:tcPr>
            <w:tcW w:w="1194" w:type="dxa"/>
            <w:vAlign w:val="center"/>
          </w:tcPr>
          <w:p w:rsidR="003F5E8E" w:rsidRDefault="009730DA">
            <w:pPr>
              <w:jc w:val="center"/>
            </w:pPr>
            <w:r>
              <w:rPr>
                <w:color w:val="000000"/>
                <w:sz w:val="24"/>
                <w:szCs w:val="24"/>
              </w:rPr>
              <w:t>-4.90%</w:t>
            </w:r>
          </w:p>
        </w:tc>
        <w:tc>
          <w:tcPr>
            <w:tcW w:w="1492" w:type="dxa"/>
            <w:vAlign w:val="center"/>
          </w:tcPr>
          <w:p w:rsidR="003F5E8E" w:rsidRDefault="009730DA">
            <w:pPr>
              <w:jc w:val="center"/>
            </w:pPr>
            <w:r>
              <w:rPr>
                <w:color w:val="000000"/>
                <w:sz w:val="24"/>
                <w:szCs w:val="24"/>
              </w:rPr>
              <w:t>1.15%</w:t>
            </w:r>
          </w:p>
        </w:tc>
        <w:tc>
          <w:tcPr>
            <w:tcW w:w="1194" w:type="dxa"/>
            <w:vAlign w:val="center"/>
          </w:tcPr>
          <w:p w:rsidR="003F5E8E" w:rsidRDefault="009730DA">
            <w:pPr>
              <w:jc w:val="center"/>
            </w:pPr>
            <w:r>
              <w:rPr>
                <w:color w:val="000000"/>
                <w:sz w:val="24"/>
                <w:szCs w:val="24"/>
              </w:rPr>
              <w:t>13.73%</w:t>
            </w:r>
          </w:p>
        </w:tc>
        <w:tc>
          <w:tcPr>
            <w:tcW w:w="898" w:type="dxa"/>
            <w:vAlign w:val="center"/>
          </w:tcPr>
          <w:p w:rsidR="003F5E8E" w:rsidRDefault="009730DA">
            <w:pPr>
              <w:jc w:val="center"/>
            </w:pPr>
            <w:r>
              <w:rPr>
                <w:color w:val="000000"/>
                <w:sz w:val="24"/>
                <w:szCs w:val="24"/>
              </w:rPr>
              <w:t>1.26%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交银施罗德数据产业灵活配置混合型证券投资基金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16</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3F5E8E">
        <w:trPr>
          <w:jc w:val="center"/>
        </w:trPr>
        <w:tc>
          <w:tcPr>
            <w:tcW w:w="846" w:type="dxa"/>
            <w:vAlign w:val="center"/>
          </w:tcPr>
          <w:p w:rsidR="003F5E8E" w:rsidRDefault="009730DA">
            <w:pPr>
              <w:jc w:val="center"/>
            </w:pPr>
            <w:r>
              <w:rPr>
                <w:color w:val="000000"/>
                <w:sz w:val="24"/>
                <w:szCs w:val="24"/>
              </w:rPr>
              <w:t>田彧龙</w:t>
            </w:r>
          </w:p>
        </w:tc>
        <w:tc>
          <w:tcPr>
            <w:tcW w:w="845" w:type="dxa"/>
            <w:vAlign w:val="center"/>
          </w:tcPr>
          <w:p w:rsidR="003F5E8E" w:rsidRDefault="009730DA">
            <w:pPr>
              <w:jc w:val="center"/>
            </w:pPr>
            <w:r>
              <w:rPr>
                <w:color w:val="000000"/>
                <w:sz w:val="24"/>
                <w:szCs w:val="24"/>
              </w:rPr>
              <w:t>交银数据产业灵活配置混合、交银科锐科技</w:t>
            </w:r>
            <w:r>
              <w:rPr>
                <w:color w:val="000000"/>
                <w:sz w:val="24"/>
                <w:szCs w:val="24"/>
              </w:rPr>
              <w:lastRenderedPageBreak/>
              <w:t>创新混合的基金经理</w:t>
            </w:r>
          </w:p>
        </w:tc>
        <w:tc>
          <w:tcPr>
            <w:tcW w:w="1549" w:type="dxa"/>
            <w:vAlign w:val="center"/>
          </w:tcPr>
          <w:p w:rsidR="003F5E8E" w:rsidRDefault="009730DA">
            <w:pPr>
              <w:jc w:val="center"/>
            </w:pPr>
            <w:r>
              <w:rPr>
                <w:color w:val="000000"/>
                <w:sz w:val="24"/>
                <w:szCs w:val="24"/>
              </w:rPr>
              <w:lastRenderedPageBreak/>
              <w:t>2019-05-14</w:t>
            </w:r>
          </w:p>
        </w:tc>
        <w:tc>
          <w:tcPr>
            <w:tcW w:w="1548" w:type="dxa"/>
            <w:vAlign w:val="center"/>
          </w:tcPr>
          <w:p w:rsidR="003F5E8E" w:rsidRDefault="009730DA">
            <w:pPr>
              <w:jc w:val="center"/>
            </w:pPr>
            <w:r>
              <w:rPr>
                <w:color w:val="000000"/>
                <w:sz w:val="24"/>
                <w:szCs w:val="24"/>
              </w:rPr>
              <w:t>-</w:t>
            </w:r>
          </w:p>
        </w:tc>
        <w:tc>
          <w:tcPr>
            <w:tcW w:w="1407" w:type="dxa"/>
            <w:vAlign w:val="center"/>
          </w:tcPr>
          <w:p w:rsidR="003F5E8E" w:rsidRDefault="009730DA">
            <w:pPr>
              <w:jc w:val="center"/>
            </w:pPr>
            <w:r>
              <w:rPr>
                <w:color w:val="000000"/>
                <w:sz w:val="24"/>
                <w:szCs w:val="24"/>
              </w:rPr>
              <w:t>6</w:t>
            </w:r>
            <w:r>
              <w:rPr>
                <w:color w:val="000000"/>
                <w:sz w:val="24"/>
                <w:szCs w:val="24"/>
              </w:rPr>
              <w:t>年</w:t>
            </w:r>
          </w:p>
        </w:tc>
        <w:tc>
          <w:tcPr>
            <w:tcW w:w="2673" w:type="dxa"/>
            <w:vAlign w:val="center"/>
          </w:tcPr>
          <w:p w:rsidR="003F5E8E" w:rsidRDefault="009730DA">
            <w:r>
              <w:rPr>
                <w:color w:val="000000"/>
                <w:sz w:val="24"/>
                <w:szCs w:val="24"/>
              </w:rPr>
              <w:t>田彧龙先生，上海交通大学金融学硕士，浙江大学光电信息工程学学士。</w:t>
            </w:r>
            <w:r>
              <w:rPr>
                <w:color w:val="000000"/>
                <w:sz w:val="24"/>
                <w:szCs w:val="24"/>
              </w:rPr>
              <w:t>2014</w:t>
            </w:r>
            <w:r>
              <w:rPr>
                <w:color w:val="000000"/>
                <w:sz w:val="24"/>
                <w:szCs w:val="24"/>
              </w:rPr>
              <w:t>年</w:t>
            </w:r>
            <w:r>
              <w:rPr>
                <w:color w:val="000000"/>
                <w:sz w:val="24"/>
                <w:szCs w:val="24"/>
              </w:rPr>
              <w:t>7</w:t>
            </w:r>
            <w:r>
              <w:rPr>
                <w:color w:val="000000"/>
                <w:sz w:val="24"/>
                <w:szCs w:val="24"/>
              </w:rPr>
              <w:t>月加入交银施罗德基金管理有限公司，历任行业分析师、基金经理助理。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3F5E8E" w:rsidRDefault="009730DA">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3F5E8E" w:rsidRDefault="009730DA">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3F5E8E" w:rsidRDefault="009730DA">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lastRenderedPageBreak/>
        <w:t xml:space="preserve">4.4 </w:t>
      </w:r>
      <w:r w:rsidRPr="00414345">
        <w:rPr>
          <w:rFonts w:hAnsi="宋体"/>
          <w:b/>
          <w:bCs/>
          <w:color w:val="000000"/>
          <w:sz w:val="24"/>
        </w:rPr>
        <w:t>报告期内基金的投资策略和运作分析</w:t>
      </w:r>
    </w:p>
    <w:p w:rsidR="003F5E8E" w:rsidRDefault="009730DA">
      <w:pPr>
        <w:spacing w:before="29" w:line="288" w:lineRule="auto"/>
        <w:ind w:firstLineChars="200" w:firstLine="480"/>
        <w:rPr>
          <w:color w:val="000000"/>
          <w:sz w:val="24"/>
          <w:szCs w:val="24"/>
        </w:rPr>
      </w:pPr>
      <w:r>
        <w:rPr>
          <w:color w:val="000000"/>
          <w:sz w:val="24"/>
          <w:szCs w:val="24"/>
        </w:rPr>
        <w:t>2020</w:t>
      </w:r>
      <w:r>
        <w:rPr>
          <w:color w:val="000000"/>
          <w:sz w:val="24"/>
          <w:szCs w:val="24"/>
        </w:rPr>
        <w:t>年一季度，受新冠疫情影响，市场出现大幅波动。整体上来看，随着各国货币政策和财政政策的发力以及积极防疫的展开，资本市场的恐慌情绪正在减弱，但是从经济上来看，此次疫情仍给各国带来了不小的影响。短期来看，外需的影响仍需观察，复苏需要等待疫情拐点，重点布局内需和有可能受益于财政政策的方向。</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2020</w:t>
      </w:r>
      <w:r w:rsidRPr="00414345">
        <w:rPr>
          <w:color w:val="000000"/>
          <w:sz w:val="24"/>
          <w:szCs w:val="24"/>
        </w:rPr>
        <w:t>年二季度，我们仍然看好以</w:t>
      </w:r>
      <w:r w:rsidRPr="00414345">
        <w:rPr>
          <w:color w:val="000000"/>
          <w:sz w:val="24"/>
          <w:szCs w:val="24"/>
        </w:rPr>
        <w:t>TMT</w:t>
      </w:r>
      <w:r w:rsidRPr="00414345">
        <w:rPr>
          <w:color w:val="000000"/>
          <w:sz w:val="24"/>
          <w:szCs w:val="24"/>
        </w:rPr>
        <w:t>为代表的数据产业领域，虽然短期部分公司需求受到经济冲击，但是长期来看，在新的一轮科技赋能周期下，中国科技公司仍将大有可为。与此同时，新基建政策的发力，会给</w:t>
      </w:r>
      <w:r w:rsidRPr="00414345">
        <w:rPr>
          <w:color w:val="000000"/>
          <w:sz w:val="24"/>
          <w:szCs w:val="24"/>
        </w:rPr>
        <w:t>5G</w:t>
      </w:r>
      <w:r w:rsidRPr="00414345">
        <w:rPr>
          <w:color w:val="000000"/>
          <w:sz w:val="24"/>
          <w:szCs w:val="24"/>
        </w:rPr>
        <w:t>、</w:t>
      </w:r>
      <w:r w:rsidRPr="00414345">
        <w:rPr>
          <w:color w:val="000000"/>
          <w:sz w:val="24"/>
          <w:szCs w:val="24"/>
        </w:rPr>
        <w:t>IDC</w:t>
      </w:r>
      <w:r w:rsidRPr="00414345">
        <w:rPr>
          <w:color w:val="000000"/>
          <w:sz w:val="24"/>
          <w:szCs w:val="24"/>
        </w:rPr>
        <w:t>等产业注入活力，同样值得重点关注。与此同时，我们关注到科创板有越来越多优质公司出现，这些公司管理架构优异，机制灵活，相信中长期来看，科创板或可诞生伟大公司。</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2,798,054,661.88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75.57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2,798,054,661.88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75.57</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200,727,000.00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5.42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200,727,000.00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5.42</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660,109,794.20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17.83</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43,814,978.40</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1.18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3,702,706,434.48</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99,660,597.96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2.71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1,731,884,173.03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19,147.31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461,423,083.01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12.54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63,819,783.00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108,581,503.05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91,735,737.33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86,833,007.91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154,097,629.28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2,798,054,661.88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76.03</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3F5E8E">
        <w:trPr>
          <w:jc w:val="center"/>
        </w:trPr>
        <w:tc>
          <w:tcPr>
            <w:tcW w:w="855" w:type="dxa"/>
            <w:vAlign w:val="center"/>
          </w:tcPr>
          <w:p w:rsidR="003F5E8E" w:rsidRDefault="009730DA">
            <w:pPr>
              <w:jc w:val="center"/>
            </w:pPr>
            <w:r>
              <w:rPr>
                <w:color w:val="000000"/>
                <w:sz w:val="24"/>
                <w:szCs w:val="24"/>
              </w:rPr>
              <w:t>1</w:t>
            </w:r>
          </w:p>
        </w:tc>
        <w:tc>
          <w:tcPr>
            <w:tcW w:w="1334" w:type="dxa"/>
            <w:vAlign w:val="center"/>
          </w:tcPr>
          <w:p w:rsidR="003F5E8E" w:rsidRDefault="009730DA">
            <w:pPr>
              <w:jc w:val="center"/>
            </w:pPr>
            <w:r>
              <w:rPr>
                <w:color w:val="000000"/>
                <w:sz w:val="24"/>
                <w:szCs w:val="24"/>
              </w:rPr>
              <w:t>002837</w:t>
            </w:r>
          </w:p>
        </w:tc>
        <w:tc>
          <w:tcPr>
            <w:tcW w:w="1777" w:type="dxa"/>
            <w:vAlign w:val="center"/>
          </w:tcPr>
          <w:p w:rsidR="003F5E8E" w:rsidRDefault="009730DA">
            <w:pPr>
              <w:jc w:val="center"/>
            </w:pPr>
            <w:r>
              <w:rPr>
                <w:color w:val="000000"/>
                <w:sz w:val="24"/>
                <w:szCs w:val="24"/>
              </w:rPr>
              <w:t>英维克</w:t>
            </w:r>
          </w:p>
        </w:tc>
        <w:tc>
          <w:tcPr>
            <w:tcW w:w="1334" w:type="dxa"/>
            <w:vAlign w:val="center"/>
          </w:tcPr>
          <w:p w:rsidR="003F5E8E" w:rsidRDefault="009730DA">
            <w:pPr>
              <w:jc w:val="right"/>
            </w:pPr>
            <w:r>
              <w:rPr>
                <w:color w:val="000000"/>
                <w:sz w:val="24"/>
                <w:szCs w:val="24"/>
              </w:rPr>
              <w:t>7,505,832</w:t>
            </w:r>
          </w:p>
        </w:tc>
        <w:tc>
          <w:tcPr>
            <w:tcW w:w="1924" w:type="dxa"/>
            <w:vAlign w:val="center"/>
          </w:tcPr>
          <w:p w:rsidR="003F5E8E" w:rsidRDefault="009730DA">
            <w:pPr>
              <w:jc w:val="right"/>
            </w:pPr>
            <w:r>
              <w:rPr>
                <w:color w:val="000000"/>
                <w:sz w:val="24"/>
                <w:szCs w:val="24"/>
              </w:rPr>
              <w:t>287,548,423.92</w:t>
            </w:r>
          </w:p>
        </w:tc>
        <w:tc>
          <w:tcPr>
            <w:tcW w:w="1644" w:type="dxa"/>
            <w:vAlign w:val="center"/>
          </w:tcPr>
          <w:p w:rsidR="003F5E8E" w:rsidRDefault="009730DA">
            <w:pPr>
              <w:jc w:val="right"/>
            </w:pPr>
            <w:r>
              <w:rPr>
                <w:color w:val="000000"/>
                <w:sz w:val="24"/>
                <w:szCs w:val="24"/>
              </w:rPr>
              <w:t>7.81</w:t>
            </w:r>
          </w:p>
        </w:tc>
      </w:tr>
      <w:tr w:rsidR="003F5E8E">
        <w:trPr>
          <w:jc w:val="center"/>
        </w:trPr>
        <w:tc>
          <w:tcPr>
            <w:tcW w:w="855" w:type="dxa"/>
            <w:vAlign w:val="center"/>
          </w:tcPr>
          <w:p w:rsidR="003F5E8E" w:rsidRDefault="009730DA">
            <w:pPr>
              <w:jc w:val="center"/>
            </w:pPr>
            <w:r>
              <w:rPr>
                <w:color w:val="000000"/>
                <w:sz w:val="24"/>
                <w:szCs w:val="24"/>
              </w:rPr>
              <w:t>2</w:t>
            </w:r>
          </w:p>
        </w:tc>
        <w:tc>
          <w:tcPr>
            <w:tcW w:w="1334" w:type="dxa"/>
            <w:vAlign w:val="center"/>
          </w:tcPr>
          <w:p w:rsidR="003F5E8E" w:rsidRDefault="009730DA">
            <w:pPr>
              <w:jc w:val="center"/>
            </w:pPr>
            <w:r>
              <w:rPr>
                <w:color w:val="000000"/>
                <w:sz w:val="24"/>
                <w:szCs w:val="24"/>
              </w:rPr>
              <w:t>603186</w:t>
            </w:r>
          </w:p>
        </w:tc>
        <w:tc>
          <w:tcPr>
            <w:tcW w:w="1777" w:type="dxa"/>
            <w:vAlign w:val="center"/>
          </w:tcPr>
          <w:p w:rsidR="003F5E8E" w:rsidRDefault="009730DA">
            <w:pPr>
              <w:jc w:val="center"/>
            </w:pPr>
            <w:r>
              <w:rPr>
                <w:color w:val="000000"/>
                <w:sz w:val="24"/>
                <w:szCs w:val="24"/>
              </w:rPr>
              <w:t>华正新材</w:t>
            </w:r>
          </w:p>
        </w:tc>
        <w:tc>
          <w:tcPr>
            <w:tcW w:w="1334" w:type="dxa"/>
            <w:vAlign w:val="center"/>
          </w:tcPr>
          <w:p w:rsidR="003F5E8E" w:rsidRDefault="009730DA">
            <w:pPr>
              <w:jc w:val="right"/>
            </w:pPr>
            <w:r>
              <w:rPr>
                <w:color w:val="000000"/>
                <w:sz w:val="24"/>
                <w:szCs w:val="24"/>
              </w:rPr>
              <w:t>4,891,684</w:t>
            </w:r>
          </w:p>
        </w:tc>
        <w:tc>
          <w:tcPr>
            <w:tcW w:w="1924" w:type="dxa"/>
            <w:vAlign w:val="center"/>
          </w:tcPr>
          <w:p w:rsidR="003F5E8E" w:rsidRDefault="009730DA">
            <w:pPr>
              <w:jc w:val="right"/>
            </w:pPr>
            <w:r>
              <w:rPr>
                <w:color w:val="000000"/>
                <w:sz w:val="24"/>
                <w:szCs w:val="24"/>
              </w:rPr>
              <w:t>211,516,416.16</w:t>
            </w:r>
          </w:p>
        </w:tc>
        <w:tc>
          <w:tcPr>
            <w:tcW w:w="1644" w:type="dxa"/>
            <w:vAlign w:val="center"/>
          </w:tcPr>
          <w:p w:rsidR="003F5E8E" w:rsidRDefault="009730DA">
            <w:pPr>
              <w:jc w:val="right"/>
            </w:pPr>
            <w:r>
              <w:rPr>
                <w:color w:val="000000"/>
                <w:sz w:val="24"/>
                <w:szCs w:val="24"/>
              </w:rPr>
              <w:t>5.75</w:t>
            </w:r>
          </w:p>
        </w:tc>
      </w:tr>
      <w:tr w:rsidR="003F5E8E">
        <w:trPr>
          <w:jc w:val="center"/>
        </w:trPr>
        <w:tc>
          <w:tcPr>
            <w:tcW w:w="855" w:type="dxa"/>
            <w:vAlign w:val="center"/>
          </w:tcPr>
          <w:p w:rsidR="003F5E8E" w:rsidRDefault="009730DA">
            <w:pPr>
              <w:jc w:val="center"/>
            </w:pPr>
            <w:r>
              <w:rPr>
                <w:color w:val="000000"/>
                <w:sz w:val="24"/>
                <w:szCs w:val="24"/>
              </w:rPr>
              <w:t>3</w:t>
            </w:r>
          </w:p>
        </w:tc>
        <w:tc>
          <w:tcPr>
            <w:tcW w:w="1334" w:type="dxa"/>
            <w:vAlign w:val="center"/>
          </w:tcPr>
          <w:p w:rsidR="003F5E8E" w:rsidRDefault="009730DA">
            <w:pPr>
              <w:jc w:val="center"/>
            </w:pPr>
            <w:r>
              <w:rPr>
                <w:color w:val="000000"/>
                <w:sz w:val="24"/>
                <w:szCs w:val="24"/>
              </w:rPr>
              <w:t>002216</w:t>
            </w:r>
          </w:p>
        </w:tc>
        <w:tc>
          <w:tcPr>
            <w:tcW w:w="1777" w:type="dxa"/>
            <w:vAlign w:val="center"/>
          </w:tcPr>
          <w:p w:rsidR="003F5E8E" w:rsidRDefault="009730DA">
            <w:pPr>
              <w:jc w:val="center"/>
            </w:pPr>
            <w:r>
              <w:rPr>
                <w:color w:val="000000"/>
                <w:sz w:val="24"/>
                <w:szCs w:val="24"/>
              </w:rPr>
              <w:t>三全食品</w:t>
            </w:r>
          </w:p>
        </w:tc>
        <w:tc>
          <w:tcPr>
            <w:tcW w:w="1334" w:type="dxa"/>
            <w:vAlign w:val="center"/>
          </w:tcPr>
          <w:p w:rsidR="003F5E8E" w:rsidRDefault="009730DA">
            <w:pPr>
              <w:jc w:val="right"/>
            </w:pPr>
            <w:r>
              <w:rPr>
                <w:color w:val="000000"/>
                <w:sz w:val="24"/>
                <w:szCs w:val="24"/>
              </w:rPr>
              <w:t>7,737,348</w:t>
            </w:r>
          </w:p>
        </w:tc>
        <w:tc>
          <w:tcPr>
            <w:tcW w:w="1924" w:type="dxa"/>
            <w:vAlign w:val="center"/>
          </w:tcPr>
          <w:p w:rsidR="003F5E8E" w:rsidRDefault="009730DA">
            <w:pPr>
              <w:jc w:val="right"/>
            </w:pPr>
            <w:r>
              <w:rPr>
                <w:color w:val="000000"/>
                <w:sz w:val="24"/>
                <w:szCs w:val="24"/>
              </w:rPr>
              <w:t>156,217,056.12</w:t>
            </w:r>
          </w:p>
        </w:tc>
        <w:tc>
          <w:tcPr>
            <w:tcW w:w="1644" w:type="dxa"/>
            <w:vAlign w:val="center"/>
          </w:tcPr>
          <w:p w:rsidR="003F5E8E" w:rsidRDefault="009730DA">
            <w:pPr>
              <w:jc w:val="right"/>
            </w:pPr>
            <w:r>
              <w:rPr>
                <w:color w:val="000000"/>
                <w:sz w:val="24"/>
                <w:szCs w:val="24"/>
              </w:rPr>
              <w:t>4.24</w:t>
            </w:r>
          </w:p>
        </w:tc>
      </w:tr>
      <w:tr w:rsidR="003F5E8E">
        <w:trPr>
          <w:jc w:val="center"/>
        </w:trPr>
        <w:tc>
          <w:tcPr>
            <w:tcW w:w="855" w:type="dxa"/>
            <w:vAlign w:val="center"/>
          </w:tcPr>
          <w:p w:rsidR="003F5E8E" w:rsidRDefault="009730DA">
            <w:pPr>
              <w:jc w:val="center"/>
            </w:pPr>
            <w:r>
              <w:rPr>
                <w:color w:val="000000"/>
                <w:sz w:val="24"/>
                <w:szCs w:val="24"/>
              </w:rPr>
              <w:t>4</w:t>
            </w:r>
          </w:p>
        </w:tc>
        <w:tc>
          <w:tcPr>
            <w:tcW w:w="1334" w:type="dxa"/>
            <w:vAlign w:val="center"/>
          </w:tcPr>
          <w:p w:rsidR="003F5E8E" w:rsidRDefault="009730DA">
            <w:pPr>
              <w:jc w:val="center"/>
            </w:pPr>
            <w:r>
              <w:rPr>
                <w:color w:val="000000"/>
                <w:sz w:val="24"/>
                <w:szCs w:val="24"/>
              </w:rPr>
              <w:t>002050</w:t>
            </w:r>
          </w:p>
        </w:tc>
        <w:tc>
          <w:tcPr>
            <w:tcW w:w="1777" w:type="dxa"/>
            <w:vAlign w:val="center"/>
          </w:tcPr>
          <w:p w:rsidR="003F5E8E" w:rsidRDefault="009730DA">
            <w:pPr>
              <w:jc w:val="center"/>
            </w:pPr>
            <w:r>
              <w:rPr>
                <w:color w:val="000000"/>
                <w:sz w:val="24"/>
                <w:szCs w:val="24"/>
              </w:rPr>
              <w:t>三花智控</w:t>
            </w:r>
          </w:p>
        </w:tc>
        <w:tc>
          <w:tcPr>
            <w:tcW w:w="1334" w:type="dxa"/>
            <w:vAlign w:val="center"/>
          </w:tcPr>
          <w:p w:rsidR="003F5E8E" w:rsidRDefault="009730DA">
            <w:pPr>
              <w:jc w:val="right"/>
            </w:pPr>
            <w:r>
              <w:rPr>
                <w:color w:val="000000"/>
                <w:sz w:val="24"/>
                <w:szCs w:val="24"/>
              </w:rPr>
              <w:t>8,210,538</w:t>
            </w:r>
          </w:p>
        </w:tc>
        <w:tc>
          <w:tcPr>
            <w:tcW w:w="1924" w:type="dxa"/>
            <w:vAlign w:val="center"/>
          </w:tcPr>
          <w:p w:rsidR="003F5E8E" w:rsidRDefault="009730DA">
            <w:pPr>
              <w:jc w:val="right"/>
            </w:pPr>
            <w:r>
              <w:rPr>
                <w:color w:val="000000"/>
                <w:sz w:val="24"/>
                <w:szCs w:val="24"/>
              </w:rPr>
              <w:t>131,943,345.66</w:t>
            </w:r>
          </w:p>
        </w:tc>
        <w:tc>
          <w:tcPr>
            <w:tcW w:w="1644" w:type="dxa"/>
            <w:vAlign w:val="center"/>
          </w:tcPr>
          <w:p w:rsidR="003F5E8E" w:rsidRDefault="009730DA">
            <w:pPr>
              <w:jc w:val="right"/>
            </w:pPr>
            <w:r>
              <w:rPr>
                <w:color w:val="000000"/>
                <w:sz w:val="24"/>
                <w:szCs w:val="24"/>
              </w:rPr>
              <w:t>3.58</w:t>
            </w:r>
          </w:p>
        </w:tc>
      </w:tr>
      <w:tr w:rsidR="003F5E8E">
        <w:trPr>
          <w:jc w:val="center"/>
        </w:trPr>
        <w:tc>
          <w:tcPr>
            <w:tcW w:w="855" w:type="dxa"/>
            <w:vAlign w:val="center"/>
          </w:tcPr>
          <w:p w:rsidR="003F5E8E" w:rsidRDefault="009730DA">
            <w:pPr>
              <w:jc w:val="center"/>
            </w:pPr>
            <w:r>
              <w:rPr>
                <w:color w:val="000000"/>
                <w:sz w:val="24"/>
                <w:szCs w:val="24"/>
              </w:rPr>
              <w:t>5</w:t>
            </w:r>
          </w:p>
        </w:tc>
        <w:tc>
          <w:tcPr>
            <w:tcW w:w="1334" w:type="dxa"/>
            <w:vAlign w:val="center"/>
          </w:tcPr>
          <w:p w:rsidR="003F5E8E" w:rsidRDefault="009730DA">
            <w:pPr>
              <w:jc w:val="center"/>
            </w:pPr>
            <w:r>
              <w:rPr>
                <w:color w:val="000000"/>
                <w:sz w:val="24"/>
                <w:szCs w:val="24"/>
              </w:rPr>
              <w:t>002271</w:t>
            </w:r>
          </w:p>
        </w:tc>
        <w:tc>
          <w:tcPr>
            <w:tcW w:w="1777" w:type="dxa"/>
            <w:vAlign w:val="center"/>
          </w:tcPr>
          <w:p w:rsidR="003F5E8E" w:rsidRDefault="009730DA">
            <w:pPr>
              <w:jc w:val="center"/>
            </w:pPr>
            <w:r>
              <w:rPr>
                <w:color w:val="000000"/>
                <w:sz w:val="24"/>
                <w:szCs w:val="24"/>
              </w:rPr>
              <w:t>东方雨虹</w:t>
            </w:r>
          </w:p>
        </w:tc>
        <w:tc>
          <w:tcPr>
            <w:tcW w:w="1334" w:type="dxa"/>
            <w:vAlign w:val="center"/>
          </w:tcPr>
          <w:p w:rsidR="003F5E8E" w:rsidRDefault="009730DA">
            <w:pPr>
              <w:jc w:val="right"/>
            </w:pPr>
            <w:r>
              <w:rPr>
                <w:color w:val="000000"/>
                <w:sz w:val="24"/>
                <w:szCs w:val="24"/>
              </w:rPr>
              <w:t>3,634,784</w:t>
            </w:r>
          </w:p>
        </w:tc>
        <w:tc>
          <w:tcPr>
            <w:tcW w:w="1924" w:type="dxa"/>
            <w:vAlign w:val="center"/>
          </w:tcPr>
          <w:p w:rsidR="003F5E8E" w:rsidRDefault="009730DA">
            <w:pPr>
              <w:jc w:val="right"/>
            </w:pPr>
            <w:r>
              <w:rPr>
                <w:color w:val="000000"/>
                <w:sz w:val="24"/>
                <w:szCs w:val="24"/>
              </w:rPr>
              <w:t>123,691,699.52</w:t>
            </w:r>
          </w:p>
        </w:tc>
        <w:tc>
          <w:tcPr>
            <w:tcW w:w="1644" w:type="dxa"/>
            <w:vAlign w:val="center"/>
          </w:tcPr>
          <w:p w:rsidR="003F5E8E" w:rsidRDefault="009730DA">
            <w:pPr>
              <w:jc w:val="right"/>
            </w:pPr>
            <w:r>
              <w:rPr>
                <w:color w:val="000000"/>
                <w:sz w:val="24"/>
                <w:szCs w:val="24"/>
              </w:rPr>
              <w:t>3.36</w:t>
            </w:r>
          </w:p>
        </w:tc>
      </w:tr>
      <w:tr w:rsidR="003F5E8E">
        <w:trPr>
          <w:jc w:val="center"/>
        </w:trPr>
        <w:tc>
          <w:tcPr>
            <w:tcW w:w="855" w:type="dxa"/>
            <w:vAlign w:val="center"/>
          </w:tcPr>
          <w:p w:rsidR="003F5E8E" w:rsidRDefault="009730DA">
            <w:pPr>
              <w:jc w:val="center"/>
            </w:pPr>
            <w:r>
              <w:rPr>
                <w:color w:val="000000"/>
                <w:sz w:val="24"/>
                <w:szCs w:val="24"/>
              </w:rPr>
              <w:t>6</w:t>
            </w:r>
          </w:p>
        </w:tc>
        <w:tc>
          <w:tcPr>
            <w:tcW w:w="1334" w:type="dxa"/>
            <w:vAlign w:val="center"/>
          </w:tcPr>
          <w:p w:rsidR="003F5E8E" w:rsidRDefault="009730DA">
            <w:pPr>
              <w:jc w:val="center"/>
            </w:pPr>
            <w:r>
              <w:rPr>
                <w:color w:val="000000"/>
                <w:sz w:val="24"/>
                <w:szCs w:val="24"/>
              </w:rPr>
              <w:t>603517</w:t>
            </w:r>
          </w:p>
        </w:tc>
        <w:tc>
          <w:tcPr>
            <w:tcW w:w="1777" w:type="dxa"/>
            <w:vAlign w:val="center"/>
          </w:tcPr>
          <w:p w:rsidR="003F5E8E" w:rsidRDefault="009730DA">
            <w:pPr>
              <w:jc w:val="center"/>
            </w:pPr>
            <w:r>
              <w:rPr>
                <w:color w:val="000000"/>
                <w:sz w:val="24"/>
                <w:szCs w:val="24"/>
              </w:rPr>
              <w:t>绝味食品</w:t>
            </w:r>
          </w:p>
        </w:tc>
        <w:tc>
          <w:tcPr>
            <w:tcW w:w="1334" w:type="dxa"/>
            <w:vAlign w:val="center"/>
          </w:tcPr>
          <w:p w:rsidR="003F5E8E" w:rsidRDefault="009730DA">
            <w:pPr>
              <w:jc w:val="right"/>
            </w:pPr>
            <w:r>
              <w:rPr>
                <w:color w:val="000000"/>
                <w:sz w:val="24"/>
                <w:szCs w:val="24"/>
              </w:rPr>
              <w:t>2,283,007</w:t>
            </w:r>
          </w:p>
        </w:tc>
        <w:tc>
          <w:tcPr>
            <w:tcW w:w="1924" w:type="dxa"/>
            <w:vAlign w:val="center"/>
          </w:tcPr>
          <w:p w:rsidR="003F5E8E" w:rsidRDefault="009730DA">
            <w:pPr>
              <w:jc w:val="right"/>
            </w:pPr>
            <w:r>
              <w:rPr>
                <w:color w:val="000000"/>
                <w:sz w:val="24"/>
                <w:szCs w:val="24"/>
              </w:rPr>
              <w:t>118,145,612.25</w:t>
            </w:r>
          </w:p>
        </w:tc>
        <w:tc>
          <w:tcPr>
            <w:tcW w:w="1644" w:type="dxa"/>
            <w:vAlign w:val="center"/>
          </w:tcPr>
          <w:p w:rsidR="003F5E8E" w:rsidRDefault="009730DA">
            <w:pPr>
              <w:jc w:val="right"/>
            </w:pPr>
            <w:r>
              <w:rPr>
                <w:color w:val="000000"/>
                <w:sz w:val="24"/>
                <w:szCs w:val="24"/>
              </w:rPr>
              <w:t>3.21</w:t>
            </w:r>
          </w:p>
        </w:tc>
      </w:tr>
      <w:tr w:rsidR="003F5E8E">
        <w:trPr>
          <w:jc w:val="center"/>
        </w:trPr>
        <w:tc>
          <w:tcPr>
            <w:tcW w:w="855" w:type="dxa"/>
            <w:vAlign w:val="center"/>
          </w:tcPr>
          <w:p w:rsidR="003F5E8E" w:rsidRDefault="009730DA">
            <w:pPr>
              <w:jc w:val="center"/>
            </w:pPr>
            <w:r>
              <w:rPr>
                <w:color w:val="000000"/>
                <w:sz w:val="24"/>
                <w:szCs w:val="24"/>
              </w:rPr>
              <w:t>7</w:t>
            </w:r>
          </w:p>
        </w:tc>
        <w:tc>
          <w:tcPr>
            <w:tcW w:w="1334" w:type="dxa"/>
            <w:vAlign w:val="center"/>
          </w:tcPr>
          <w:p w:rsidR="003F5E8E" w:rsidRDefault="009730DA">
            <w:pPr>
              <w:jc w:val="center"/>
            </w:pPr>
            <w:r>
              <w:rPr>
                <w:color w:val="000000"/>
                <w:sz w:val="24"/>
                <w:szCs w:val="24"/>
              </w:rPr>
              <w:t>300413</w:t>
            </w:r>
          </w:p>
        </w:tc>
        <w:tc>
          <w:tcPr>
            <w:tcW w:w="1777" w:type="dxa"/>
            <w:vAlign w:val="center"/>
          </w:tcPr>
          <w:p w:rsidR="003F5E8E" w:rsidRDefault="009730DA">
            <w:pPr>
              <w:jc w:val="center"/>
            </w:pPr>
            <w:r>
              <w:rPr>
                <w:color w:val="000000"/>
                <w:sz w:val="24"/>
                <w:szCs w:val="24"/>
              </w:rPr>
              <w:t>芒果超媒</w:t>
            </w:r>
          </w:p>
        </w:tc>
        <w:tc>
          <w:tcPr>
            <w:tcW w:w="1334" w:type="dxa"/>
            <w:vAlign w:val="center"/>
          </w:tcPr>
          <w:p w:rsidR="003F5E8E" w:rsidRDefault="009730DA">
            <w:pPr>
              <w:jc w:val="right"/>
            </w:pPr>
            <w:r>
              <w:rPr>
                <w:color w:val="000000"/>
                <w:sz w:val="24"/>
                <w:szCs w:val="24"/>
              </w:rPr>
              <w:t>2,612,672</w:t>
            </w:r>
          </w:p>
        </w:tc>
        <w:tc>
          <w:tcPr>
            <w:tcW w:w="1924" w:type="dxa"/>
            <w:vAlign w:val="center"/>
          </w:tcPr>
          <w:p w:rsidR="003F5E8E" w:rsidRDefault="009730DA">
            <w:pPr>
              <w:jc w:val="right"/>
            </w:pPr>
            <w:r>
              <w:rPr>
                <w:color w:val="000000"/>
                <w:sz w:val="24"/>
                <w:szCs w:val="24"/>
              </w:rPr>
              <w:t>113,886,372.48</w:t>
            </w:r>
          </w:p>
        </w:tc>
        <w:tc>
          <w:tcPr>
            <w:tcW w:w="1644" w:type="dxa"/>
            <w:vAlign w:val="center"/>
          </w:tcPr>
          <w:p w:rsidR="003F5E8E" w:rsidRDefault="009730DA">
            <w:pPr>
              <w:jc w:val="right"/>
            </w:pPr>
            <w:r>
              <w:rPr>
                <w:color w:val="000000"/>
                <w:sz w:val="24"/>
                <w:szCs w:val="24"/>
              </w:rPr>
              <w:t>3.09</w:t>
            </w:r>
          </w:p>
        </w:tc>
      </w:tr>
      <w:tr w:rsidR="003F5E8E">
        <w:trPr>
          <w:jc w:val="center"/>
        </w:trPr>
        <w:tc>
          <w:tcPr>
            <w:tcW w:w="855" w:type="dxa"/>
            <w:vAlign w:val="center"/>
          </w:tcPr>
          <w:p w:rsidR="003F5E8E" w:rsidRDefault="009730DA">
            <w:pPr>
              <w:jc w:val="center"/>
            </w:pPr>
            <w:r>
              <w:rPr>
                <w:color w:val="000000"/>
                <w:sz w:val="24"/>
                <w:szCs w:val="24"/>
              </w:rPr>
              <w:t>8</w:t>
            </w:r>
          </w:p>
        </w:tc>
        <w:tc>
          <w:tcPr>
            <w:tcW w:w="1334" w:type="dxa"/>
            <w:vAlign w:val="center"/>
          </w:tcPr>
          <w:p w:rsidR="003F5E8E" w:rsidRDefault="009730DA">
            <w:pPr>
              <w:jc w:val="center"/>
            </w:pPr>
            <w:r>
              <w:rPr>
                <w:color w:val="000000"/>
                <w:sz w:val="24"/>
                <w:szCs w:val="24"/>
              </w:rPr>
              <w:t>000002</w:t>
            </w:r>
          </w:p>
        </w:tc>
        <w:tc>
          <w:tcPr>
            <w:tcW w:w="1777" w:type="dxa"/>
            <w:vAlign w:val="center"/>
          </w:tcPr>
          <w:p w:rsidR="003F5E8E" w:rsidRDefault="009730DA">
            <w:pPr>
              <w:jc w:val="center"/>
            </w:pPr>
            <w:r>
              <w:rPr>
                <w:color w:val="000000"/>
                <w:sz w:val="24"/>
                <w:szCs w:val="24"/>
              </w:rPr>
              <w:t>万科</w:t>
            </w:r>
            <w:r>
              <w:rPr>
                <w:color w:val="000000"/>
                <w:sz w:val="24"/>
                <w:szCs w:val="24"/>
              </w:rPr>
              <w:t>A</w:t>
            </w:r>
          </w:p>
        </w:tc>
        <w:tc>
          <w:tcPr>
            <w:tcW w:w="1334" w:type="dxa"/>
            <w:vAlign w:val="center"/>
          </w:tcPr>
          <w:p w:rsidR="003F5E8E" w:rsidRDefault="009730DA">
            <w:pPr>
              <w:jc w:val="right"/>
            </w:pPr>
            <w:r>
              <w:rPr>
                <w:color w:val="000000"/>
                <w:sz w:val="24"/>
                <w:szCs w:val="24"/>
              </w:rPr>
              <w:t>4,233,197</w:t>
            </w:r>
          </w:p>
        </w:tc>
        <w:tc>
          <w:tcPr>
            <w:tcW w:w="1924" w:type="dxa"/>
            <w:vAlign w:val="center"/>
          </w:tcPr>
          <w:p w:rsidR="003F5E8E" w:rsidRDefault="009730DA">
            <w:pPr>
              <w:jc w:val="right"/>
            </w:pPr>
            <w:r>
              <w:rPr>
                <w:color w:val="000000"/>
                <w:sz w:val="24"/>
                <w:szCs w:val="24"/>
              </w:rPr>
              <w:t>108,581,503.05</w:t>
            </w:r>
          </w:p>
        </w:tc>
        <w:tc>
          <w:tcPr>
            <w:tcW w:w="1644" w:type="dxa"/>
            <w:vAlign w:val="center"/>
          </w:tcPr>
          <w:p w:rsidR="003F5E8E" w:rsidRDefault="009730DA">
            <w:pPr>
              <w:jc w:val="right"/>
            </w:pPr>
            <w:r>
              <w:rPr>
                <w:color w:val="000000"/>
                <w:sz w:val="24"/>
                <w:szCs w:val="24"/>
              </w:rPr>
              <w:t>2.95</w:t>
            </w:r>
          </w:p>
        </w:tc>
      </w:tr>
      <w:tr w:rsidR="003F5E8E">
        <w:trPr>
          <w:jc w:val="center"/>
        </w:trPr>
        <w:tc>
          <w:tcPr>
            <w:tcW w:w="855" w:type="dxa"/>
            <w:vAlign w:val="center"/>
          </w:tcPr>
          <w:p w:rsidR="003F5E8E" w:rsidRDefault="009730DA">
            <w:pPr>
              <w:jc w:val="center"/>
            </w:pPr>
            <w:r>
              <w:rPr>
                <w:color w:val="000000"/>
                <w:sz w:val="24"/>
                <w:szCs w:val="24"/>
              </w:rPr>
              <w:t>9</w:t>
            </w:r>
          </w:p>
        </w:tc>
        <w:tc>
          <w:tcPr>
            <w:tcW w:w="1334" w:type="dxa"/>
            <w:vAlign w:val="center"/>
          </w:tcPr>
          <w:p w:rsidR="003F5E8E" w:rsidRDefault="009730DA">
            <w:pPr>
              <w:jc w:val="center"/>
            </w:pPr>
            <w:r>
              <w:rPr>
                <w:color w:val="000000"/>
                <w:sz w:val="24"/>
                <w:szCs w:val="24"/>
              </w:rPr>
              <w:t>688188</w:t>
            </w:r>
          </w:p>
        </w:tc>
        <w:tc>
          <w:tcPr>
            <w:tcW w:w="1777" w:type="dxa"/>
            <w:vAlign w:val="center"/>
          </w:tcPr>
          <w:p w:rsidR="003F5E8E" w:rsidRDefault="009730DA">
            <w:pPr>
              <w:jc w:val="center"/>
            </w:pPr>
            <w:r>
              <w:rPr>
                <w:color w:val="000000"/>
                <w:sz w:val="24"/>
                <w:szCs w:val="24"/>
              </w:rPr>
              <w:t>柏楚电子</w:t>
            </w:r>
          </w:p>
        </w:tc>
        <w:tc>
          <w:tcPr>
            <w:tcW w:w="1334" w:type="dxa"/>
            <w:vAlign w:val="center"/>
          </w:tcPr>
          <w:p w:rsidR="003F5E8E" w:rsidRDefault="009730DA">
            <w:pPr>
              <w:jc w:val="right"/>
            </w:pPr>
            <w:r>
              <w:rPr>
                <w:color w:val="000000"/>
                <w:sz w:val="24"/>
                <w:szCs w:val="24"/>
              </w:rPr>
              <w:t>877,370</w:t>
            </w:r>
          </w:p>
        </w:tc>
        <w:tc>
          <w:tcPr>
            <w:tcW w:w="1924" w:type="dxa"/>
            <w:vAlign w:val="center"/>
          </w:tcPr>
          <w:p w:rsidR="003F5E8E" w:rsidRDefault="009730DA">
            <w:pPr>
              <w:jc w:val="right"/>
            </w:pPr>
            <w:r>
              <w:rPr>
                <w:color w:val="000000"/>
                <w:sz w:val="24"/>
                <w:szCs w:val="24"/>
              </w:rPr>
              <w:t>108,135,852.50</w:t>
            </w:r>
          </w:p>
        </w:tc>
        <w:tc>
          <w:tcPr>
            <w:tcW w:w="1644" w:type="dxa"/>
            <w:vAlign w:val="center"/>
          </w:tcPr>
          <w:p w:rsidR="003F5E8E" w:rsidRDefault="009730DA">
            <w:pPr>
              <w:jc w:val="right"/>
            </w:pPr>
            <w:r>
              <w:rPr>
                <w:color w:val="000000"/>
                <w:sz w:val="24"/>
                <w:szCs w:val="24"/>
              </w:rPr>
              <w:t>2.94</w:t>
            </w:r>
          </w:p>
        </w:tc>
      </w:tr>
      <w:tr w:rsidR="003F5E8E">
        <w:trPr>
          <w:jc w:val="center"/>
        </w:trPr>
        <w:tc>
          <w:tcPr>
            <w:tcW w:w="855" w:type="dxa"/>
            <w:vAlign w:val="center"/>
          </w:tcPr>
          <w:p w:rsidR="003F5E8E" w:rsidRDefault="009730DA">
            <w:pPr>
              <w:jc w:val="center"/>
            </w:pPr>
            <w:r>
              <w:rPr>
                <w:color w:val="000000"/>
                <w:sz w:val="24"/>
                <w:szCs w:val="24"/>
              </w:rPr>
              <w:t>10</w:t>
            </w:r>
          </w:p>
        </w:tc>
        <w:tc>
          <w:tcPr>
            <w:tcW w:w="1334" w:type="dxa"/>
            <w:vAlign w:val="center"/>
          </w:tcPr>
          <w:p w:rsidR="003F5E8E" w:rsidRDefault="009730DA">
            <w:pPr>
              <w:jc w:val="center"/>
            </w:pPr>
            <w:r>
              <w:rPr>
                <w:color w:val="000000"/>
                <w:sz w:val="24"/>
                <w:szCs w:val="24"/>
              </w:rPr>
              <w:t>000998</w:t>
            </w:r>
          </w:p>
        </w:tc>
        <w:tc>
          <w:tcPr>
            <w:tcW w:w="1777" w:type="dxa"/>
            <w:vAlign w:val="center"/>
          </w:tcPr>
          <w:p w:rsidR="003F5E8E" w:rsidRDefault="009730DA">
            <w:pPr>
              <w:jc w:val="center"/>
            </w:pPr>
            <w:r>
              <w:rPr>
                <w:color w:val="000000"/>
                <w:sz w:val="24"/>
                <w:szCs w:val="24"/>
              </w:rPr>
              <w:t>隆平高科</w:t>
            </w:r>
          </w:p>
        </w:tc>
        <w:tc>
          <w:tcPr>
            <w:tcW w:w="1334" w:type="dxa"/>
            <w:vAlign w:val="center"/>
          </w:tcPr>
          <w:p w:rsidR="003F5E8E" w:rsidRDefault="009730DA">
            <w:pPr>
              <w:jc w:val="right"/>
            </w:pPr>
            <w:r>
              <w:rPr>
                <w:color w:val="000000"/>
                <w:sz w:val="24"/>
                <w:szCs w:val="24"/>
              </w:rPr>
              <w:t>5,500,033</w:t>
            </w:r>
          </w:p>
        </w:tc>
        <w:tc>
          <w:tcPr>
            <w:tcW w:w="1924" w:type="dxa"/>
            <w:vAlign w:val="center"/>
          </w:tcPr>
          <w:p w:rsidR="003F5E8E" w:rsidRDefault="009730DA">
            <w:pPr>
              <w:jc w:val="right"/>
            </w:pPr>
            <w:r>
              <w:rPr>
                <w:color w:val="000000"/>
                <w:sz w:val="24"/>
                <w:szCs w:val="24"/>
              </w:rPr>
              <w:t>99,660,597.96</w:t>
            </w:r>
          </w:p>
        </w:tc>
        <w:tc>
          <w:tcPr>
            <w:tcW w:w="1644" w:type="dxa"/>
            <w:vAlign w:val="center"/>
          </w:tcPr>
          <w:p w:rsidR="003F5E8E" w:rsidRDefault="009730DA">
            <w:pPr>
              <w:jc w:val="right"/>
            </w:pPr>
            <w:r>
              <w:rPr>
                <w:color w:val="000000"/>
                <w:sz w:val="24"/>
                <w:szCs w:val="24"/>
              </w:rPr>
              <w:t>2.71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CE7169" w:rsidRPr="00CE7169"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200,727,000.00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5.45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200,727,000.00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5.45</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lastRenderedPageBreak/>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200,727,000.00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5.45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5B4C8F" w:rsidRPr="005B4C8F" w:rsidRDefault="009C1009" w:rsidP="009C100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金额单位：人民币元</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3F5E8E">
        <w:trPr>
          <w:jc w:val="center"/>
        </w:trPr>
        <w:tc>
          <w:tcPr>
            <w:tcW w:w="850" w:type="dxa"/>
            <w:vAlign w:val="center"/>
          </w:tcPr>
          <w:p w:rsidR="003F5E8E" w:rsidRDefault="009730DA">
            <w:pPr>
              <w:jc w:val="center"/>
            </w:pPr>
            <w:r>
              <w:rPr>
                <w:color w:val="000000"/>
                <w:sz w:val="24"/>
                <w:szCs w:val="24"/>
              </w:rPr>
              <w:t>1</w:t>
            </w:r>
          </w:p>
        </w:tc>
        <w:tc>
          <w:tcPr>
            <w:tcW w:w="1475" w:type="dxa"/>
            <w:vAlign w:val="center"/>
          </w:tcPr>
          <w:p w:rsidR="003F5E8E" w:rsidRDefault="009730DA">
            <w:pPr>
              <w:jc w:val="center"/>
            </w:pPr>
            <w:r>
              <w:rPr>
                <w:color w:val="000000"/>
                <w:sz w:val="24"/>
                <w:szCs w:val="24"/>
              </w:rPr>
              <w:t>190307</w:t>
            </w:r>
          </w:p>
        </w:tc>
        <w:tc>
          <w:tcPr>
            <w:tcW w:w="1769" w:type="dxa"/>
            <w:vAlign w:val="center"/>
          </w:tcPr>
          <w:p w:rsidR="003F5E8E" w:rsidRDefault="009730DA">
            <w:pPr>
              <w:jc w:val="center"/>
            </w:pPr>
            <w:r>
              <w:rPr>
                <w:color w:val="000000"/>
                <w:sz w:val="24"/>
                <w:szCs w:val="24"/>
              </w:rPr>
              <w:t>19</w:t>
            </w:r>
            <w:r>
              <w:rPr>
                <w:color w:val="000000"/>
                <w:sz w:val="24"/>
                <w:szCs w:val="24"/>
              </w:rPr>
              <w:t>进出</w:t>
            </w:r>
            <w:r>
              <w:rPr>
                <w:color w:val="000000"/>
                <w:sz w:val="24"/>
                <w:szCs w:val="24"/>
              </w:rPr>
              <w:t>07</w:t>
            </w:r>
          </w:p>
        </w:tc>
        <w:tc>
          <w:tcPr>
            <w:tcW w:w="1387" w:type="dxa"/>
            <w:vAlign w:val="center"/>
          </w:tcPr>
          <w:p w:rsidR="003F5E8E" w:rsidRDefault="009730DA">
            <w:pPr>
              <w:jc w:val="right"/>
            </w:pPr>
            <w:r>
              <w:rPr>
                <w:color w:val="000000"/>
                <w:sz w:val="24"/>
                <w:szCs w:val="24"/>
              </w:rPr>
              <w:t>1,000,000</w:t>
            </w:r>
          </w:p>
        </w:tc>
        <w:tc>
          <w:tcPr>
            <w:tcW w:w="2150" w:type="dxa"/>
            <w:vAlign w:val="center"/>
          </w:tcPr>
          <w:p w:rsidR="003F5E8E" w:rsidRDefault="009730DA">
            <w:pPr>
              <w:jc w:val="right"/>
            </w:pPr>
            <w:r>
              <w:rPr>
                <w:color w:val="000000"/>
                <w:sz w:val="24"/>
                <w:szCs w:val="24"/>
              </w:rPr>
              <w:t>100,560,000.00</w:t>
            </w:r>
          </w:p>
        </w:tc>
        <w:tc>
          <w:tcPr>
            <w:tcW w:w="1237" w:type="dxa"/>
            <w:vAlign w:val="center"/>
          </w:tcPr>
          <w:p w:rsidR="003F5E8E" w:rsidRDefault="009730DA">
            <w:pPr>
              <w:jc w:val="right"/>
            </w:pPr>
            <w:r>
              <w:rPr>
                <w:color w:val="000000"/>
                <w:sz w:val="24"/>
                <w:szCs w:val="24"/>
              </w:rPr>
              <w:t>2.73</w:t>
            </w:r>
          </w:p>
        </w:tc>
      </w:tr>
      <w:tr w:rsidR="003F5E8E">
        <w:trPr>
          <w:jc w:val="center"/>
        </w:trPr>
        <w:tc>
          <w:tcPr>
            <w:tcW w:w="850" w:type="dxa"/>
            <w:vAlign w:val="center"/>
          </w:tcPr>
          <w:p w:rsidR="003F5E8E" w:rsidRDefault="009730DA">
            <w:pPr>
              <w:jc w:val="center"/>
            </w:pPr>
            <w:r>
              <w:rPr>
                <w:color w:val="000000"/>
                <w:sz w:val="24"/>
                <w:szCs w:val="24"/>
              </w:rPr>
              <w:t>2</w:t>
            </w:r>
          </w:p>
        </w:tc>
        <w:tc>
          <w:tcPr>
            <w:tcW w:w="1475" w:type="dxa"/>
            <w:vAlign w:val="center"/>
          </w:tcPr>
          <w:p w:rsidR="003F5E8E" w:rsidRDefault="009730DA">
            <w:pPr>
              <w:jc w:val="center"/>
            </w:pPr>
            <w:r>
              <w:rPr>
                <w:color w:val="000000"/>
                <w:sz w:val="24"/>
                <w:szCs w:val="24"/>
              </w:rPr>
              <w:t>200304</w:t>
            </w:r>
          </w:p>
        </w:tc>
        <w:tc>
          <w:tcPr>
            <w:tcW w:w="1769" w:type="dxa"/>
            <w:vAlign w:val="center"/>
          </w:tcPr>
          <w:p w:rsidR="003F5E8E" w:rsidRDefault="009730DA">
            <w:pPr>
              <w:jc w:val="center"/>
            </w:pPr>
            <w:r>
              <w:rPr>
                <w:color w:val="000000"/>
                <w:sz w:val="24"/>
                <w:szCs w:val="24"/>
              </w:rPr>
              <w:t>20</w:t>
            </w:r>
            <w:r>
              <w:rPr>
                <w:color w:val="000000"/>
                <w:sz w:val="24"/>
                <w:szCs w:val="24"/>
              </w:rPr>
              <w:t>进出</w:t>
            </w:r>
            <w:r>
              <w:rPr>
                <w:color w:val="000000"/>
                <w:sz w:val="24"/>
                <w:szCs w:val="24"/>
              </w:rPr>
              <w:t>04</w:t>
            </w:r>
          </w:p>
        </w:tc>
        <w:tc>
          <w:tcPr>
            <w:tcW w:w="1387" w:type="dxa"/>
            <w:vAlign w:val="center"/>
          </w:tcPr>
          <w:p w:rsidR="003F5E8E" w:rsidRDefault="009730DA">
            <w:pPr>
              <w:jc w:val="right"/>
            </w:pPr>
            <w:r>
              <w:rPr>
                <w:color w:val="000000"/>
                <w:sz w:val="24"/>
                <w:szCs w:val="24"/>
              </w:rPr>
              <w:t>700,000</w:t>
            </w:r>
          </w:p>
        </w:tc>
        <w:tc>
          <w:tcPr>
            <w:tcW w:w="2150" w:type="dxa"/>
            <w:vAlign w:val="center"/>
          </w:tcPr>
          <w:p w:rsidR="003F5E8E" w:rsidRDefault="009730DA">
            <w:pPr>
              <w:jc w:val="right"/>
            </w:pPr>
            <w:r>
              <w:rPr>
                <w:color w:val="000000"/>
                <w:sz w:val="24"/>
                <w:szCs w:val="24"/>
              </w:rPr>
              <w:t>70,098,000.00</w:t>
            </w:r>
          </w:p>
        </w:tc>
        <w:tc>
          <w:tcPr>
            <w:tcW w:w="1237" w:type="dxa"/>
            <w:vAlign w:val="center"/>
          </w:tcPr>
          <w:p w:rsidR="003F5E8E" w:rsidRDefault="009730DA">
            <w:pPr>
              <w:jc w:val="right"/>
            </w:pPr>
            <w:r>
              <w:rPr>
                <w:color w:val="000000"/>
                <w:sz w:val="24"/>
                <w:szCs w:val="24"/>
              </w:rPr>
              <w:t>1.90</w:t>
            </w:r>
          </w:p>
        </w:tc>
      </w:tr>
      <w:tr w:rsidR="003F5E8E">
        <w:trPr>
          <w:jc w:val="center"/>
        </w:trPr>
        <w:tc>
          <w:tcPr>
            <w:tcW w:w="850" w:type="dxa"/>
            <w:vAlign w:val="center"/>
          </w:tcPr>
          <w:p w:rsidR="003F5E8E" w:rsidRDefault="009730DA">
            <w:pPr>
              <w:jc w:val="center"/>
            </w:pPr>
            <w:r>
              <w:rPr>
                <w:color w:val="000000"/>
                <w:sz w:val="24"/>
                <w:szCs w:val="24"/>
              </w:rPr>
              <w:t>3</w:t>
            </w:r>
          </w:p>
        </w:tc>
        <w:tc>
          <w:tcPr>
            <w:tcW w:w="1475" w:type="dxa"/>
            <w:vAlign w:val="center"/>
          </w:tcPr>
          <w:p w:rsidR="003F5E8E" w:rsidRDefault="009730DA">
            <w:pPr>
              <w:jc w:val="center"/>
            </w:pPr>
            <w:r>
              <w:rPr>
                <w:color w:val="000000"/>
                <w:sz w:val="24"/>
                <w:szCs w:val="24"/>
              </w:rPr>
              <w:t>190206</w:t>
            </w:r>
          </w:p>
        </w:tc>
        <w:tc>
          <w:tcPr>
            <w:tcW w:w="1769" w:type="dxa"/>
            <w:vAlign w:val="center"/>
          </w:tcPr>
          <w:p w:rsidR="003F5E8E" w:rsidRDefault="009730DA">
            <w:pPr>
              <w:jc w:val="center"/>
            </w:pPr>
            <w:r>
              <w:rPr>
                <w:color w:val="000000"/>
                <w:sz w:val="24"/>
                <w:szCs w:val="24"/>
              </w:rPr>
              <w:t>19</w:t>
            </w:r>
            <w:r>
              <w:rPr>
                <w:color w:val="000000"/>
                <w:sz w:val="24"/>
                <w:szCs w:val="24"/>
              </w:rPr>
              <w:t>国开</w:t>
            </w:r>
            <w:r>
              <w:rPr>
                <w:color w:val="000000"/>
                <w:sz w:val="24"/>
                <w:szCs w:val="24"/>
              </w:rPr>
              <w:t>06</w:t>
            </w:r>
          </w:p>
        </w:tc>
        <w:tc>
          <w:tcPr>
            <w:tcW w:w="1387" w:type="dxa"/>
            <w:vAlign w:val="center"/>
          </w:tcPr>
          <w:p w:rsidR="003F5E8E" w:rsidRDefault="009730DA">
            <w:pPr>
              <w:jc w:val="right"/>
            </w:pPr>
            <w:r>
              <w:rPr>
                <w:color w:val="000000"/>
                <w:sz w:val="24"/>
                <w:szCs w:val="24"/>
              </w:rPr>
              <w:t>200,000</w:t>
            </w:r>
          </w:p>
        </w:tc>
        <w:tc>
          <w:tcPr>
            <w:tcW w:w="2150" w:type="dxa"/>
            <w:vAlign w:val="center"/>
          </w:tcPr>
          <w:p w:rsidR="003F5E8E" w:rsidRDefault="009730DA">
            <w:pPr>
              <w:jc w:val="right"/>
            </w:pPr>
            <w:r>
              <w:rPr>
                <w:color w:val="000000"/>
                <w:sz w:val="24"/>
                <w:szCs w:val="24"/>
              </w:rPr>
              <w:t>20,016,000.00</w:t>
            </w:r>
          </w:p>
        </w:tc>
        <w:tc>
          <w:tcPr>
            <w:tcW w:w="1237" w:type="dxa"/>
            <w:vAlign w:val="center"/>
          </w:tcPr>
          <w:p w:rsidR="003F5E8E" w:rsidRDefault="009730DA">
            <w:pPr>
              <w:jc w:val="right"/>
            </w:pPr>
            <w:r>
              <w:rPr>
                <w:color w:val="000000"/>
                <w:sz w:val="24"/>
                <w:szCs w:val="24"/>
              </w:rPr>
              <w:t>0.54</w:t>
            </w:r>
          </w:p>
        </w:tc>
      </w:tr>
      <w:tr w:rsidR="003F5E8E">
        <w:trPr>
          <w:jc w:val="center"/>
        </w:trPr>
        <w:tc>
          <w:tcPr>
            <w:tcW w:w="850" w:type="dxa"/>
            <w:vAlign w:val="center"/>
          </w:tcPr>
          <w:p w:rsidR="003F5E8E" w:rsidRDefault="009730DA">
            <w:pPr>
              <w:jc w:val="center"/>
            </w:pPr>
            <w:r>
              <w:rPr>
                <w:color w:val="000000"/>
                <w:sz w:val="24"/>
                <w:szCs w:val="24"/>
              </w:rPr>
              <w:t>4</w:t>
            </w:r>
          </w:p>
        </w:tc>
        <w:tc>
          <w:tcPr>
            <w:tcW w:w="1475" w:type="dxa"/>
            <w:vAlign w:val="center"/>
          </w:tcPr>
          <w:p w:rsidR="003F5E8E" w:rsidRDefault="009730DA">
            <w:pPr>
              <w:jc w:val="center"/>
            </w:pPr>
            <w:r>
              <w:rPr>
                <w:color w:val="000000"/>
                <w:sz w:val="24"/>
                <w:szCs w:val="24"/>
              </w:rPr>
              <w:t>190211</w:t>
            </w:r>
          </w:p>
        </w:tc>
        <w:tc>
          <w:tcPr>
            <w:tcW w:w="1769" w:type="dxa"/>
            <w:vAlign w:val="center"/>
          </w:tcPr>
          <w:p w:rsidR="003F5E8E" w:rsidRDefault="009730DA">
            <w:pPr>
              <w:jc w:val="center"/>
            </w:pPr>
            <w:r>
              <w:rPr>
                <w:color w:val="000000"/>
                <w:sz w:val="24"/>
                <w:szCs w:val="24"/>
              </w:rPr>
              <w:t>19</w:t>
            </w:r>
            <w:r>
              <w:rPr>
                <w:color w:val="000000"/>
                <w:sz w:val="24"/>
                <w:szCs w:val="24"/>
              </w:rPr>
              <w:t>国开</w:t>
            </w:r>
            <w:r>
              <w:rPr>
                <w:color w:val="000000"/>
                <w:sz w:val="24"/>
                <w:szCs w:val="24"/>
              </w:rPr>
              <w:t>11</w:t>
            </w:r>
          </w:p>
        </w:tc>
        <w:tc>
          <w:tcPr>
            <w:tcW w:w="1387" w:type="dxa"/>
            <w:vAlign w:val="center"/>
          </w:tcPr>
          <w:p w:rsidR="003F5E8E" w:rsidRDefault="009730DA">
            <w:pPr>
              <w:jc w:val="right"/>
            </w:pPr>
            <w:r>
              <w:rPr>
                <w:color w:val="000000"/>
                <w:sz w:val="24"/>
                <w:szCs w:val="24"/>
              </w:rPr>
              <w:t>100,000</w:t>
            </w:r>
          </w:p>
        </w:tc>
        <w:tc>
          <w:tcPr>
            <w:tcW w:w="2150" w:type="dxa"/>
            <w:vAlign w:val="center"/>
          </w:tcPr>
          <w:p w:rsidR="003F5E8E" w:rsidRDefault="009730DA">
            <w:pPr>
              <w:jc w:val="right"/>
            </w:pPr>
            <w:r>
              <w:rPr>
                <w:color w:val="000000"/>
                <w:sz w:val="24"/>
                <w:szCs w:val="24"/>
              </w:rPr>
              <w:t>10,053,000.00</w:t>
            </w:r>
          </w:p>
        </w:tc>
        <w:tc>
          <w:tcPr>
            <w:tcW w:w="1237" w:type="dxa"/>
            <w:vAlign w:val="center"/>
          </w:tcPr>
          <w:p w:rsidR="003F5E8E" w:rsidRDefault="009730DA">
            <w:pPr>
              <w:jc w:val="right"/>
            </w:pPr>
            <w:r>
              <w:rPr>
                <w:color w:val="000000"/>
                <w:sz w:val="24"/>
                <w:szCs w:val="24"/>
              </w:rPr>
              <w:t>0.27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478"/>
        <w:gridCol w:w="1479"/>
        <w:gridCol w:w="1479"/>
        <w:gridCol w:w="1479"/>
        <w:gridCol w:w="1480"/>
        <w:gridCol w:w="1473"/>
      </w:tblGrid>
      <w:tr w:rsidR="00EC7EDF" w:rsidRPr="00EC7EDF" w:rsidTr="00EC7EDF">
        <w:trPr>
          <w:trHeight w:val="105"/>
          <w:jc w:val="center"/>
        </w:trPr>
        <w:tc>
          <w:tcPr>
            <w:tcW w:w="1478" w:type="dxa"/>
            <w:vAlign w:val="center"/>
          </w:tcPr>
          <w:p w:rsidR="00EC7EDF" w:rsidRPr="00EC7EDF" w:rsidRDefault="00EC7EDF" w:rsidP="00EC7EDF">
            <w:pPr>
              <w:autoSpaceDE w:val="0"/>
              <w:autoSpaceDN w:val="0"/>
              <w:adjustRightInd w:val="0"/>
              <w:spacing w:before="29" w:line="288" w:lineRule="auto"/>
              <w:jc w:val="center"/>
              <w:rPr>
                <w:color w:val="000000"/>
                <w:kern w:val="0"/>
                <w:sz w:val="24"/>
                <w:szCs w:val="24"/>
              </w:rPr>
            </w:pPr>
            <w:r w:rsidRPr="00EC7EDF">
              <w:rPr>
                <w:color w:val="000000"/>
                <w:kern w:val="0"/>
                <w:sz w:val="24"/>
                <w:szCs w:val="24"/>
              </w:rPr>
              <w:t>代码</w:t>
            </w:r>
          </w:p>
        </w:tc>
        <w:tc>
          <w:tcPr>
            <w:tcW w:w="1479" w:type="dxa"/>
            <w:vAlign w:val="center"/>
          </w:tcPr>
          <w:p w:rsidR="00EC7EDF" w:rsidRPr="00EC7EDF" w:rsidRDefault="00EC7EDF" w:rsidP="00EC7EDF">
            <w:pPr>
              <w:autoSpaceDE w:val="0"/>
              <w:autoSpaceDN w:val="0"/>
              <w:adjustRightInd w:val="0"/>
              <w:spacing w:before="29" w:line="288" w:lineRule="auto"/>
              <w:jc w:val="center"/>
              <w:rPr>
                <w:color w:val="000000"/>
                <w:kern w:val="0"/>
                <w:sz w:val="24"/>
                <w:szCs w:val="24"/>
              </w:rPr>
            </w:pPr>
            <w:r w:rsidRPr="00EC7EDF">
              <w:rPr>
                <w:color w:val="000000"/>
                <w:kern w:val="0"/>
                <w:sz w:val="24"/>
                <w:szCs w:val="24"/>
              </w:rPr>
              <w:t>名称</w:t>
            </w:r>
          </w:p>
        </w:tc>
        <w:tc>
          <w:tcPr>
            <w:tcW w:w="1479" w:type="dxa"/>
            <w:vAlign w:val="center"/>
          </w:tcPr>
          <w:p w:rsidR="00EC7EDF" w:rsidRPr="00EC7EDF" w:rsidRDefault="00EC7EDF" w:rsidP="00EC7EDF">
            <w:pPr>
              <w:autoSpaceDE w:val="0"/>
              <w:autoSpaceDN w:val="0"/>
              <w:adjustRightInd w:val="0"/>
              <w:spacing w:before="29" w:line="288" w:lineRule="auto"/>
              <w:jc w:val="center"/>
              <w:rPr>
                <w:color w:val="000000"/>
                <w:kern w:val="0"/>
                <w:sz w:val="24"/>
                <w:szCs w:val="24"/>
              </w:rPr>
            </w:pPr>
            <w:r w:rsidRPr="00EC7EDF">
              <w:rPr>
                <w:color w:val="000000"/>
                <w:kern w:val="0"/>
                <w:sz w:val="24"/>
                <w:szCs w:val="24"/>
              </w:rPr>
              <w:t>持仓量</w:t>
            </w:r>
          </w:p>
        </w:tc>
        <w:tc>
          <w:tcPr>
            <w:tcW w:w="1479" w:type="dxa"/>
            <w:vAlign w:val="center"/>
          </w:tcPr>
          <w:p w:rsidR="00EC7EDF" w:rsidRPr="00EC7EDF" w:rsidRDefault="00EC7EDF" w:rsidP="00EC7EDF">
            <w:pPr>
              <w:autoSpaceDE w:val="0"/>
              <w:autoSpaceDN w:val="0"/>
              <w:adjustRightInd w:val="0"/>
              <w:spacing w:before="29" w:line="288" w:lineRule="auto"/>
              <w:jc w:val="center"/>
              <w:rPr>
                <w:color w:val="000000"/>
                <w:kern w:val="0"/>
                <w:sz w:val="24"/>
                <w:szCs w:val="24"/>
              </w:rPr>
            </w:pPr>
            <w:r w:rsidRPr="00EC7EDF">
              <w:rPr>
                <w:color w:val="000000"/>
                <w:kern w:val="0"/>
                <w:sz w:val="24"/>
                <w:szCs w:val="24"/>
              </w:rPr>
              <w:t>合约市值</w:t>
            </w:r>
            <w:r w:rsidRPr="00EC7EDF">
              <w:rPr>
                <w:color w:val="000000"/>
                <w:kern w:val="0"/>
                <w:sz w:val="24"/>
                <w:szCs w:val="24"/>
              </w:rPr>
              <w:t>(</w:t>
            </w:r>
            <w:r w:rsidRPr="00EC7EDF">
              <w:rPr>
                <w:color w:val="000000"/>
                <w:kern w:val="0"/>
                <w:sz w:val="24"/>
                <w:szCs w:val="24"/>
              </w:rPr>
              <w:t>元</w:t>
            </w:r>
            <w:r w:rsidRPr="00EC7EDF">
              <w:rPr>
                <w:color w:val="000000"/>
                <w:kern w:val="0"/>
                <w:sz w:val="24"/>
                <w:szCs w:val="24"/>
              </w:rPr>
              <w:t>)</w:t>
            </w:r>
          </w:p>
        </w:tc>
        <w:tc>
          <w:tcPr>
            <w:tcW w:w="1480" w:type="dxa"/>
            <w:vAlign w:val="center"/>
          </w:tcPr>
          <w:p w:rsidR="00EC7EDF" w:rsidRPr="00EC7EDF" w:rsidRDefault="00EC7EDF" w:rsidP="00EC7EDF">
            <w:pPr>
              <w:autoSpaceDE w:val="0"/>
              <w:autoSpaceDN w:val="0"/>
              <w:adjustRightInd w:val="0"/>
              <w:spacing w:before="29" w:line="288" w:lineRule="auto"/>
              <w:jc w:val="center"/>
              <w:rPr>
                <w:color w:val="000000"/>
                <w:kern w:val="0"/>
                <w:sz w:val="24"/>
                <w:szCs w:val="24"/>
              </w:rPr>
            </w:pPr>
            <w:r w:rsidRPr="00EC7EDF">
              <w:rPr>
                <w:color w:val="000000"/>
                <w:kern w:val="0"/>
                <w:sz w:val="24"/>
                <w:szCs w:val="24"/>
              </w:rPr>
              <w:t>公允价值变动</w:t>
            </w:r>
            <w:r w:rsidRPr="00EC7EDF">
              <w:rPr>
                <w:color w:val="000000"/>
                <w:kern w:val="0"/>
                <w:sz w:val="24"/>
                <w:szCs w:val="24"/>
              </w:rPr>
              <w:t>(</w:t>
            </w:r>
            <w:r w:rsidRPr="00EC7EDF">
              <w:rPr>
                <w:color w:val="000000"/>
                <w:kern w:val="0"/>
                <w:sz w:val="24"/>
                <w:szCs w:val="24"/>
              </w:rPr>
              <w:t>元</w:t>
            </w:r>
            <w:r w:rsidRPr="00EC7EDF">
              <w:rPr>
                <w:color w:val="000000"/>
                <w:kern w:val="0"/>
                <w:sz w:val="24"/>
                <w:szCs w:val="24"/>
              </w:rPr>
              <w:t>)</w:t>
            </w:r>
          </w:p>
        </w:tc>
        <w:tc>
          <w:tcPr>
            <w:tcW w:w="1473" w:type="dxa"/>
            <w:vAlign w:val="center"/>
          </w:tcPr>
          <w:p w:rsidR="00EC7EDF" w:rsidRPr="00EC7EDF" w:rsidRDefault="00EC7EDF" w:rsidP="00EC7EDF">
            <w:pPr>
              <w:autoSpaceDE w:val="0"/>
              <w:autoSpaceDN w:val="0"/>
              <w:adjustRightInd w:val="0"/>
              <w:spacing w:before="29" w:line="288" w:lineRule="auto"/>
              <w:jc w:val="center"/>
              <w:rPr>
                <w:kern w:val="0"/>
                <w:sz w:val="24"/>
                <w:szCs w:val="24"/>
              </w:rPr>
            </w:pPr>
            <w:r w:rsidRPr="00EC7EDF">
              <w:rPr>
                <w:kern w:val="0"/>
                <w:sz w:val="24"/>
                <w:szCs w:val="24"/>
              </w:rPr>
              <w:t>风险说明</w:t>
            </w:r>
          </w:p>
        </w:tc>
      </w:tr>
      <w:tr w:rsidR="00EC7EDF" w:rsidRPr="00EC7EDF" w:rsidTr="00EC7EDF">
        <w:trPr>
          <w:trHeight w:val="105"/>
          <w:jc w:val="center"/>
        </w:trPr>
        <w:tc>
          <w:tcPr>
            <w:tcW w:w="1478" w:type="dxa"/>
            <w:vAlign w:val="center"/>
          </w:tcPr>
          <w:p w:rsidR="00EC7EDF" w:rsidRPr="00EC7EDF" w:rsidRDefault="00EC7EDF" w:rsidP="00EC7EDF">
            <w:pPr>
              <w:autoSpaceDE w:val="0"/>
              <w:autoSpaceDN w:val="0"/>
              <w:adjustRightInd w:val="0"/>
              <w:spacing w:before="29" w:line="288" w:lineRule="auto"/>
              <w:jc w:val="center"/>
              <w:rPr>
                <w:color w:val="000000"/>
                <w:kern w:val="0"/>
                <w:sz w:val="24"/>
                <w:szCs w:val="24"/>
              </w:rPr>
            </w:pPr>
            <w:r w:rsidRPr="00EC7EDF">
              <w:rPr>
                <w:rFonts w:hint="eastAsia"/>
                <w:color w:val="000000"/>
                <w:kern w:val="0"/>
                <w:sz w:val="24"/>
                <w:szCs w:val="24"/>
              </w:rPr>
              <w:t>-</w:t>
            </w:r>
          </w:p>
        </w:tc>
        <w:tc>
          <w:tcPr>
            <w:tcW w:w="1479" w:type="dxa"/>
            <w:vAlign w:val="center"/>
          </w:tcPr>
          <w:p w:rsidR="00EC7EDF" w:rsidRPr="00EC7EDF" w:rsidRDefault="00EC7EDF" w:rsidP="00EC7EDF">
            <w:pPr>
              <w:autoSpaceDE w:val="0"/>
              <w:autoSpaceDN w:val="0"/>
              <w:adjustRightInd w:val="0"/>
              <w:spacing w:before="29" w:line="288" w:lineRule="auto"/>
              <w:jc w:val="center"/>
              <w:rPr>
                <w:color w:val="000000"/>
                <w:kern w:val="0"/>
                <w:sz w:val="24"/>
                <w:szCs w:val="24"/>
              </w:rPr>
            </w:pPr>
            <w:r w:rsidRPr="00EC7EDF">
              <w:rPr>
                <w:rFonts w:hint="eastAsia"/>
                <w:color w:val="000000"/>
                <w:kern w:val="0"/>
                <w:sz w:val="24"/>
                <w:szCs w:val="24"/>
              </w:rPr>
              <w:t>-</w:t>
            </w:r>
          </w:p>
        </w:tc>
        <w:tc>
          <w:tcPr>
            <w:tcW w:w="1479" w:type="dxa"/>
            <w:vAlign w:val="center"/>
          </w:tcPr>
          <w:p w:rsidR="00EC7EDF" w:rsidRPr="00EC7EDF" w:rsidRDefault="00EC7EDF" w:rsidP="00EC7EDF">
            <w:pPr>
              <w:autoSpaceDE w:val="0"/>
              <w:autoSpaceDN w:val="0"/>
              <w:adjustRightInd w:val="0"/>
              <w:spacing w:before="29" w:line="288" w:lineRule="auto"/>
              <w:jc w:val="center"/>
              <w:rPr>
                <w:color w:val="000000"/>
                <w:kern w:val="0"/>
                <w:sz w:val="24"/>
                <w:szCs w:val="24"/>
              </w:rPr>
            </w:pPr>
            <w:r w:rsidRPr="00EC7EDF">
              <w:rPr>
                <w:rFonts w:hint="eastAsia"/>
                <w:color w:val="000000"/>
                <w:kern w:val="0"/>
                <w:sz w:val="24"/>
                <w:szCs w:val="24"/>
              </w:rPr>
              <w:t>-</w:t>
            </w:r>
          </w:p>
        </w:tc>
        <w:tc>
          <w:tcPr>
            <w:tcW w:w="1479" w:type="dxa"/>
            <w:vAlign w:val="center"/>
          </w:tcPr>
          <w:p w:rsidR="00EC7EDF" w:rsidRPr="00EC7EDF" w:rsidRDefault="00EC7EDF" w:rsidP="00EC7EDF">
            <w:pPr>
              <w:autoSpaceDE w:val="0"/>
              <w:autoSpaceDN w:val="0"/>
              <w:adjustRightInd w:val="0"/>
              <w:spacing w:before="29" w:line="288" w:lineRule="auto"/>
              <w:jc w:val="center"/>
              <w:rPr>
                <w:color w:val="000000"/>
                <w:kern w:val="0"/>
                <w:sz w:val="24"/>
                <w:szCs w:val="24"/>
              </w:rPr>
            </w:pPr>
            <w:r w:rsidRPr="00EC7EDF">
              <w:rPr>
                <w:rFonts w:hint="eastAsia"/>
                <w:color w:val="000000"/>
                <w:kern w:val="0"/>
                <w:sz w:val="24"/>
                <w:szCs w:val="24"/>
              </w:rPr>
              <w:t>-</w:t>
            </w:r>
          </w:p>
        </w:tc>
        <w:tc>
          <w:tcPr>
            <w:tcW w:w="1480" w:type="dxa"/>
            <w:vAlign w:val="center"/>
          </w:tcPr>
          <w:p w:rsidR="00EC7EDF" w:rsidRPr="00EC7EDF" w:rsidRDefault="00EC7EDF" w:rsidP="00EC7EDF">
            <w:pPr>
              <w:autoSpaceDE w:val="0"/>
              <w:autoSpaceDN w:val="0"/>
              <w:adjustRightInd w:val="0"/>
              <w:spacing w:before="29" w:line="288" w:lineRule="auto"/>
              <w:jc w:val="center"/>
              <w:rPr>
                <w:color w:val="000000"/>
                <w:kern w:val="0"/>
                <w:sz w:val="24"/>
                <w:szCs w:val="24"/>
              </w:rPr>
            </w:pPr>
            <w:r w:rsidRPr="00EC7EDF">
              <w:rPr>
                <w:rFonts w:hint="eastAsia"/>
                <w:color w:val="000000"/>
                <w:kern w:val="0"/>
                <w:sz w:val="24"/>
                <w:szCs w:val="24"/>
              </w:rPr>
              <w:t>-</w:t>
            </w:r>
          </w:p>
        </w:tc>
        <w:tc>
          <w:tcPr>
            <w:tcW w:w="1473" w:type="dxa"/>
            <w:vAlign w:val="center"/>
          </w:tcPr>
          <w:p w:rsidR="00EC7EDF" w:rsidRPr="00EC7EDF" w:rsidRDefault="00EC7EDF" w:rsidP="00EC7EDF">
            <w:pPr>
              <w:autoSpaceDE w:val="0"/>
              <w:autoSpaceDN w:val="0"/>
              <w:adjustRightInd w:val="0"/>
              <w:spacing w:before="29" w:line="288" w:lineRule="auto"/>
              <w:jc w:val="center"/>
              <w:rPr>
                <w:kern w:val="0"/>
                <w:sz w:val="24"/>
                <w:szCs w:val="24"/>
              </w:rPr>
            </w:pPr>
            <w:r w:rsidRPr="00EC7EDF">
              <w:rPr>
                <w:rFonts w:hint="eastAsia"/>
                <w:kern w:val="0"/>
                <w:sz w:val="24"/>
                <w:szCs w:val="24"/>
              </w:rPr>
              <w:t>-</w:t>
            </w:r>
          </w:p>
        </w:tc>
      </w:tr>
      <w:tr w:rsidR="00EC7EDF" w:rsidRPr="00EC7EDF" w:rsidTr="00EC7EDF">
        <w:trPr>
          <w:trHeight w:val="105"/>
          <w:jc w:val="center"/>
        </w:trPr>
        <w:tc>
          <w:tcPr>
            <w:tcW w:w="7395" w:type="dxa"/>
            <w:gridSpan w:val="5"/>
            <w:vAlign w:val="center"/>
          </w:tcPr>
          <w:p w:rsidR="00EC7EDF" w:rsidRPr="00EC7EDF" w:rsidRDefault="00EC7EDF" w:rsidP="00EC7EDF">
            <w:pPr>
              <w:autoSpaceDE w:val="0"/>
              <w:autoSpaceDN w:val="0"/>
              <w:adjustRightInd w:val="0"/>
              <w:spacing w:before="29" w:line="288" w:lineRule="auto"/>
              <w:jc w:val="left"/>
              <w:rPr>
                <w:color w:val="000000"/>
                <w:kern w:val="0"/>
                <w:sz w:val="24"/>
                <w:szCs w:val="24"/>
              </w:rPr>
            </w:pPr>
            <w:r w:rsidRPr="00EC7EDF">
              <w:rPr>
                <w:color w:val="000000"/>
                <w:kern w:val="0"/>
                <w:sz w:val="24"/>
                <w:szCs w:val="24"/>
              </w:rPr>
              <w:t>公允价值变动总额合计</w:t>
            </w:r>
            <w:r w:rsidRPr="00EC7EDF">
              <w:rPr>
                <w:color w:val="000000"/>
                <w:kern w:val="0"/>
                <w:sz w:val="24"/>
                <w:szCs w:val="24"/>
              </w:rPr>
              <w:t>(</w:t>
            </w:r>
            <w:r w:rsidRPr="00EC7EDF">
              <w:rPr>
                <w:color w:val="000000"/>
                <w:kern w:val="0"/>
                <w:sz w:val="24"/>
                <w:szCs w:val="24"/>
              </w:rPr>
              <w:t>元</w:t>
            </w:r>
            <w:r w:rsidRPr="00EC7EDF">
              <w:rPr>
                <w:color w:val="000000"/>
                <w:kern w:val="0"/>
                <w:sz w:val="24"/>
                <w:szCs w:val="24"/>
              </w:rPr>
              <w:t>)</w:t>
            </w:r>
          </w:p>
        </w:tc>
        <w:tc>
          <w:tcPr>
            <w:tcW w:w="1473" w:type="dxa"/>
            <w:vAlign w:val="center"/>
          </w:tcPr>
          <w:p w:rsidR="00EC7EDF" w:rsidRPr="00EC7EDF" w:rsidRDefault="00EC7EDF" w:rsidP="00EC7EDF">
            <w:pPr>
              <w:autoSpaceDE w:val="0"/>
              <w:autoSpaceDN w:val="0"/>
              <w:adjustRightInd w:val="0"/>
              <w:spacing w:before="29" w:line="288" w:lineRule="auto"/>
              <w:jc w:val="right"/>
              <w:rPr>
                <w:kern w:val="0"/>
                <w:sz w:val="24"/>
                <w:szCs w:val="24"/>
              </w:rPr>
            </w:pPr>
            <w:r w:rsidRPr="00EC7EDF">
              <w:rPr>
                <w:kern w:val="0"/>
                <w:sz w:val="24"/>
                <w:szCs w:val="24"/>
              </w:rPr>
              <w:t>-</w:t>
            </w:r>
          </w:p>
        </w:tc>
      </w:tr>
      <w:tr w:rsidR="00EC7EDF" w:rsidRPr="00EC7EDF" w:rsidTr="00EC7EDF">
        <w:trPr>
          <w:trHeight w:val="105"/>
          <w:jc w:val="center"/>
        </w:trPr>
        <w:tc>
          <w:tcPr>
            <w:tcW w:w="7395" w:type="dxa"/>
            <w:gridSpan w:val="5"/>
            <w:vAlign w:val="center"/>
          </w:tcPr>
          <w:p w:rsidR="00EC7EDF" w:rsidRPr="00EC7EDF" w:rsidRDefault="00EC7EDF" w:rsidP="00EC7EDF">
            <w:pPr>
              <w:autoSpaceDE w:val="0"/>
              <w:autoSpaceDN w:val="0"/>
              <w:adjustRightInd w:val="0"/>
              <w:spacing w:before="29" w:line="288" w:lineRule="auto"/>
              <w:jc w:val="left"/>
              <w:rPr>
                <w:kern w:val="0"/>
                <w:sz w:val="24"/>
                <w:szCs w:val="24"/>
              </w:rPr>
            </w:pPr>
            <w:r w:rsidRPr="00EC7EDF">
              <w:rPr>
                <w:kern w:val="0"/>
                <w:sz w:val="24"/>
                <w:szCs w:val="24"/>
              </w:rPr>
              <w:t>股指期货投资本期收益</w:t>
            </w:r>
            <w:r w:rsidRPr="00EC7EDF">
              <w:rPr>
                <w:color w:val="000000"/>
                <w:kern w:val="0"/>
                <w:sz w:val="24"/>
                <w:szCs w:val="24"/>
              </w:rPr>
              <w:t>(</w:t>
            </w:r>
            <w:r w:rsidRPr="00EC7EDF">
              <w:rPr>
                <w:color w:val="000000"/>
                <w:kern w:val="0"/>
                <w:sz w:val="24"/>
                <w:szCs w:val="24"/>
              </w:rPr>
              <w:t>元</w:t>
            </w:r>
            <w:r w:rsidRPr="00EC7EDF">
              <w:rPr>
                <w:color w:val="000000"/>
                <w:kern w:val="0"/>
                <w:sz w:val="24"/>
                <w:szCs w:val="24"/>
              </w:rPr>
              <w:t>)</w:t>
            </w:r>
          </w:p>
        </w:tc>
        <w:tc>
          <w:tcPr>
            <w:tcW w:w="1473" w:type="dxa"/>
            <w:vAlign w:val="center"/>
          </w:tcPr>
          <w:p w:rsidR="00EC7EDF" w:rsidRPr="00EC7EDF" w:rsidRDefault="00EC7EDF" w:rsidP="00EC7EDF">
            <w:pPr>
              <w:autoSpaceDE w:val="0"/>
              <w:autoSpaceDN w:val="0"/>
              <w:adjustRightInd w:val="0"/>
              <w:spacing w:before="29" w:line="288" w:lineRule="auto"/>
              <w:jc w:val="right"/>
              <w:rPr>
                <w:kern w:val="0"/>
                <w:sz w:val="24"/>
                <w:szCs w:val="24"/>
              </w:rPr>
            </w:pPr>
            <w:r w:rsidRPr="00EC7EDF">
              <w:rPr>
                <w:kern w:val="0"/>
                <w:sz w:val="24"/>
                <w:szCs w:val="24"/>
              </w:rPr>
              <w:t>-20,480.00</w:t>
            </w:r>
          </w:p>
        </w:tc>
      </w:tr>
      <w:tr w:rsidR="00EC7EDF" w:rsidRPr="00EC7EDF" w:rsidTr="00EC7EDF">
        <w:trPr>
          <w:trHeight w:val="105"/>
          <w:jc w:val="center"/>
        </w:trPr>
        <w:tc>
          <w:tcPr>
            <w:tcW w:w="7395" w:type="dxa"/>
            <w:gridSpan w:val="5"/>
            <w:vAlign w:val="center"/>
          </w:tcPr>
          <w:p w:rsidR="00EC7EDF" w:rsidRPr="00EC7EDF" w:rsidRDefault="00EC7EDF" w:rsidP="00EC7EDF">
            <w:pPr>
              <w:autoSpaceDE w:val="0"/>
              <w:autoSpaceDN w:val="0"/>
              <w:adjustRightInd w:val="0"/>
              <w:spacing w:before="29" w:line="288" w:lineRule="auto"/>
              <w:jc w:val="left"/>
              <w:rPr>
                <w:kern w:val="0"/>
                <w:sz w:val="24"/>
                <w:szCs w:val="24"/>
              </w:rPr>
            </w:pPr>
            <w:r w:rsidRPr="00EC7EDF">
              <w:rPr>
                <w:kern w:val="0"/>
                <w:sz w:val="24"/>
                <w:szCs w:val="24"/>
              </w:rPr>
              <w:t>股指期货投资本期公允价值变动</w:t>
            </w:r>
            <w:r w:rsidRPr="00EC7EDF">
              <w:rPr>
                <w:color w:val="000000"/>
                <w:kern w:val="0"/>
                <w:sz w:val="24"/>
                <w:szCs w:val="24"/>
              </w:rPr>
              <w:t>(</w:t>
            </w:r>
            <w:r w:rsidRPr="00EC7EDF">
              <w:rPr>
                <w:color w:val="000000"/>
                <w:kern w:val="0"/>
                <w:sz w:val="24"/>
                <w:szCs w:val="24"/>
              </w:rPr>
              <w:t>元</w:t>
            </w:r>
            <w:r w:rsidRPr="00EC7EDF">
              <w:rPr>
                <w:color w:val="000000"/>
                <w:kern w:val="0"/>
                <w:sz w:val="24"/>
                <w:szCs w:val="24"/>
              </w:rPr>
              <w:t>)</w:t>
            </w:r>
          </w:p>
        </w:tc>
        <w:tc>
          <w:tcPr>
            <w:tcW w:w="1473" w:type="dxa"/>
            <w:vAlign w:val="center"/>
          </w:tcPr>
          <w:p w:rsidR="00EC7EDF" w:rsidRPr="00EC7EDF" w:rsidRDefault="00EC7EDF" w:rsidP="00EC7EDF">
            <w:pPr>
              <w:autoSpaceDE w:val="0"/>
              <w:autoSpaceDN w:val="0"/>
              <w:adjustRightInd w:val="0"/>
              <w:spacing w:before="29" w:line="288" w:lineRule="auto"/>
              <w:jc w:val="right"/>
              <w:rPr>
                <w:kern w:val="0"/>
                <w:sz w:val="24"/>
                <w:szCs w:val="24"/>
              </w:rPr>
            </w:pPr>
            <w:r w:rsidRPr="00EC7EDF">
              <w:rPr>
                <w:kern w:val="0"/>
                <w:sz w:val="24"/>
                <w:szCs w:val="24"/>
              </w:rPr>
              <w:t>-</w:t>
            </w:r>
          </w:p>
        </w:tc>
      </w:tr>
    </w:tbl>
    <w:p w:rsidR="00AA3A38" w:rsidRDefault="00EC7EDF" w:rsidP="00C15CAC">
      <w:pPr>
        <w:adjustRightInd w:val="0"/>
        <w:snapToGrid w:val="0"/>
        <w:spacing w:before="29" w:line="288" w:lineRule="auto"/>
        <w:rPr>
          <w:sz w:val="24"/>
          <w:szCs w:val="24"/>
        </w:rPr>
      </w:pPr>
      <w:r w:rsidRPr="00EC7EDF">
        <w:rPr>
          <w:rFonts w:hint="eastAsia"/>
          <w:sz w:val="24"/>
          <w:szCs w:val="24"/>
        </w:rPr>
        <w:t>注：本基金本报告期末未持有股指期货。</w:t>
      </w:r>
      <w:bookmarkStart w:id="0" w:name="_GoBack"/>
      <w:bookmarkEnd w:id="0"/>
    </w:p>
    <w:p w:rsidR="00EC7EDF" w:rsidRPr="00414345" w:rsidRDefault="00EC7EDF" w:rsidP="00C15CAC">
      <w:pPr>
        <w:adjustRightInd w:val="0"/>
        <w:snapToGrid w:val="0"/>
        <w:spacing w:before="29" w:line="288" w:lineRule="auto"/>
        <w:rPr>
          <w:rFonts w:hint="eastAsia"/>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883,906.75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34,727,912.91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2,029,622.62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6,173,536.12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43,814,978.40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1,205,238,613.71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2,142,982,256.05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658,096,792.42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2,690,124,077.34</w:t>
            </w:r>
          </w:p>
        </w:tc>
      </w:tr>
    </w:tbl>
    <w:p w:rsidR="003F5E8E" w:rsidRDefault="009730DA">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3F5E8E" w:rsidRDefault="009730DA">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、中国证监会准予交银施罗德数据产业灵活配置混合型证券投资基金募集注册的文件；</w:t>
      </w:r>
      <w:r>
        <w:rPr>
          <w:color w:val="000000"/>
          <w:sz w:val="24"/>
          <w:szCs w:val="24"/>
        </w:rPr>
        <w:t xml:space="preserve"> </w:t>
      </w:r>
    </w:p>
    <w:p w:rsidR="003F5E8E" w:rsidRDefault="009730DA">
      <w:pPr>
        <w:spacing w:before="29" w:line="288" w:lineRule="auto"/>
        <w:ind w:firstLineChars="200" w:firstLine="480"/>
        <w:rPr>
          <w:color w:val="000000"/>
          <w:sz w:val="24"/>
          <w:szCs w:val="24"/>
        </w:rPr>
      </w:pPr>
      <w:r>
        <w:rPr>
          <w:color w:val="000000"/>
          <w:sz w:val="24"/>
          <w:szCs w:val="24"/>
        </w:rPr>
        <w:t>2</w:t>
      </w:r>
      <w:r>
        <w:rPr>
          <w:color w:val="000000"/>
          <w:sz w:val="24"/>
          <w:szCs w:val="24"/>
        </w:rPr>
        <w:t>、《交银施罗德数据产业灵活配置混合型证券投资基金基金合同》；</w:t>
      </w:r>
      <w:r>
        <w:rPr>
          <w:color w:val="000000"/>
          <w:sz w:val="24"/>
          <w:szCs w:val="24"/>
        </w:rPr>
        <w:t xml:space="preserve"> </w:t>
      </w:r>
    </w:p>
    <w:p w:rsidR="003F5E8E" w:rsidRDefault="009730DA">
      <w:pPr>
        <w:spacing w:before="29" w:line="288" w:lineRule="auto"/>
        <w:ind w:firstLineChars="200" w:firstLine="480"/>
        <w:rPr>
          <w:color w:val="000000"/>
          <w:sz w:val="24"/>
          <w:szCs w:val="24"/>
        </w:rPr>
      </w:pPr>
      <w:r>
        <w:rPr>
          <w:color w:val="000000"/>
          <w:sz w:val="24"/>
          <w:szCs w:val="24"/>
        </w:rPr>
        <w:t>3</w:t>
      </w:r>
      <w:r>
        <w:rPr>
          <w:color w:val="000000"/>
          <w:sz w:val="24"/>
          <w:szCs w:val="24"/>
        </w:rPr>
        <w:t>、《交银施罗德数据产业灵活配置混合型证券投资基金招募说明书》；</w:t>
      </w:r>
      <w:r>
        <w:rPr>
          <w:color w:val="000000"/>
          <w:sz w:val="24"/>
          <w:szCs w:val="24"/>
        </w:rPr>
        <w:t xml:space="preserve"> </w:t>
      </w:r>
    </w:p>
    <w:p w:rsidR="003F5E8E" w:rsidRDefault="009730DA">
      <w:pPr>
        <w:spacing w:before="29" w:line="288" w:lineRule="auto"/>
        <w:ind w:firstLineChars="200" w:firstLine="480"/>
        <w:rPr>
          <w:color w:val="000000"/>
          <w:sz w:val="24"/>
          <w:szCs w:val="24"/>
        </w:rPr>
      </w:pPr>
      <w:r>
        <w:rPr>
          <w:color w:val="000000"/>
          <w:sz w:val="24"/>
          <w:szCs w:val="24"/>
        </w:rPr>
        <w:t>4</w:t>
      </w:r>
      <w:r>
        <w:rPr>
          <w:color w:val="000000"/>
          <w:sz w:val="24"/>
          <w:szCs w:val="24"/>
        </w:rPr>
        <w:t>、《交银施罗德数据产业灵活配置混合型证券投资基金托管协议》；</w:t>
      </w:r>
      <w:r>
        <w:rPr>
          <w:color w:val="000000"/>
          <w:sz w:val="24"/>
          <w:szCs w:val="24"/>
        </w:rPr>
        <w:t xml:space="preserve"> </w:t>
      </w:r>
    </w:p>
    <w:p w:rsidR="003F5E8E" w:rsidRDefault="009730DA">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、关于申请募集注册交银施罗德数据产业灵活配置混合型证券投资基金的法律意见书；</w:t>
      </w:r>
      <w:r>
        <w:rPr>
          <w:color w:val="000000"/>
          <w:sz w:val="24"/>
          <w:szCs w:val="24"/>
        </w:rPr>
        <w:t xml:space="preserve"> </w:t>
      </w:r>
    </w:p>
    <w:p w:rsidR="003F5E8E" w:rsidRDefault="009730DA">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3F5E8E" w:rsidRDefault="009730DA">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、报告期内交银施罗德数据产业灵活配置混合型证券投资基金在指定报刊上各项公告的原稿。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3F5E8E" w:rsidRDefault="009730DA">
      <w:pPr>
        <w:spacing w:before="29" w:line="288" w:lineRule="auto"/>
        <w:ind w:firstLineChars="200" w:firstLine="480"/>
        <w:rPr>
          <w:color w:val="000000"/>
          <w:sz w:val="24"/>
          <w:szCs w:val="24"/>
        </w:rPr>
      </w:pPr>
      <w:r>
        <w:rPr>
          <w:color w:val="000000"/>
          <w:sz w:val="24"/>
          <w:szCs w:val="24"/>
        </w:rPr>
        <w:lastRenderedPageBreak/>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30DA" w:rsidRDefault="009730DA" w:rsidP="00876D65">
      <w:r>
        <w:separator/>
      </w:r>
    </w:p>
  </w:endnote>
  <w:endnote w:type="continuationSeparator" w:id="0">
    <w:p w:rsidR="009730DA" w:rsidRDefault="009730DA"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EC7EDF">
      <w:rPr>
        <w:noProof/>
        <w:kern w:val="0"/>
        <w:szCs w:val="21"/>
      </w:rPr>
      <w:t>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EC7EDF">
      <w:rPr>
        <w:noProof/>
        <w:kern w:val="0"/>
        <w:szCs w:val="21"/>
      </w:rPr>
      <w:t>12</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30DA" w:rsidRDefault="009730DA" w:rsidP="00876D65">
      <w:r>
        <w:separator/>
      </w:r>
    </w:p>
  </w:footnote>
  <w:footnote w:type="continuationSeparator" w:id="0">
    <w:p w:rsidR="009730DA" w:rsidRDefault="009730DA"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交银施罗德数据产业灵活配置混合型证券投资基金</w:t>
    </w:r>
    <w:r w:rsidRPr="003E676C">
      <w:rPr>
        <w:sz w:val="24"/>
        <w:szCs w:val="24"/>
      </w:rPr>
      <w:t>2020</w:t>
    </w:r>
    <w:r w:rsidRPr="003E676C">
      <w:rPr>
        <w:sz w:val="24"/>
        <w:szCs w:val="24"/>
      </w:rPr>
      <w:t>年第</w:t>
    </w:r>
    <w:r w:rsidRPr="003E676C">
      <w:rPr>
        <w:sz w:val="24"/>
        <w:szCs w:val="24"/>
      </w:rPr>
      <w:t>1</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5E8E"/>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0DA"/>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C7EDF"/>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88CAA1-62F2-4769-BCD6-760DE174A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1834</TotalTime>
  <Pages>12</Pages>
  <Words>1034</Words>
  <Characters>5894</Characters>
  <Application>Microsoft Office Word</Application>
  <DocSecurity>0</DocSecurity>
  <Lines>49</Lines>
  <Paragraphs>13</Paragraphs>
  <ScaleCrop>false</ScaleCrop>
  <Company/>
  <LinksUpToDate>false</LinksUpToDate>
  <CharactersWithSpaces>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郝婷婷</cp:lastModifiedBy>
  <cp:revision>601</cp:revision>
  <dcterms:created xsi:type="dcterms:W3CDTF">2012-10-16T06:07:00Z</dcterms:created>
  <dcterms:modified xsi:type="dcterms:W3CDTF">2020-04-16T09:31:00Z</dcterms:modified>
</cp:coreProperties>
</file>