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交银施罗德医药创新股票型证券投资基金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6761A" w:rsidRDefault="00560B6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6761A" w:rsidRDefault="00560B61">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6761A" w:rsidRDefault="00560B6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6761A" w:rsidRDefault="00560B61">
      <w:pPr>
        <w:spacing w:before="29" w:line="288" w:lineRule="auto"/>
        <w:ind w:firstLineChars="200" w:firstLine="480"/>
        <w:rPr>
          <w:color w:val="000000"/>
          <w:sz w:val="24"/>
          <w:szCs w:val="24"/>
        </w:rPr>
      </w:pPr>
      <w:r>
        <w:rPr>
          <w:color w:val="000000"/>
          <w:sz w:val="24"/>
          <w:szCs w:val="24"/>
        </w:rPr>
        <w:t>基金的过往业绩并不代表其未来表现。投资有风</w:t>
      </w:r>
      <w:r>
        <w:rPr>
          <w:color w:val="000000"/>
          <w:sz w:val="24"/>
          <w:szCs w:val="24"/>
        </w:rPr>
        <w:t>险，投资者在作出投资决策前应仔细阅读本基金的招募说明书。</w:t>
      </w:r>
      <w:r>
        <w:rPr>
          <w:color w:val="000000"/>
          <w:sz w:val="24"/>
          <w:szCs w:val="24"/>
        </w:rPr>
        <w:t xml:space="preserve"> </w:t>
      </w:r>
    </w:p>
    <w:p w:rsidR="00D6761A" w:rsidRDefault="00560B6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交银医药创新股票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542,630,029.56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本基金将深度挖掘医药创新过程中产业的各类投资机会，精选医药创新主题的优质上市公司，在控制风险并保持基金资产良好的流动性的前提下，谋求基金资产的长期、稳定增值。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中证医药卫生指数收益率</w:t>
            </w:r>
            <w:r w:rsidRPr="00414345">
              <w:rPr>
                <w:color w:val="000000"/>
                <w:kern w:val="0"/>
                <w:sz w:val="24"/>
                <w:szCs w:val="24"/>
              </w:rPr>
              <w:t>+15%×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60B61" w:rsidRPr="00414345" w:rsidTr="00560B6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560B61" w:rsidRPr="00414345" w:rsidTr="00560B6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40,048,732.71</w:t>
            </w:r>
          </w:p>
        </w:tc>
      </w:tr>
      <w:tr w:rsidR="00560B61" w:rsidRPr="00414345" w:rsidTr="00560B6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73,975,621.59</w:t>
            </w:r>
          </w:p>
        </w:tc>
      </w:tr>
      <w:tr w:rsidR="00560B61" w:rsidRPr="00414345" w:rsidTr="00560B6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0.1609</w:t>
            </w:r>
          </w:p>
        </w:tc>
      </w:tr>
      <w:tr w:rsidR="00560B61" w:rsidRPr="00414345" w:rsidTr="00560B6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1,066,005,224.40</w:t>
            </w:r>
          </w:p>
        </w:tc>
      </w:tr>
      <w:tr w:rsidR="00560B61" w:rsidRPr="00414345" w:rsidTr="00560B6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1.9645</w:t>
            </w:r>
          </w:p>
        </w:tc>
      </w:tr>
    </w:tbl>
    <w:p w:rsidR="00D6761A" w:rsidRDefault="00560B6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6761A">
        <w:trPr>
          <w:jc w:val="center"/>
        </w:trPr>
        <w:tc>
          <w:tcPr>
            <w:tcW w:w="1701" w:type="dxa"/>
            <w:vAlign w:val="center"/>
          </w:tcPr>
          <w:p w:rsidR="00D6761A" w:rsidRDefault="00560B61">
            <w:pPr>
              <w:jc w:val="left"/>
            </w:pPr>
            <w:r>
              <w:rPr>
                <w:color w:val="000000"/>
                <w:sz w:val="24"/>
                <w:szCs w:val="24"/>
              </w:rPr>
              <w:t>过去三个月</w:t>
            </w:r>
          </w:p>
        </w:tc>
        <w:tc>
          <w:tcPr>
            <w:tcW w:w="1045" w:type="dxa"/>
            <w:vAlign w:val="center"/>
          </w:tcPr>
          <w:p w:rsidR="00D6761A" w:rsidRDefault="00560B61">
            <w:pPr>
              <w:jc w:val="center"/>
            </w:pPr>
            <w:r>
              <w:rPr>
                <w:color w:val="000000"/>
                <w:sz w:val="24"/>
                <w:szCs w:val="24"/>
              </w:rPr>
              <w:t>11.53%</w:t>
            </w:r>
          </w:p>
        </w:tc>
        <w:tc>
          <w:tcPr>
            <w:tcW w:w="1344" w:type="dxa"/>
            <w:vAlign w:val="center"/>
          </w:tcPr>
          <w:p w:rsidR="00D6761A" w:rsidRDefault="00560B61">
            <w:pPr>
              <w:jc w:val="center"/>
            </w:pPr>
            <w:r>
              <w:rPr>
                <w:color w:val="000000"/>
                <w:sz w:val="24"/>
                <w:szCs w:val="24"/>
              </w:rPr>
              <w:t>1.96%</w:t>
            </w:r>
          </w:p>
        </w:tc>
        <w:tc>
          <w:tcPr>
            <w:tcW w:w="1194" w:type="dxa"/>
            <w:vAlign w:val="center"/>
          </w:tcPr>
          <w:p w:rsidR="00D6761A" w:rsidRDefault="00560B61">
            <w:pPr>
              <w:jc w:val="center"/>
            </w:pPr>
            <w:r>
              <w:rPr>
                <w:color w:val="000000"/>
                <w:sz w:val="24"/>
                <w:szCs w:val="24"/>
              </w:rPr>
              <w:t>6.07%</w:t>
            </w:r>
          </w:p>
        </w:tc>
        <w:tc>
          <w:tcPr>
            <w:tcW w:w="1492" w:type="dxa"/>
            <w:vAlign w:val="center"/>
          </w:tcPr>
          <w:p w:rsidR="00D6761A" w:rsidRDefault="00560B61">
            <w:pPr>
              <w:jc w:val="center"/>
            </w:pPr>
            <w:r>
              <w:rPr>
                <w:color w:val="000000"/>
                <w:sz w:val="24"/>
                <w:szCs w:val="24"/>
              </w:rPr>
              <w:t>1.61%</w:t>
            </w:r>
          </w:p>
        </w:tc>
        <w:tc>
          <w:tcPr>
            <w:tcW w:w="1194" w:type="dxa"/>
            <w:vAlign w:val="center"/>
          </w:tcPr>
          <w:p w:rsidR="00D6761A" w:rsidRDefault="00560B61">
            <w:pPr>
              <w:jc w:val="center"/>
            </w:pPr>
            <w:r>
              <w:rPr>
                <w:color w:val="000000"/>
                <w:sz w:val="24"/>
                <w:szCs w:val="24"/>
              </w:rPr>
              <w:t>5.46%</w:t>
            </w:r>
          </w:p>
        </w:tc>
        <w:tc>
          <w:tcPr>
            <w:tcW w:w="898" w:type="dxa"/>
            <w:vAlign w:val="center"/>
          </w:tcPr>
          <w:p w:rsidR="00D6761A" w:rsidRDefault="00560B61">
            <w:pPr>
              <w:jc w:val="center"/>
            </w:pPr>
            <w:r>
              <w:rPr>
                <w:color w:val="000000"/>
                <w:sz w:val="24"/>
                <w:szCs w:val="24"/>
              </w:rPr>
              <w:t>0.35%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交银施罗德医药创新股票型证券投资基金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6761A">
        <w:trPr>
          <w:jc w:val="center"/>
        </w:trPr>
        <w:tc>
          <w:tcPr>
            <w:tcW w:w="846" w:type="dxa"/>
            <w:vAlign w:val="center"/>
          </w:tcPr>
          <w:p w:rsidR="00D6761A" w:rsidRDefault="00560B61">
            <w:pPr>
              <w:jc w:val="center"/>
            </w:pPr>
            <w:r>
              <w:rPr>
                <w:color w:val="000000"/>
                <w:sz w:val="24"/>
                <w:szCs w:val="24"/>
              </w:rPr>
              <w:t>楼慧源</w:t>
            </w:r>
          </w:p>
        </w:tc>
        <w:tc>
          <w:tcPr>
            <w:tcW w:w="845" w:type="dxa"/>
            <w:vAlign w:val="center"/>
          </w:tcPr>
          <w:p w:rsidR="00D6761A" w:rsidRDefault="00560B61">
            <w:pPr>
              <w:jc w:val="center"/>
            </w:pPr>
            <w:r>
              <w:rPr>
                <w:color w:val="000000"/>
                <w:sz w:val="24"/>
                <w:szCs w:val="24"/>
              </w:rPr>
              <w:t>交银医药创新股票的基金经理</w:t>
            </w:r>
          </w:p>
        </w:tc>
        <w:tc>
          <w:tcPr>
            <w:tcW w:w="1549" w:type="dxa"/>
            <w:vAlign w:val="center"/>
          </w:tcPr>
          <w:p w:rsidR="00D6761A" w:rsidRDefault="00560B61">
            <w:pPr>
              <w:jc w:val="center"/>
            </w:pPr>
            <w:r>
              <w:rPr>
                <w:color w:val="000000"/>
                <w:sz w:val="24"/>
                <w:szCs w:val="24"/>
              </w:rPr>
              <w:t>2018-09-12</w:t>
            </w:r>
          </w:p>
        </w:tc>
        <w:tc>
          <w:tcPr>
            <w:tcW w:w="1548" w:type="dxa"/>
            <w:vAlign w:val="center"/>
          </w:tcPr>
          <w:p w:rsidR="00D6761A" w:rsidRDefault="00560B61">
            <w:pPr>
              <w:jc w:val="center"/>
            </w:pPr>
            <w:r>
              <w:rPr>
                <w:color w:val="000000"/>
                <w:sz w:val="24"/>
                <w:szCs w:val="24"/>
              </w:rPr>
              <w:t>-</w:t>
            </w:r>
          </w:p>
        </w:tc>
        <w:tc>
          <w:tcPr>
            <w:tcW w:w="1407" w:type="dxa"/>
            <w:vAlign w:val="center"/>
          </w:tcPr>
          <w:p w:rsidR="00D6761A" w:rsidRDefault="00560B61">
            <w:pPr>
              <w:jc w:val="center"/>
            </w:pPr>
            <w:r>
              <w:rPr>
                <w:color w:val="000000"/>
                <w:sz w:val="24"/>
                <w:szCs w:val="24"/>
              </w:rPr>
              <w:t>6</w:t>
            </w:r>
            <w:r>
              <w:rPr>
                <w:color w:val="000000"/>
                <w:sz w:val="24"/>
                <w:szCs w:val="24"/>
              </w:rPr>
              <w:t>年</w:t>
            </w:r>
          </w:p>
        </w:tc>
        <w:tc>
          <w:tcPr>
            <w:tcW w:w="2673" w:type="dxa"/>
            <w:vAlign w:val="center"/>
          </w:tcPr>
          <w:p w:rsidR="00D6761A" w:rsidRDefault="00560B61">
            <w:r>
              <w:rPr>
                <w:color w:val="000000"/>
                <w:sz w:val="24"/>
                <w:szCs w:val="24"/>
              </w:rPr>
              <w:t>楼慧源女士，复旦大学金融学硕士、浙江大学应用生物科学学士。</w:t>
            </w:r>
            <w:r>
              <w:rPr>
                <w:color w:val="000000"/>
                <w:sz w:val="24"/>
                <w:szCs w:val="24"/>
              </w:rPr>
              <w:t>2014</w:t>
            </w:r>
            <w:r>
              <w:rPr>
                <w:color w:val="000000"/>
                <w:sz w:val="24"/>
                <w:szCs w:val="24"/>
              </w:rPr>
              <w:t>年至</w:t>
            </w:r>
            <w:r>
              <w:rPr>
                <w:color w:val="000000"/>
                <w:sz w:val="24"/>
                <w:szCs w:val="24"/>
              </w:rPr>
              <w:t>2015</w:t>
            </w:r>
            <w:r>
              <w:rPr>
                <w:color w:val="000000"/>
                <w:sz w:val="24"/>
                <w:szCs w:val="24"/>
              </w:rPr>
              <w:t>年任中国国际金融有限公司研究员。</w:t>
            </w:r>
            <w:r>
              <w:rPr>
                <w:color w:val="000000"/>
                <w:sz w:val="24"/>
                <w:szCs w:val="24"/>
              </w:rPr>
              <w:t>2015</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w:t>
      </w:r>
      <w:r w:rsidRPr="00414345">
        <w:rPr>
          <w:color w:val="000000"/>
          <w:sz w:val="24"/>
          <w:szCs w:val="24"/>
        </w:rPr>
        <w:lastRenderedPageBreak/>
        <w:t>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6761A" w:rsidRDefault="00560B6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6761A" w:rsidRDefault="00560B6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6761A" w:rsidRDefault="00560B6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6761A" w:rsidRDefault="00560B61">
      <w:pPr>
        <w:spacing w:before="29" w:line="288" w:lineRule="auto"/>
        <w:ind w:firstLineChars="200" w:firstLine="480"/>
        <w:rPr>
          <w:color w:val="000000"/>
          <w:sz w:val="24"/>
          <w:szCs w:val="24"/>
        </w:rPr>
      </w:pPr>
      <w:r>
        <w:rPr>
          <w:color w:val="000000"/>
          <w:sz w:val="24"/>
          <w:szCs w:val="24"/>
        </w:rPr>
        <w:t>回顾</w:t>
      </w:r>
      <w:r>
        <w:rPr>
          <w:color w:val="000000"/>
          <w:sz w:val="24"/>
          <w:szCs w:val="24"/>
        </w:rPr>
        <w:t>2020</w:t>
      </w:r>
      <w:r>
        <w:rPr>
          <w:color w:val="000000"/>
          <w:sz w:val="24"/>
          <w:szCs w:val="24"/>
        </w:rPr>
        <w:t>年一季度，新冠肺炎疫情的发生给全球市场带来了巨大的波动。而医药板块有较好的相对收益，原因是部分个股从事疫情防控的相关业务以及医药需求相对刚需。</w:t>
      </w:r>
    </w:p>
    <w:p w:rsidR="00D6761A" w:rsidRDefault="00560B61">
      <w:pPr>
        <w:spacing w:before="29" w:line="288" w:lineRule="auto"/>
        <w:ind w:firstLineChars="200" w:firstLine="480"/>
        <w:rPr>
          <w:color w:val="000000"/>
          <w:sz w:val="24"/>
          <w:szCs w:val="24"/>
        </w:rPr>
      </w:pPr>
      <w:r>
        <w:rPr>
          <w:color w:val="000000"/>
          <w:sz w:val="24"/>
          <w:szCs w:val="24"/>
        </w:rPr>
        <w:t>由于海外疫情的蔓延，各国采取的防控不一，所以疫情走势仍具备较大的不确定性，目前判断全球的疫情抗击是持久战，对全球经济的冲击预计是持续的，因此对</w:t>
      </w:r>
      <w:r>
        <w:rPr>
          <w:color w:val="000000"/>
          <w:sz w:val="24"/>
          <w:szCs w:val="24"/>
        </w:rPr>
        <w:t>2020</w:t>
      </w:r>
      <w:r>
        <w:rPr>
          <w:color w:val="000000"/>
          <w:sz w:val="24"/>
          <w:szCs w:val="24"/>
        </w:rPr>
        <w:t>年回报持偏谨慎的态度。相对比较下，由于中国疫情防控较好、且具备充分的经验，国内的权益市场仍然具备相对的优势。</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本基金长期继续看好四类赛道，受益于消费升级的品质医疗服务、自费医药产品，受益于技术驱动、治疗范式升级的创新药和创新器械，受益于国产替代的高性价比药械</w:t>
      </w:r>
      <w:r w:rsidRPr="00414345">
        <w:rPr>
          <w:color w:val="000000"/>
          <w:sz w:val="24"/>
          <w:szCs w:val="24"/>
        </w:rPr>
        <w:lastRenderedPageBreak/>
        <w:t>和诊断产品，以及受益于人才红利的承接全球制药行业产能转移的公司。落实到本年度的投资，我们认为，需要结合疫情的影响，重点配置面向刚需的成长性个股，逢低买入短期受到冲击、长期逻辑未损的优质个股，适当配置疫情正相关的个股。</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939,546,402.90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87.29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939,546,402.90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87.29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113,266,732.43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10.52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23,571,086.85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2.19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1,076,384,222.18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691,788,825.59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71,097.11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261,483.00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99,425.07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6,364.00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66,670,032.35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180,649,175.78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939,546,402.90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88.14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6761A">
        <w:trPr>
          <w:jc w:val="center"/>
        </w:trPr>
        <w:tc>
          <w:tcPr>
            <w:tcW w:w="855" w:type="dxa"/>
            <w:vAlign w:val="center"/>
          </w:tcPr>
          <w:p w:rsidR="00D6761A" w:rsidRDefault="00560B61">
            <w:pPr>
              <w:jc w:val="center"/>
            </w:pPr>
            <w:r>
              <w:rPr>
                <w:color w:val="000000"/>
                <w:sz w:val="24"/>
                <w:szCs w:val="24"/>
              </w:rPr>
              <w:t>1</w:t>
            </w:r>
          </w:p>
        </w:tc>
        <w:tc>
          <w:tcPr>
            <w:tcW w:w="1334" w:type="dxa"/>
            <w:vAlign w:val="center"/>
          </w:tcPr>
          <w:p w:rsidR="00D6761A" w:rsidRDefault="00560B61">
            <w:pPr>
              <w:jc w:val="center"/>
            </w:pPr>
            <w:r>
              <w:rPr>
                <w:color w:val="000000"/>
                <w:sz w:val="24"/>
                <w:szCs w:val="24"/>
              </w:rPr>
              <w:t>600276</w:t>
            </w:r>
          </w:p>
        </w:tc>
        <w:tc>
          <w:tcPr>
            <w:tcW w:w="1777" w:type="dxa"/>
            <w:vAlign w:val="center"/>
          </w:tcPr>
          <w:p w:rsidR="00D6761A" w:rsidRDefault="00560B61">
            <w:pPr>
              <w:jc w:val="center"/>
            </w:pPr>
            <w:r>
              <w:rPr>
                <w:color w:val="000000"/>
                <w:sz w:val="24"/>
                <w:szCs w:val="24"/>
              </w:rPr>
              <w:t>恒瑞医药</w:t>
            </w:r>
          </w:p>
        </w:tc>
        <w:tc>
          <w:tcPr>
            <w:tcW w:w="1334" w:type="dxa"/>
            <w:vAlign w:val="center"/>
          </w:tcPr>
          <w:p w:rsidR="00D6761A" w:rsidRDefault="00560B61">
            <w:pPr>
              <w:jc w:val="right"/>
            </w:pPr>
            <w:r>
              <w:rPr>
                <w:color w:val="000000"/>
                <w:sz w:val="24"/>
                <w:szCs w:val="24"/>
              </w:rPr>
              <w:t>887,542</w:t>
            </w:r>
          </w:p>
        </w:tc>
        <w:tc>
          <w:tcPr>
            <w:tcW w:w="1924" w:type="dxa"/>
            <w:vAlign w:val="center"/>
          </w:tcPr>
          <w:p w:rsidR="00D6761A" w:rsidRDefault="00560B61">
            <w:pPr>
              <w:jc w:val="right"/>
            </w:pPr>
            <w:r>
              <w:rPr>
                <w:color w:val="000000"/>
                <w:sz w:val="24"/>
                <w:szCs w:val="24"/>
              </w:rPr>
              <w:t>81,680,490.26</w:t>
            </w:r>
          </w:p>
        </w:tc>
        <w:tc>
          <w:tcPr>
            <w:tcW w:w="1644" w:type="dxa"/>
            <w:vAlign w:val="center"/>
          </w:tcPr>
          <w:p w:rsidR="00D6761A" w:rsidRDefault="00560B61">
            <w:pPr>
              <w:jc w:val="right"/>
            </w:pPr>
            <w:r>
              <w:rPr>
                <w:color w:val="000000"/>
                <w:sz w:val="24"/>
                <w:szCs w:val="24"/>
              </w:rPr>
              <w:t>7.66</w:t>
            </w:r>
          </w:p>
        </w:tc>
      </w:tr>
      <w:tr w:rsidR="00D6761A">
        <w:trPr>
          <w:jc w:val="center"/>
        </w:trPr>
        <w:tc>
          <w:tcPr>
            <w:tcW w:w="855" w:type="dxa"/>
            <w:vAlign w:val="center"/>
          </w:tcPr>
          <w:p w:rsidR="00D6761A" w:rsidRDefault="00560B61">
            <w:pPr>
              <w:jc w:val="center"/>
            </w:pPr>
            <w:r>
              <w:rPr>
                <w:color w:val="000000"/>
                <w:sz w:val="24"/>
                <w:szCs w:val="24"/>
              </w:rPr>
              <w:t>2</w:t>
            </w:r>
          </w:p>
        </w:tc>
        <w:tc>
          <w:tcPr>
            <w:tcW w:w="1334" w:type="dxa"/>
            <w:vAlign w:val="center"/>
          </w:tcPr>
          <w:p w:rsidR="00D6761A" w:rsidRDefault="00560B61">
            <w:pPr>
              <w:jc w:val="center"/>
            </w:pPr>
            <w:r>
              <w:rPr>
                <w:color w:val="000000"/>
                <w:sz w:val="24"/>
                <w:szCs w:val="24"/>
              </w:rPr>
              <w:t>300760</w:t>
            </w:r>
          </w:p>
        </w:tc>
        <w:tc>
          <w:tcPr>
            <w:tcW w:w="1777" w:type="dxa"/>
            <w:vAlign w:val="center"/>
          </w:tcPr>
          <w:p w:rsidR="00D6761A" w:rsidRDefault="00560B61">
            <w:pPr>
              <w:jc w:val="center"/>
            </w:pPr>
            <w:r>
              <w:rPr>
                <w:color w:val="000000"/>
                <w:sz w:val="24"/>
                <w:szCs w:val="24"/>
              </w:rPr>
              <w:t>迈瑞医疗</w:t>
            </w:r>
          </w:p>
        </w:tc>
        <w:tc>
          <w:tcPr>
            <w:tcW w:w="1334" w:type="dxa"/>
            <w:vAlign w:val="center"/>
          </w:tcPr>
          <w:p w:rsidR="00D6761A" w:rsidRDefault="00560B61">
            <w:pPr>
              <w:jc w:val="right"/>
            </w:pPr>
            <w:r>
              <w:rPr>
                <w:color w:val="000000"/>
                <w:sz w:val="24"/>
                <w:szCs w:val="24"/>
              </w:rPr>
              <w:t>297,970</w:t>
            </w:r>
          </w:p>
        </w:tc>
        <w:tc>
          <w:tcPr>
            <w:tcW w:w="1924" w:type="dxa"/>
            <w:vAlign w:val="center"/>
          </w:tcPr>
          <w:p w:rsidR="00D6761A" w:rsidRDefault="00560B61">
            <w:pPr>
              <w:jc w:val="right"/>
            </w:pPr>
            <w:r>
              <w:rPr>
                <w:color w:val="000000"/>
                <w:sz w:val="24"/>
                <w:szCs w:val="24"/>
              </w:rPr>
              <w:t>77,978,749.00</w:t>
            </w:r>
          </w:p>
        </w:tc>
        <w:tc>
          <w:tcPr>
            <w:tcW w:w="1644" w:type="dxa"/>
            <w:vAlign w:val="center"/>
          </w:tcPr>
          <w:p w:rsidR="00D6761A" w:rsidRDefault="00560B61">
            <w:pPr>
              <w:jc w:val="right"/>
            </w:pPr>
            <w:r>
              <w:rPr>
                <w:color w:val="000000"/>
                <w:sz w:val="24"/>
                <w:szCs w:val="24"/>
              </w:rPr>
              <w:t>7.32</w:t>
            </w:r>
          </w:p>
        </w:tc>
      </w:tr>
      <w:tr w:rsidR="00D6761A">
        <w:trPr>
          <w:jc w:val="center"/>
        </w:trPr>
        <w:tc>
          <w:tcPr>
            <w:tcW w:w="855" w:type="dxa"/>
            <w:vAlign w:val="center"/>
          </w:tcPr>
          <w:p w:rsidR="00D6761A" w:rsidRDefault="00560B61">
            <w:pPr>
              <w:jc w:val="center"/>
            </w:pPr>
            <w:r>
              <w:rPr>
                <w:color w:val="000000"/>
                <w:sz w:val="24"/>
                <w:szCs w:val="24"/>
              </w:rPr>
              <w:t>3</w:t>
            </w:r>
          </w:p>
        </w:tc>
        <w:tc>
          <w:tcPr>
            <w:tcW w:w="1334" w:type="dxa"/>
            <w:vAlign w:val="center"/>
          </w:tcPr>
          <w:p w:rsidR="00D6761A" w:rsidRDefault="00560B61">
            <w:pPr>
              <w:jc w:val="center"/>
            </w:pPr>
            <w:r>
              <w:rPr>
                <w:color w:val="000000"/>
                <w:sz w:val="24"/>
                <w:szCs w:val="24"/>
              </w:rPr>
              <w:t>600529</w:t>
            </w:r>
          </w:p>
        </w:tc>
        <w:tc>
          <w:tcPr>
            <w:tcW w:w="1777" w:type="dxa"/>
            <w:vAlign w:val="center"/>
          </w:tcPr>
          <w:p w:rsidR="00D6761A" w:rsidRDefault="00560B61">
            <w:pPr>
              <w:jc w:val="center"/>
            </w:pPr>
            <w:r>
              <w:rPr>
                <w:color w:val="000000"/>
                <w:sz w:val="24"/>
                <w:szCs w:val="24"/>
              </w:rPr>
              <w:t>山东药玻</w:t>
            </w:r>
          </w:p>
        </w:tc>
        <w:tc>
          <w:tcPr>
            <w:tcW w:w="1334" w:type="dxa"/>
            <w:vAlign w:val="center"/>
          </w:tcPr>
          <w:p w:rsidR="00D6761A" w:rsidRDefault="00560B61">
            <w:pPr>
              <w:jc w:val="right"/>
            </w:pPr>
            <w:r>
              <w:rPr>
                <w:color w:val="000000"/>
                <w:sz w:val="24"/>
                <w:szCs w:val="24"/>
              </w:rPr>
              <w:t>2,060,948</w:t>
            </w:r>
          </w:p>
        </w:tc>
        <w:tc>
          <w:tcPr>
            <w:tcW w:w="1924" w:type="dxa"/>
            <w:vAlign w:val="center"/>
          </w:tcPr>
          <w:p w:rsidR="00D6761A" w:rsidRDefault="00560B61">
            <w:pPr>
              <w:jc w:val="right"/>
            </w:pPr>
            <w:r>
              <w:rPr>
                <w:color w:val="000000"/>
                <w:sz w:val="24"/>
                <w:szCs w:val="24"/>
              </w:rPr>
              <w:t>68,540,633.84</w:t>
            </w:r>
          </w:p>
        </w:tc>
        <w:tc>
          <w:tcPr>
            <w:tcW w:w="1644" w:type="dxa"/>
            <w:vAlign w:val="center"/>
          </w:tcPr>
          <w:p w:rsidR="00D6761A" w:rsidRDefault="00560B61">
            <w:pPr>
              <w:jc w:val="right"/>
            </w:pPr>
            <w:r>
              <w:rPr>
                <w:color w:val="000000"/>
                <w:sz w:val="24"/>
                <w:szCs w:val="24"/>
              </w:rPr>
              <w:t>6.43</w:t>
            </w:r>
          </w:p>
        </w:tc>
      </w:tr>
      <w:tr w:rsidR="00D6761A">
        <w:trPr>
          <w:jc w:val="center"/>
        </w:trPr>
        <w:tc>
          <w:tcPr>
            <w:tcW w:w="855" w:type="dxa"/>
            <w:vAlign w:val="center"/>
          </w:tcPr>
          <w:p w:rsidR="00D6761A" w:rsidRDefault="00560B61">
            <w:pPr>
              <w:jc w:val="center"/>
            </w:pPr>
            <w:r>
              <w:rPr>
                <w:color w:val="000000"/>
                <w:sz w:val="24"/>
                <w:szCs w:val="24"/>
              </w:rPr>
              <w:t>4</w:t>
            </w:r>
          </w:p>
        </w:tc>
        <w:tc>
          <w:tcPr>
            <w:tcW w:w="1334" w:type="dxa"/>
            <w:vAlign w:val="center"/>
          </w:tcPr>
          <w:p w:rsidR="00D6761A" w:rsidRDefault="00560B61">
            <w:pPr>
              <w:jc w:val="center"/>
            </w:pPr>
            <w:r>
              <w:rPr>
                <w:color w:val="000000"/>
                <w:sz w:val="24"/>
                <w:szCs w:val="24"/>
              </w:rPr>
              <w:t>600763</w:t>
            </w:r>
          </w:p>
        </w:tc>
        <w:tc>
          <w:tcPr>
            <w:tcW w:w="1777" w:type="dxa"/>
            <w:vAlign w:val="center"/>
          </w:tcPr>
          <w:p w:rsidR="00D6761A" w:rsidRDefault="00560B61">
            <w:pPr>
              <w:jc w:val="center"/>
            </w:pPr>
            <w:r>
              <w:rPr>
                <w:color w:val="000000"/>
                <w:sz w:val="24"/>
                <w:szCs w:val="24"/>
              </w:rPr>
              <w:t>通策医疗</w:t>
            </w:r>
          </w:p>
        </w:tc>
        <w:tc>
          <w:tcPr>
            <w:tcW w:w="1334" w:type="dxa"/>
            <w:vAlign w:val="center"/>
          </w:tcPr>
          <w:p w:rsidR="00D6761A" w:rsidRDefault="00560B61">
            <w:pPr>
              <w:jc w:val="right"/>
            </w:pPr>
            <w:r>
              <w:rPr>
                <w:color w:val="000000"/>
                <w:sz w:val="24"/>
                <w:szCs w:val="24"/>
              </w:rPr>
              <w:t>483,303</w:t>
            </w:r>
          </w:p>
        </w:tc>
        <w:tc>
          <w:tcPr>
            <w:tcW w:w="1924" w:type="dxa"/>
            <w:vAlign w:val="center"/>
          </w:tcPr>
          <w:p w:rsidR="00D6761A" w:rsidRDefault="00560B61">
            <w:pPr>
              <w:jc w:val="right"/>
            </w:pPr>
            <w:r>
              <w:rPr>
                <w:color w:val="000000"/>
                <w:sz w:val="24"/>
                <w:szCs w:val="24"/>
              </w:rPr>
              <w:t>52,090,397.34</w:t>
            </w:r>
          </w:p>
        </w:tc>
        <w:tc>
          <w:tcPr>
            <w:tcW w:w="1644" w:type="dxa"/>
            <w:vAlign w:val="center"/>
          </w:tcPr>
          <w:p w:rsidR="00D6761A" w:rsidRDefault="00560B61">
            <w:pPr>
              <w:jc w:val="right"/>
            </w:pPr>
            <w:r>
              <w:rPr>
                <w:color w:val="000000"/>
                <w:sz w:val="24"/>
                <w:szCs w:val="24"/>
              </w:rPr>
              <w:t>4.89</w:t>
            </w:r>
          </w:p>
        </w:tc>
      </w:tr>
      <w:tr w:rsidR="00D6761A">
        <w:trPr>
          <w:jc w:val="center"/>
        </w:trPr>
        <w:tc>
          <w:tcPr>
            <w:tcW w:w="855" w:type="dxa"/>
            <w:vAlign w:val="center"/>
          </w:tcPr>
          <w:p w:rsidR="00D6761A" w:rsidRDefault="00560B61">
            <w:pPr>
              <w:jc w:val="center"/>
            </w:pPr>
            <w:r>
              <w:rPr>
                <w:color w:val="000000"/>
                <w:sz w:val="24"/>
                <w:szCs w:val="24"/>
              </w:rPr>
              <w:t>5</w:t>
            </w:r>
          </w:p>
        </w:tc>
        <w:tc>
          <w:tcPr>
            <w:tcW w:w="1334" w:type="dxa"/>
            <w:vAlign w:val="center"/>
          </w:tcPr>
          <w:p w:rsidR="00D6761A" w:rsidRDefault="00560B61">
            <w:pPr>
              <w:jc w:val="center"/>
            </w:pPr>
            <w:r>
              <w:rPr>
                <w:color w:val="000000"/>
                <w:sz w:val="24"/>
                <w:szCs w:val="24"/>
              </w:rPr>
              <w:t>300015</w:t>
            </w:r>
          </w:p>
        </w:tc>
        <w:tc>
          <w:tcPr>
            <w:tcW w:w="1777" w:type="dxa"/>
            <w:vAlign w:val="center"/>
          </w:tcPr>
          <w:p w:rsidR="00D6761A" w:rsidRDefault="00560B61">
            <w:pPr>
              <w:jc w:val="center"/>
            </w:pPr>
            <w:r>
              <w:rPr>
                <w:color w:val="000000"/>
                <w:sz w:val="24"/>
                <w:szCs w:val="24"/>
              </w:rPr>
              <w:t>爱尔眼科</w:t>
            </w:r>
          </w:p>
        </w:tc>
        <w:tc>
          <w:tcPr>
            <w:tcW w:w="1334" w:type="dxa"/>
            <w:vAlign w:val="center"/>
          </w:tcPr>
          <w:p w:rsidR="00D6761A" w:rsidRDefault="00560B61">
            <w:pPr>
              <w:jc w:val="right"/>
            </w:pPr>
            <w:r>
              <w:rPr>
                <w:color w:val="000000"/>
                <w:sz w:val="24"/>
                <w:szCs w:val="24"/>
              </w:rPr>
              <w:t>1,270,104</w:t>
            </w:r>
          </w:p>
        </w:tc>
        <w:tc>
          <w:tcPr>
            <w:tcW w:w="1924" w:type="dxa"/>
            <w:vAlign w:val="center"/>
          </w:tcPr>
          <w:p w:rsidR="00D6761A" w:rsidRDefault="00560B61">
            <w:pPr>
              <w:jc w:val="right"/>
            </w:pPr>
            <w:r>
              <w:rPr>
                <w:color w:val="000000"/>
                <w:sz w:val="24"/>
                <w:szCs w:val="24"/>
              </w:rPr>
              <w:t>50,016,695.52</w:t>
            </w:r>
          </w:p>
        </w:tc>
        <w:tc>
          <w:tcPr>
            <w:tcW w:w="1644" w:type="dxa"/>
            <w:vAlign w:val="center"/>
          </w:tcPr>
          <w:p w:rsidR="00D6761A" w:rsidRDefault="00560B61">
            <w:pPr>
              <w:jc w:val="right"/>
            </w:pPr>
            <w:r>
              <w:rPr>
                <w:color w:val="000000"/>
                <w:sz w:val="24"/>
                <w:szCs w:val="24"/>
              </w:rPr>
              <w:t>4.69</w:t>
            </w:r>
          </w:p>
        </w:tc>
      </w:tr>
      <w:tr w:rsidR="00D6761A">
        <w:trPr>
          <w:jc w:val="center"/>
        </w:trPr>
        <w:tc>
          <w:tcPr>
            <w:tcW w:w="855" w:type="dxa"/>
            <w:vAlign w:val="center"/>
          </w:tcPr>
          <w:p w:rsidR="00D6761A" w:rsidRDefault="00560B61">
            <w:pPr>
              <w:jc w:val="center"/>
            </w:pPr>
            <w:r>
              <w:rPr>
                <w:color w:val="000000"/>
                <w:sz w:val="24"/>
                <w:szCs w:val="24"/>
              </w:rPr>
              <w:t>6</w:t>
            </w:r>
          </w:p>
        </w:tc>
        <w:tc>
          <w:tcPr>
            <w:tcW w:w="1334" w:type="dxa"/>
            <w:vAlign w:val="center"/>
          </w:tcPr>
          <w:p w:rsidR="00D6761A" w:rsidRDefault="00560B61">
            <w:pPr>
              <w:jc w:val="center"/>
            </w:pPr>
            <w:r>
              <w:rPr>
                <w:color w:val="000000"/>
                <w:sz w:val="24"/>
                <w:szCs w:val="24"/>
              </w:rPr>
              <w:t>603259</w:t>
            </w:r>
          </w:p>
        </w:tc>
        <w:tc>
          <w:tcPr>
            <w:tcW w:w="1777" w:type="dxa"/>
            <w:vAlign w:val="center"/>
          </w:tcPr>
          <w:p w:rsidR="00D6761A" w:rsidRDefault="00560B61">
            <w:pPr>
              <w:jc w:val="center"/>
            </w:pPr>
            <w:r>
              <w:rPr>
                <w:color w:val="000000"/>
                <w:sz w:val="24"/>
                <w:szCs w:val="24"/>
              </w:rPr>
              <w:t>药明康德</w:t>
            </w:r>
          </w:p>
        </w:tc>
        <w:tc>
          <w:tcPr>
            <w:tcW w:w="1334" w:type="dxa"/>
            <w:vAlign w:val="center"/>
          </w:tcPr>
          <w:p w:rsidR="00D6761A" w:rsidRDefault="00560B61">
            <w:pPr>
              <w:jc w:val="right"/>
            </w:pPr>
            <w:r>
              <w:rPr>
                <w:color w:val="000000"/>
                <w:sz w:val="24"/>
                <w:szCs w:val="24"/>
              </w:rPr>
              <w:t>545,623</w:t>
            </w:r>
          </w:p>
        </w:tc>
        <w:tc>
          <w:tcPr>
            <w:tcW w:w="1924" w:type="dxa"/>
            <w:vAlign w:val="center"/>
          </w:tcPr>
          <w:p w:rsidR="00D6761A" w:rsidRDefault="00560B61">
            <w:pPr>
              <w:jc w:val="right"/>
            </w:pPr>
            <w:r>
              <w:rPr>
                <w:color w:val="000000"/>
                <w:sz w:val="24"/>
                <w:szCs w:val="24"/>
              </w:rPr>
              <w:t>49,373,425.27</w:t>
            </w:r>
          </w:p>
        </w:tc>
        <w:tc>
          <w:tcPr>
            <w:tcW w:w="1644" w:type="dxa"/>
            <w:vAlign w:val="center"/>
          </w:tcPr>
          <w:p w:rsidR="00D6761A" w:rsidRDefault="00560B61">
            <w:pPr>
              <w:jc w:val="right"/>
            </w:pPr>
            <w:r>
              <w:rPr>
                <w:color w:val="000000"/>
                <w:sz w:val="24"/>
                <w:szCs w:val="24"/>
              </w:rPr>
              <w:t>4.63</w:t>
            </w:r>
          </w:p>
        </w:tc>
      </w:tr>
      <w:tr w:rsidR="00D6761A">
        <w:trPr>
          <w:jc w:val="center"/>
        </w:trPr>
        <w:tc>
          <w:tcPr>
            <w:tcW w:w="855" w:type="dxa"/>
            <w:vAlign w:val="center"/>
          </w:tcPr>
          <w:p w:rsidR="00D6761A" w:rsidRDefault="00560B61">
            <w:pPr>
              <w:jc w:val="center"/>
            </w:pPr>
            <w:r>
              <w:rPr>
                <w:color w:val="000000"/>
                <w:sz w:val="24"/>
                <w:szCs w:val="24"/>
              </w:rPr>
              <w:t>7</w:t>
            </w:r>
          </w:p>
        </w:tc>
        <w:tc>
          <w:tcPr>
            <w:tcW w:w="1334" w:type="dxa"/>
            <w:vAlign w:val="center"/>
          </w:tcPr>
          <w:p w:rsidR="00D6761A" w:rsidRDefault="00560B61">
            <w:pPr>
              <w:jc w:val="center"/>
            </w:pPr>
            <w:r>
              <w:rPr>
                <w:color w:val="000000"/>
                <w:sz w:val="24"/>
                <w:szCs w:val="24"/>
              </w:rPr>
              <w:t>603882</w:t>
            </w:r>
          </w:p>
        </w:tc>
        <w:tc>
          <w:tcPr>
            <w:tcW w:w="1777" w:type="dxa"/>
            <w:vAlign w:val="center"/>
          </w:tcPr>
          <w:p w:rsidR="00D6761A" w:rsidRDefault="00560B61">
            <w:pPr>
              <w:jc w:val="center"/>
            </w:pPr>
            <w:r>
              <w:rPr>
                <w:color w:val="000000"/>
                <w:sz w:val="24"/>
                <w:szCs w:val="24"/>
              </w:rPr>
              <w:t>金域医学</w:t>
            </w:r>
          </w:p>
        </w:tc>
        <w:tc>
          <w:tcPr>
            <w:tcW w:w="1334" w:type="dxa"/>
            <w:vAlign w:val="center"/>
          </w:tcPr>
          <w:p w:rsidR="00D6761A" w:rsidRDefault="00560B61">
            <w:pPr>
              <w:jc w:val="right"/>
            </w:pPr>
            <w:r>
              <w:rPr>
                <w:color w:val="000000"/>
                <w:sz w:val="24"/>
                <w:szCs w:val="24"/>
              </w:rPr>
              <w:t>847,193</w:t>
            </w:r>
          </w:p>
        </w:tc>
        <w:tc>
          <w:tcPr>
            <w:tcW w:w="1924" w:type="dxa"/>
            <w:vAlign w:val="center"/>
          </w:tcPr>
          <w:p w:rsidR="00D6761A" w:rsidRDefault="00560B61">
            <w:pPr>
              <w:jc w:val="right"/>
            </w:pPr>
            <w:r>
              <w:rPr>
                <w:color w:val="000000"/>
                <w:sz w:val="24"/>
                <w:szCs w:val="24"/>
              </w:rPr>
              <w:t>47,432,993.97</w:t>
            </w:r>
          </w:p>
        </w:tc>
        <w:tc>
          <w:tcPr>
            <w:tcW w:w="1644" w:type="dxa"/>
            <w:vAlign w:val="center"/>
          </w:tcPr>
          <w:p w:rsidR="00D6761A" w:rsidRDefault="00560B61">
            <w:pPr>
              <w:jc w:val="right"/>
            </w:pPr>
            <w:r>
              <w:rPr>
                <w:color w:val="000000"/>
                <w:sz w:val="24"/>
                <w:szCs w:val="24"/>
              </w:rPr>
              <w:t>4.45</w:t>
            </w:r>
          </w:p>
        </w:tc>
      </w:tr>
      <w:tr w:rsidR="00D6761A">
        <w:trPr>
          <w:jc w:val="center"/>
        </w:trPr>
        <w:tc>
          <w:tcPr>
            <w:tcW w:w="855" w:type="dxa"/>
            <w:vAlign w:val="center"/>
          </w:tcPr>
          <w:p w:rsidR="00D6761A" w:rsidRDefault="00560B61">
            <w:pPr>
              <w:jc w:val="center"/>
            </w:pPr>
            <w:r>
              <w:rPr>
                <w:color w:val="000000"/>
                <w:sz w:val="24"/>
                <w:szCs w:val="24"/>
              </w:rPr>
              <w:t>8</w:t>
            </w:r>
          </w:p>
        </w:tc>
        <w:tc>
          <w:tcPr>
            <w:tcW w:w="1334" w:type="dxa"/>
            <w:vAlign w:val="center"/>
          </w:tcPr>
          <w:p w:rsidR="00D6761A" w:rsidRDefault="00560B61">
            <w:pPr>
              <w:jc w:val="center"/>
            </w:pPr>
            <w:r>
              <w:rPr>
                <w:color w:val="000000"/>
                <w:sz w:val="24"/>
                <w:szCs w:val="24"/>
              </w:rPr>
              <w:t>000661</w:t>
            </w:r>
          </w:p>
        </w:tc>
        <w:tc>
          <w:tcPr>
            <w:tcW w:w="1777" w:type="dxa"/>
            <w:vAlign w:val="center"/>
          </w:tcPr>
          <w:p w:rsidR="00D6761A" w:rsidRDefault="00560B61">
            <w:pPr>
              <w:jc w:val="center"/>
            </w:pPr>
            <w:r>
              <w:rPr>
                <w:color w:val="000000"/>
                <w:sz w:val="24"/>
                <w:szCs w:val="24"/>
              </w:rPr>
              <w:t>长春高新</w:t>
            </w:r>
          </w:p>
        </w:tc>
        <w:tc>
          <w:tcPr>
            <w:tcW w:w="1334" w:type="dxa"/>
            <w:vAlign w:val="center"/>
          </w:tcPr>
          <w:p w:rsidR="00D6761A" w:rsidRDefault="00560B61">
            <w:pPr>
              <w:jc w:val="right"/>
            </w:pPr>
            <w:r>
              <w:rPr>
                <w:color w:val="000000"/>
                <w:sz w:val="24"/>
                <w:szCs w:val="24"/>
              </w:rPr>
              <w:t>79,146</w:t>
            </w:r>
          </w:p>
        </w:tc>
        <w:tc>
          <w:tcPr>
            <w:tcW w:w="1924" w:type="dxa"/>
            <w:vAlign w:val="center"/>
          </w:tcPr>
          <w:p w:rsidR="00D6761A" w:rsidRDefault="00560B61">
            <w:pPr>
              <w:jc w:val="right"/>
            </w:pPr>
            <w:r>
              <w:rPr>
                <w:color w:val="000000"/>
                <w:sz w:val="24"/>
                <w:szCs w:val="24"/>
              </w:rPr>
              <w:t>43,372,008.00</w:t>
            </w:r>
          </w:p>
        </w:tc>
        <w:tc>
          <w:tcPr>
            <w:tcW w:w="1644" w:type="dxa"/>
            <w:vAlign w:val="center"/>
          </w:tcPr>
          <w:p w:rsidR="00D6761A" w:rsidRDefault="00560B61">
            <w:pPr>
              <w:jc w:val="right"/>
            </w:pPr>
            <w:r>
              <w:rPr>
                <w:color w:val="000000"/>
                <w:sz w:val="24"/>
                <w:szCs w:val="24"/>
              </w:rPr>
              <w:t>4.07</w:t>
            </w:r>
          </w:p>
        </w:tc>
      </w:tr>
      <w:tr w:rsidR="00D6761A">
        <w:trPr>
          <w:jc w:val="center"/>
        </w:trPr>
        <w:tc>
          <w:tcPr>
            <w:tcW w:w="855" w:type="dxa"/>
            <w:vAlign w:val="center"/>
          </w:tcPr>
          <w:p w:rsidR="00D6761A" w:rsidRDefault="00560B61">
            <w:pPr>
              <w:jc w:val="center"/>
            </w:pPr>
            <w:r>
              <w:rPr>
                <w:color w:val="000000"/>
                <w:sz w:val="24"/>
                <w:szCs w:val="24"/>
              </w:rPr>
              <w:t>9</w:t>
            </w:r>
          </w:p>
        </w:tc>
        <w:tc>
          <w:tcPr>
            <w:tcW w:w="1334" w:type="dxa"/>
            <w:vAlign w:val="center"/>
          </w:tcPr>
          <w:p w:rsidR="00D6761A" w:rsidRDefault="00560B61">
            <w:pPr>
              <w:jc w:val="center"/>
            </w:pPr>
            <w:r>
              <w:rPr>
                <w:color w:val="000000"/>
                <w:sz w:val="24"/>
                <w:szCs w:val="24"/>
              </w:rPr>
              <w:t>300601</w:t>
            </w:r>
          </w:p>
        </w:tc>
        <w:tc>
          <w:tcPr>
            <w:tcW w:w="1777" w:type="dxa"/>
            <w:vAlign w:val="center"/>
          </w:tcPr>
          <w:p w:rsidR="00D6761A" w:rsidRDefault="00560B61">
            <w:pPr>
              <w:jc w:val="center"/>
            </w:pPr>
            <w:r>
              <w:rPr>
                <w:color w:val="000000"/>
                <w:sz w:val="24"/>
                <w:szCs w:val="24"/>
              </w:rPr>
              <w:t>康泰生物</w:t>
            </w:r>
          </w:p>
        </w:tc>
        <w:tc>
          <w:tcPr>
            <w:tcW w:w="1334" w:type="dxa"/>
            <w:vAlign w:val="center"/>
          </w:tcPr>
          <w:p w:rsidR="00D6761A" w:rsidRDefault="00560B61">
            <w:pPr>
              <w:jc w:val="right"/>
            </w:pPr>
            <w:r>
              <w:rPr>
                <w:color w:val="000000"/>
                <w:sz w:val="24"/>
                <w:szCs w:val="24"/>
              </w:rPr>
              <w:t>374,166</w:t>
            </w:r>
          </w:p>
        </w:tc>
        <w:tc>
          <w:tcPr>
            <w:tcW w:w="1924" w:type="dxa"/>
            <w:vAlign w:val="center"/>
          </w:tcPr>
          <w:p w:rsidR="00D6761A" w:rsidRDefault="00560B61">
            <w:pPr>
              <w:jc w:val="right"/>
            </w:pPr>
            <w:r>
              <w:rPr>
                <w:color w:val="000000"/>
                <w:sz w:val="24"/>
                <w:szCs w:val="24"/>
              </w:rPr>
              <w:t>42,879,423.60</w:t>
            </w:r>
          </w:p>
        </w:tc>
        <w:tc>
          <w:tcPr>
            <w:tcW w:w="1644" w:type="dxa"/>
            <w:vAlign w:val="center"/>
          </w:tcPr>
          <w:p w:rsidR="00D6761A" w:rsidRDefault="00560B61">
            <w:pPr>
              <w:jc w:val="right"/>
            </w:pPr>
            <w:r>
              <w:rPr>
                <w:color w:val="000000"/>
                <w:sz w:val="24"/>
                <w:szCs w:val="24"/>
              </w:rPr>
              <w:t>4.02</w:t>
            </w:r>
          </w:p>
        </w:tc>
      </w:tr>
      <w:tr w:rsidR="00D6761A">
        <w:trPr>
          <w:jc w:val="center"/>
        </w:trPr>
        <w:tc>
          <w:tcPr>
            <w:tcW w:w="855" w:type="dxa"/>
            <w:vAlign w:val="center"/>
          </w:tcPr>
          <w:p w:rsidR="00D6761A" w:rsidRDefault="00560B61">
            <w:pPr>
              <w:jc w:val="center"/>
            </w:pPr>
            <w:r>
              <w:rPr>
                <w:color w:val="000000"/>
                <w:sz w:val="24"/>
                <w:szCs w:val="24"/>
              </w:rPr>
              <w:t>10</w:t>
            </w:r>
          </w:p>
        </w:tc>
        <w:tc>
          <w:tcPr>
            <w:tcW w:w="1334" w:type="dxa"/>
            <w:vAlign w:val="center"/>
          </w:tcPr>
          <w:p w:rsidR="00D6761A" w:rsidRDefault="00560B61">
            <w:pPr>
              <w:jc w:val="center"/>
            </w:pPr>
            <w:r>
              <w:rPr>
                <w:color w:val="000000"/>
                <w:sz w:val="24"/>
                <w:szCs w:val="24"/>
              </w:rPr>
              <w:t>002821</w:t>
            </w:r>
          </w:p>
        </w:tc>
        <w:tc>
          <w:tcPr>
            <w:tcW w:w="1777" w:type="dxa"/>
            <w:vAlign w:val="center"/>
          </w:tcPr>
          <w:p w:rsidR="00D6761A" w:rsidRDefault="00560B61">
            <w:pPr>
              <w:jc w:val="center"/>
            </w:pPr>
            <w:r>
              <w:rPr>
                <w:color w:val="000000"/>
                <w:sz w:val="24"/>
                <w:szCs w:val="24"/>
              </w:rPr>
              <w:t>凯莱英</w:t>
            </w:r>
          </w:p>
        </w:tc>
        <w:tc>
          <w:tcPr>
            <w:tcW w:w="1334" w:type="dxa"/>
            <w:vAlign w:val="center"/>
          </w:tcPr>
          <w:p w:rsidR="00D6761A" w:rsidRDefault="00560B61">
            <w:pPr>
              <w:jc w:val="right"/>
            </w:pPr>
            <w:r>
              <w:rPr>
                <w:color w:val="000000"/>
                <w:sz w:val="24"/>
                <w:szCs w:val="24"/>
              </w:rPr>
              <w:t>192,564</w:t>
            </w:r>
          </w:p>
        </w:tc>
        <w:tc>
          <w:tcPr>
            <w:tcW w:w="1924" w:type="dxa"/>
            <w:vAlign w:val="center"/>
          </w:tcPr>
          <w:p w:rsidR="00D6761A" w:rsidRDefault="00560B61">
            <w:pPr>
              <w:jc w:val="right"/>
            </w:pPr>
            <w:r>
              <w:rPr>
                <w:color w:val="000000"/>
                <w:sz w:val="24"/>
                <w:szCs w:val="24"/>
              </w:rPr>
              <w:t>33,061,313.16</w:t>
            </w:r>
          </w:p>
        </w:tc>
        <w:tc>
          <w:tcPr>
            <w:tcW w:w="1644" w:type="dxa"/>
            <w:vAlign w:val="center"/>
          </w:tcPr>
          <w:p w:rsidR="00D6761A" w:rsidRDefault="00560B61">
            <w:pPr>
              <w:jc w:val="right"/>
            </w:pPr>
            <w:r>
              <w:rPr>
                <w:color w:val="000000"/>
                <w:sz w:val="24"/>
                <w:szCs w:val="24"/>
              </w:rPr>
              <w:t>3.10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191,906.42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16,697,766.30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27,540.28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6,653,873.85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23,571,086.85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560B61">
        <w:trPr>
          <w:jc w:val="center"/>
        </w:trPr>
        <w:tc>
          <w:tcPr>
            <w:tcW w:w="11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56"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7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4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D6761A">
        <w:trPr>
          <w:jc w:val="center"/>
        </w:trPr>
        <w:tc>
          <w:tcPr>
            <w:tcW w:w="1129" w:type="dxa"/>
            <w:vAlign w:val="center"/>
          </w:tcPr>
          <w:p w:rsidR="00D6761A" w:rsidRDefault="00560B61">
            <w:pPr>
              <w:jc w:val="center"/>
            </w:pPr>
            <w:r>
              <w:rPr>
                <w:color w:val="000000"/>
                <w:sz w:val="24"/>
                <w:szCs w:val="24"/>
              </w:rPr>
              <w:t>1</w:t>
            </w:r>
          </w:p>
        </w:tc>
        <w:tc>
          <w:tcPr>
            <w:tcW w:w="1356" w:type="dxa"/>
            <w:vAlign w:val="center"/>
          </w:tcPr>
          <w:p w:rsidR="00D6761A" w:rsidRDefault="00560B61">
            <w:pPr>
              <w:jc w:val="center"/>
            </w:pPr>
            <w:r>
              <w:rPr>
                <w:color w:val="000000"/>
                <w:sz w:val="24"/>
                <w:szCs w:val="24"/>
              </w:rPr>
              <w:t>600529</w:t>
            </w:r>
          </w:p>
        </w:tc>
        <w:tc>
          <w:tcPr>
            <w:tcW w:w="1355" w:type="dxa"/>
            <w:vAlign w:val="center"/>
          </w:tcPr>
          <w:p w:rsidR="00D6761A" w:rsidRDefault="00560B61">
            <w:pPr>
              <w:jc w:val="center"/>
            </w:pPr>
            <w:r>
              <w:rPr>
                <w:color w:val="000000"/>
                <w:sz w:val="24"/>
                <w:szCs w:val="24"/>
              </w:rPr>
              <w:t>山东药玻</w:t>
            </w:r>
          </w:p>
        </w:tc>
        <w:tc>
          <w:tcPr>
            <w:tcW w:w="1880" w:type="dxa"/>
            <w:vAlign w:val="center"/>
          </w:tcPr>
          <w:p w:rsidR="00D6761A" w:rsidRDefault="00560B61">
            <w:pPr>
              <w:jc w:val="right"/>
            </w:pPr>
            <w:r>
              <w:rPr>
                <w:color w:val="000000"/>
                <w:sz w:val="24"/>
                <w:szCs w:val="24"/>
              </w:rPr>
              <w:t>9,408,000.00</w:t>
            </w:r>
          </w:p>
        </w:tc>
        <w:tc>
          <w:tcPr>
            <w:tcW w:w="1724" w:type="dxa"/>
            <w:vAlign w:val="center"/>
          </w:tcPr>
          <w:p w:rsidR="00D6761A" w:rsidRDefault="00560B61">
            <w:pPr>
              <w:jc w:val="right"/>
            </w:pPr>
            <w:r>
              <w:rPr>
                <w:color w:val="000000"/>
                <w:sz w:val="24"/>
                <w:szCs w:val="24"/>
              </w:rPr>
              <w:t>0.88</w:t>
            </w:r>
          </w:p>
        </w:tc>
        <w:tc>
          <w:tcPr>
            <w:tcW w:w="1424" w:type="dxa"/>
            <w:vAlign w:val="center"/>
          </w:tcPr>
          <w:p w:rsidR="00D6761A" w:rsidRPr="00560B61" w:rsidRDefault="00560B61">
            <w:pPr>
              <w:jc w:val="right"/>
              <w:rPr>
                <w:color w:val="000000"/>
                <w:sz w:val="24"/>
                <w:szCs w:val="24"/>
              </w:rPr>
            </w:pPr>
            <w:r w:rsidRPr="00560B61">
              <w:rPr>
                <w:rFonts w:hint="eastAsia"/>
                <w:color w:val="000000"/>
                <w:sz w:val="24"/>
                <w:szCs w:val="24"/>
              </w:rPr>
              <w:t>限售股</w:t>
            </w:r>
          </w:p>
        </w:tc>
      </w:tr>
      <w:tr w:rsidR="00560B61">
        <w:trPr>
          <w:jc w:val="center"/>
        </w:trPr>
        <w:tc>
          <w:tcPr>
            <w:tcW w:w="1129" w:type="dxa"/>
            <w:vAlign w:val="center"/>
          </w:tcPr>
          <w:p w:rsidR="00560B61" w:rsidRDefault="00560B61" w:rsidP="00560B61">
            <w:pPr>
              <w:jc w:val="center"/>
            </w:pPr>
            <w:bookmarkStart w:id="0" w:name="_GoBack" w:colFirst="5" w:colLast="5"/>
            <w:r>
              <w:rPr>
                <w:color w:val="000000"/>
                <w:sz w:val="24"/>
                <w:szCs w:val="24"/>
              </w:rPr>
              <w:t>2</w:t>
            </w:r>
          </w:p>
        </w:tc>
        <w:tc>
          <w:tcPr>
            <w:tcW w:w="1356" w:type="dxa"/>
            <w:vAlign w:val="center"/>
          </w:tcPr>
          <w:p w:rsidR="00560B61" w:rsidRDefault="00560B61" w:rsidP="00560B61">
            <w:pPr>
              <w:jc w:val="center"/>
            </w:pPr>
            <w:r>
              <w:rPr>
                <w:color w:val="000000"/>
                <w:sz w:val="24"/>
                <w:szCs w:val="24"/>
              </w:rPr>
              <w:t>603882</w:t>
            </w:r>
          </w:p>
        </w:tc>
        <w:tc>
          <w:tcPr>
            <w:tcW w:w="1355" w:type="dxa"/>
            <w:vAlign w:val="center"/>
          </w:tcPr>
          <w:p w:rsidR="00560B61" w:rsidRDefault="00560B61" w:rsidP="00560B61">
            <w:pPr>
              <w:jc w:val="center"/>
            </w:pPr>
            <w:r>
              <w:rPr>
                <w:color w:val="000000"/>
                <w:sz w:val="24"/>
                <w:szCs w:val="24"/>
              </w:rPr>
              <w:t>金域医学</w:t>
            </w:r>
          </w:p>
        </w:tc>
        <w:tc>
          <w:tcPr>
            <w:tcW w:w="1880" w:type="dxa"/>
            <w:vAlign w:val="center"/>
          </w:tcPr>
          <w:p w:rsidR="00560B61" w:rsidRDefault="00560B61" w:rsidP="00560B61">
            <w:pPr>
              <w:jc w:val="right"/>
            </w:pPr>
            <w:r>
              <w:rPr>
                <w:color w:val="000000"/>
                <w:sz w:val="24"/>
                <w:szCs w:val="24"/>
              </w:rPr>
              <w:t>3,684,800.00</w:t>
            </w:r>
          </w:p>
        </w:tc>
        <w:tc>
          <w:tcPr>
            <w:tcW w:w="1724" w:type="dxa"/>
            <w:vAlign w:val="center"/>
          </w:tcPr>
          <w:p w:rsidR="00560B61" w:rsidRDefault="00560B61" w:rsidP="00560B61">
            <w:pPr>
              <w:jc w:val="right"/>
            </w:pPr>
            <w:r>
              <w:rPr>
                <w:color w:val="000000"/>
                <w:sz w:val="24"/>
                <w:szCs w:val="24"/>
              </w:rPr>
              <w:t>0.35</w:t>
            </w:r>
          </w:p>
        </w:tc>
        <w:tc>
          <w:tcPr>
            <w:tcW w:w="1424" w:type="dxa"/>
            <w:vAlign w:val="center"/>
          </w:tcPr>
          <w:p w:rsidR="00560B61" w:rsidRPr="00560B61" w:rsidRDefault="00560B61" w:rsidP="00560B61">
            <w:pPr>
              <w:jc w:val="right"/>
              <w:rPr>
                <w:color w:val="000000"/>
                <w:sz w:val="24"/>
                <w:szCs w:val="24"/>
              </w:rPr>
            </w:pPr>
            <w:r w:rsidRPr="00560B61">
              <w:rPr>
                <w:rFonts w:hint="eastAsia"/>
                <w:color w:val="000000"/>
                <w:sz w:val="24"/>
                <w:szCs w:val="24"/>
              </w:rPr>
              <w:t>限售股</w:t>
            </w:r>
          </w:p>
        </w:tc>
      </w:tr>
      <w:bookmarkEnd w:id="0"/>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351,131,229.88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401,415,310.14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209,916,510.46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542,630,029.56</w:t>
            </w:r>
          </w:p>
        </w:tc>
      </w:tr>
    </w:tbl>
    <w:p w:rsidR="00D6761A" w:rsidRDefault="00560B6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D6761A" w:rsidRDefault="00560B6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、中国证监会准予交银施罗德医药创新股票型证券投资基金募集注册的文件；</w:t>
      </w:r>
      <w:r>
        <w:rPr>
          <w:color w:val="000000"/>
          <w:sz w:val="24"/>
          <w:szCs w:val="24"/>
        </w:rPr>
        <w:t xml:space="preserve"> </w:t>
      </w:r>
    </w:p>
    <w:p w:rsidR="00D6761A" w:rsidRDefault="00560B6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、《交银施罗德医药创新股票型证券投资基金基金合同》；</w:t>
      </w:r>
      <w:r>
        <w:rPr>
          <w:color w:val="000000"/>
          <w:sz w:val="24"/>
          <w:szCs w:val="24"/>
        </w:rPr>
        <w:t xml:space="preserve"> </w:t>
      </w:r>
    </w:p>
    <w:p w:rsidR="00D6761A" w:rsidRDefault="00560B6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、《交银施罗德医药创新股票型证券投资基金招募说明书》；</w:t>
      </w:r>
      <w:r>
        <w:rPr>
          <w:color w:val="000000"/>
          <w:sz w:val="24"/>
          <w:szCs w:val="24"/>
        </w:rPr>
        <w:t xml:space="preserve"> </w:t>
      </w:r>
    </w:p>
    <w:p w:rsidR="00D6761A" w:rsidRDefault="00560B6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、《交银施罗德医药创新股票型证券投资基金托管协议》；</w:t>
      </w:r>
      <w:r>
        <w:rPr>
          <w:color w:val="000000"/>
          <w:sz w:val="24"/>
          <w:szCs w:val="24"/>
        </w:rPr>
        <w:t xml:space="preserve"> </w:t>
      </w:r>
    </w:p>
    <w:p w:rsidR="00D6761A" w:rsidRDefault="00560B61">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、关于申请募集注册交银施罗德医药创新股票型证券投资基金的法律意见书；</w:t>
      </w:r>
      <w:r>
        <w:rPr>
          <w:color w:val="000000"/>
          <w:sz w:val="24"/>
          <w:szCs w:val="24"/>
        </w:rPr>
        <w:t xml:space="preserve"> </w:t>
      </w:r>
    </w:p>
    <w:p w:rsidR="00D6761A" w:rsidRDefault="00560B6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D6761A" w:rsidRDefault="00560B6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、报告期内交银施罗德医药创新股票型证券投资基金在指定报刊上各项公告的原稿。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D6761A" w:rsidRDefault="00560B6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560B61">
      <w:rPr>
        <w:noProof/>
        <w:kern w:val="0"/>
        <w:szCs w:val="21"/>
      </w:rPr>
      <w:t>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560B61">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F0" w:rsidRPr="00DC456F" w:rsidRDefault="00DC456F" w:rsidP="00090A26">
    <w:pPr>
      <w:pStyle w:val="ac"/>
      <w:pBdr>
        <w:bottom w:val="single" w:sz="6" w:space="0" w:color="auto"/>
      </w:pBdr>
      <w:jc w:val="right"/>
      <w:rPr>
        <w:sz w:val="24"/>
        <w:szCs w:val="24"/>
      </w:rPr>
    </w:pPr>
    <w:r w:rsidRPr="003E676C">
      <w:rPr>
        <w:sz w:val="24"/>
        <w:szCs w:val="24"/>
      </w:rPr>
      <w:t>交银施罗德医药创新股票型证券投资基金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0B61"/>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6761A"/>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CE3E1-BA88-483D-B10E-9166241A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11</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汪亚中</cp:lastModifiedBy>
  <cp:revision>601</cp:revision>
  <dcterms:created xsi:type="dcterms:W3CDTF">2012-10-16T06:07:00Z</dcterms:created>
  <dcterms:modified xsi:type="dcterms:W3CDTF">2020-04-10T06:14:00Z</dcterms:modified>
</cp:coreProperties>
</file>