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3,913,593,979.05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402,928,995.38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-314,117,741.05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-0.0982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10,241,248,769.74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0.23%</w:t>
            </w:r>
          </w:p>
        </w:tc>
        <w:tc>
          <w:tcPr>
            <w:vAlign w:val="center"/>
          </w:tcPr>
          <w:p>
            <w:pPr>
              <w:jc w:val="center"/>
            </w:pPr>
            <w:r>
              <w:rPr>
                <w:color w:val="000000"/>
                <w:sz w:val="24"/>
                <w:szCs w:val="24"/>
              </w:rPr>
              <w:t>1.59%</w:t>
            </w:r>
          </w:p>
        </w:tc>
        <w:tc>
          <w:tcPr>
            <w:vAlign w:val="center"/>
          </w:tcPr>
          <w:p>
            <w:pPr>
              <w:jc w:val="center"/>
            </w:pPr>
            <w:r>
              <w:rPr>
                <w:color w:val="000000"/>
                <w:sz w:val="24"/>
                <w:szCs w:val="24"/>
              </w:rPr>
              <w:t>-6.81%</w:t>
            </w:r>
          </w:p>
        </w:tc>
        <w:tc>
          <w:tcPr>
            <w:vAlign w:val="center"/>
          </w:tcPr>
          <w:p>
            <w:pPr>
              <w:jc w:val="center"/>
            </w:pPr>
            <w:r>
              <w:rPr>
                <w:color w:val="000000"/>
                <w:sz w:val="24"/>
                <w:szCs w:val="24"/>
              </w:rPr>
              <w:t>1.45%</w:t>
            </w:r>
          </w:p>
        </w:tc>
        <w:tc>
          <w:tcPr>
            <w:vAlign w:val="center"/>
          </w:tcPr>
          <w:p>
            <w:pPr>
              <w:jc w:val="center"/>
            </w:pPr>
            <w:r>
              <w:rPr>
                <w:color w:val="000000"/>
                <w:sz w:val="24"/>
                <w:szCs w:val="24"/>
              </w:rPr>
              <w:t>7.04%</w:t>
            </w:r>
          </w:p>
        </w:tc>
        <w:tc>
          <w:tcPr>
            <w:vAlign w:val="center"/>
          </w:tcPr>
          <w:p>
            <w:pPr>
              <w:jc w:val="center"/>
            </w:pPr>
            <w:r>
              <w:rPr>
                <w:color w:val="000000"/>
                <w:sz w:val="24"/>
                <w:szCs w:val="24"/>
              </w:rPr>
              <w:t>0.14%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对于大多数人而言，2020年一季度无疑是艰难及不寻常的，而对于基金份额持有人而言，我们度过了巨大波动的一个季度。市场先扬后抑，在春节后波动明显加大。</w:t>
      </w:r>
    </w:p>
    <w:p>
      <w:pPr>
        <w:spacing w:before="29" w:line="288" w:lineRule="auto"/>
        <w:ind w:firstLine="480" w:firstLineChars="200"/>
        <w:rPr>
          <w:color w:val="000000"/>
          <w:sz w:val="24"/>
          <w:szCs w:val="24"/>
        </w:rPr>
      </w:pPr>
      <w:r>
        <w:rPr>
          <w:color w:val="000000"/>
          <w:sz w:val="24"/>
          <w:szCs w:val="24"/>
        </w:rPr>
        <w:t>我们在年初仓位不高，主要担心不少个股估值已经饱和，一至二月不少个股估值继续扩张，但这些并不会使我们产生困扰，我们会坚持在较好的安全边际下获得超额收益。但是三月以来，海外疫情加速，明显超过了市场的预期和判断，至今海外疫情依然还在延续。我们在三月将仓位继续下降，原因在于，第一我们并不“看空”市场，而是“看不清”；由于全球的扩散，此次疫情最终的影响超过大多数人的判断能力。我们能够尽力判断一家公司的生意模式、竞争壁垒及未来几年内的成长空间，但是面对较大的外部不确定性，虽然公司本身的优势不会变化，但未来几年的成长节奏和空间存在较大波动的可能性，同时我们观察到目前估值不具优势，也就是市场没有给这样的不确定给予足够“补偿”。第二，我们一直强调以持有人利益为先，但每个持有人的风险偏好、性格和预期收益率都是不同的；我们很难符合所有人的要求，在面对不确定性时需要做出选择。所以目前我们的选择是，降低仓位然后看清这次影响对于公司未来可预期时间段内的自由现金流影响，从而重新给公司进行估值。这可能面临短期“踏空”的可能，但是规避了大幅回撤的风险。</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我们希望通过深度研究及较好的投资纪律，在较好的安全边际下，长期地为持有人获得超额收益。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6,161,647,162.83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6,161,647,162.83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502,012,063.00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502,012,063.00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2,129,901,864.96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20.65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1,459,117,267.37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59,496,056.69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10,312,174,414.85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439,600.00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421,600.00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2,194,984,220.03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1,470,000.00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215,200.00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217,598,496.71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87,352,094.40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799,387,989.21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356,868,896.20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1,780,481,137.59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114,843,900.00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35,368,132.98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503,972.32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353,864,482.63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217,847,440.76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6,161,647,162.83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60.16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31,680,905</w:t>
            </w:r>
          </w:p>
        </w:tc>
        <w:tc>
          <w:tcPr>
            <w:vAlign w:val="center"/>
          </w:tcPr>
          <w:p>
            <w:pPr>
              <w:jc w:val="right"/>
            </w:pPr>
            <w:r>
              <w:rPr>
                <w:color w:val="000000"/>
                <w:sz w:val="24"/>
                <w:szCs w:val="24"/>
              </w:rPr>
              <w:t>812,615,213.25</w:t>
            </w:r>
          </w:p>
        </w:tc>
        <w:tc>
          <w:tcPr>
            <w:vAlign w:val="center"/>
          </w:tcPr>
          <w:p>
            <w:pPr>
              <w:jc w:val="right"/>
            </w:pPr>
            <w:r>
              <w:rPr>
                <w:color w:val="000000"/>
                <w:sz w:val="24"/>
                <w:szCs w:val="24"/>
              </w:rPr>
              <w:t>7.93</w:t>
            </w:r>
          </w:p>
        </w:tc>
      </w:tr>
      <w:tr>
        <w:tc>
          <w:tcPr>
            <w:vAlign w:val="center"/>
          </w:tcPr>
          <w:p>
            <w:pPr>
              <w:jc w:val="center"/>
            </w:pPr>
            <w:r>
              <w:rPr>
                <w:color w:val="000000"/>
                <w:sz w:val="24"/>
                <w:szCs w:val="24"/>
              </w:rPr>
              <w:t>2</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36,613,077</w:t>
            </w:r>
          </w:p>
        </w:tc>
        <w:tc>
          <w:tcPr>
            <w:vAlign w:val="center"/>
          </w:tcPr>
          <w:p>
            <w:pPr>
              <w:jc w:val="right"/>
            </w:pPr>
            <w:r>
              <w:rPr>
                <w:color w:val="000000"/>
                <w:sz w:val="24"/>
                <w:szCs w:val="24"/>
              </w:rPr>
              <w:t>544,436,454.99</w:t>
            </w:r>
          </w:p>
        </w:tc>
        <w:tc>
          <w:tcPr>
            <w:vAlign w:val="center"/>
          </w:tcPr>
          <w:p>
            <w:pPr>
              <w:jc w:val="right"/>
            </w:pPr>
            <w:r>
              <w:rPr>
                <w:color w:val="000000"/>
                <w:sz w:val="24"/>
                <w:szCs w:val="24"/>
              </w:rPr>
              <w:t>5.32</w:t>
            </w:r>
          </w:p>
        </w:tc>
      </w:tr>
      <w:tr>
        <w:tc>
          <w:tcPr>
            <w:vAlign w:val="center"/>
          </w:tcPr>
          <w:p>
            <w:pPr>
              <w:jc w:val="center"/>
            </w:pPr>
            <w:r>
              <w:rPr>
                <w:color w:val="000000"/>
                <w:sz w:val="24"/>
                <w:szCs w:val="24"/>
              </w:rPr>
              <w:t>3</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30,718,862</w:t>
            </w:r>
          </w:p>
        </w:tc>
        <w:tc>
          <w:tcPr>
            <w:vAlign w:val="center"/>
          </w:tcPr>
          <w:p>
            <w:pPr>
              <w:jc w:val="right"/>
            </w:pPr>
            <w:r>
              <w:rPr>
                <w:color w:val="000000"/>
                <w:sz w:val="24"/>
                <w:szCs w:val="24"/>
              </w:rPr>
              <w:t>493,652,112.34</w:t>
            </w:r>
          </w:p>
        </w:tc>
        <w:tc>
          <w:tcPr>
            <w:vAlign w:val="center"/>
          </w:tcPr>
          <w:p>
            <w:pPr>
              <w:jc w:val="right"/>
            </w:pPr>
            <w:r>
              <w:rPr>
                <w:color w:val="000000"/>
                <w:sz w:val="24"/>
                <w:szCs w:val="24"/>
              </w:rPr>
              <w:t>4.82</w:t>
            </w:r>
          </w:p>
        </w:tc>
      </w:tr>
      <w:tr>
        <w:tc>
          <w:tcPr>
            <w:vAlign w:val="center"/>
          </w:tcPr>
          <w:p>
            <w:pPr>
              <w:jc w:val="center"/>
            </w:pPr>
            <w:r>
              <w:rPr>
                <w:color w:val="000000"/>
                <w:sz w:val="24"/>
                <w:szCs w:val="24"/>
              </w:rPr>
              <w:t>4</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15,659,524</w:t>
            </w:r>
          </w:p>
        </w:tc>
        <w:tc>
          <w:tcPr>
            <w:vAlign w:val="center"/>
          </w:tcPr>
          <w:p>
            <w:pPr>
              <w:jc w:val="right"/>
            </w:pPr>
            <w:r>
              <w:rPr>
                <w:color w:val="000000"/>
                <w:sz w:val="24"/>
                <w:szCs w:val="24"/>
              </w:rPr>
              <w:t>404,015,719.20</w:t>
            </w:r>
          </w:p>
        </w:tc>
        <w:tc>
          <w:tcPr>
            <w:vAlign w:val="center"/>
          </w:tcPr>
          <w:p>
            <w:pPr>
              <w:jc w:val="right"/>
            </w:pPr>
            <w:r>
              <w:rPr>
                <w:color w:val="000000"/>
                <w:sz w:val="24"/>
                <w:szCs w:val="24"/>
              </w:rPr>
              <w:t>3.94</w:t>
            </w:r>
          </w:p>
        </w:tc>
      </w:tr>
      <w:tr>
        <w:tc>
          <w:tcPr>
            <w:vAlign w:val="center"/>
          </w:tcPr>
          <w:p>
            <w:pPr>
              <w:jc w:val="center"/>
            </w:pPr>
            <w:r>
              <w:rPr>
                <w:color w:val="000000"/>
                <w:sz w:val="24"/>
                <w:szCs w:val="24"/>
              </w:rPr>
              <w:t>5</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19,368,093</w:t>
            </w:r>
          </w:p>
        </w:tc>
        <w:tc>
          <w:tcPr>
            <w:vAlign w:val="center"/>
          </w:tcPr>
          <w:p>
            <w:pPr>
              <w:jc w:val="right"/>
            </w:pPr>
            <w:r>
              <w:rPr>
                <w:color w:val="000000"/>
                <w:sz w:val="24"/>
                <w:szCs w:val="24"/>
              </w:rPr>
              <w:t>393,753,330.69</w:t>
            </w:r>
          </w:p>
        </w:tc>
        <w:tc>
          <w:tcPr>
            <w:vAlign w:val="center"/>
          </w:tcPr>
          <w:p>
            <w:pPr>
              <w:jc w:val="right"/>
            </w:pPr>
            <w:r>
              <w:rPr>
                <w:color w:val="000000"/>
                <w:sz w:val="24"/>
                <w:szCs w:val="24"/>
              </w:rPr>
              <w:t>3.84</w:t>
            </w:r>
          </w:p>
        </w:tc>
      </w:tr>
      <w:tr>
        <w:tc>
          <w:tcPr>
            <w:vAlign w:val="center"/>
          </w:tcPr>
          <w:p>
            <w:pPr>
              <w:jc w:val="center"/>
            </w:pPr>
            <w:r>
              <w:rPr>
                <w:color w:val="000000"/>
                <w:sz w:val="24"/>
                <w:szCs w:val="24"/>
              </w:rPr>
              <w:t>6</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27,818,095</w:t>
            </w:r>
          </w:p>
        </w:tc>
        <w:tc>
          <w:tcPr>
            <w:vAlign w:val="center"/>
          </w:tcPr>
          <w:p>
            <w:pPr>
              <w:jc w:val="right"/>
            </w:pPr>
            <w:r>
              <w:rPr>
                <w:color w:val="000000"/>
                <w:sz w:val="24"/>
                <w:szCs w:val="24"/>
              </w:rPr>
              <w:t>391,956,958.55</w:t>
            </w:r>
          </w:p>
        </w:tc>
        <w:tc>
          <w:tcPr>
            <w:vAlign w:val="center"/>
          </w:tcPr>
          <w:p>
            <w:pPr>
              <w:jc w:val="right"/>
            </w:pPr>
            <w:r>
              <w:rPr>
                <w:color w:val="000000"/>
                <w:sz w:val="24"/>
                <w:szCs w:val="24"/>
              </w:rPr>
              <w:t>3.83</w:t>
            </w:r>
          </w:p>
        </w:tc>
      </w:tr>
      <w:tr>
        <w:tc>
          <w:tcPr>
            <w:vAlign w:val="center"/>
          </w:tcPr>
          <w:p>
            <w:pPr>
              <w:jc w:val="center"/>
            </w:pPr>
            <w:r>
              <w:rPr>
                <w:color w:val="000000"/>
                <w:sz w:val="24"/>
                <w:szCs w:val="24"/>
              </w:rPr>
              <w:t>7</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29,963,123</w:t>
            </w:r>
          </w:p>
        </w:tc>
        <w:tc>
          <w:tcPr>
            <w:vAlign w:val="center"/>
          </w:tcPr>
          <w:p>
            <w:pPr>
              <w:jc w:val="right"/>
            </w:pPr>
            <w:r>
              <w:rPr>
                <w:color w:val="000000"/>
                <w:sz w:val="24"/>
                <w:szCs w:val="24"/>
              </w:rPr>
              <w:t>353,864,482.63</w:t>
            </w:r>
          </w:p>
        </w:tc>
        <w:tc>
          <w:tcPr>
            <w:vAlign w:val="center"/>
          </w:tcPr>
          <w:p>
            <w:pPr>
              <w:jc w:val="right"/>
            </w:pPr>
            <w:r>
              <w:rPr>
                <w:color w:val="000000"/>
                <w:sz w:val="24"/>
                <w:szCs w:val="24"/>
              </w:rPr>
              <w:t>3.46</w:t>
            </w:r>
          </w:p>
        </w:tc>
      </w:tr>
      <w:tr>
        <w:tc>
          <w:tcPr>
            <w:vAlign w:val="center"/>
          </w:tcPr>
          <w:p>
            <w:pPr>
              <w:jc w:val="center"/>
            </w:pPr>
            <w:r>
              <w:rPr>
                <w:color w:val="000000"/>
                <w:sz w:val="24"/>
                <w:szCs w:val="24"/>
              </w:rPr>
              <w:t>8</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8,848,667</w:t>
            </w:r>
          </w:p>
        </w:tc>
        <w:tc>
          <w:tcPr>
            <w:vAlign w:val="center"/>
          </w:tcPr>
          <w:p>
            <w:pPr>
              <w:jc w:val="right"/>
            </w:pPr>
            <w:r>
              <w:rPr>
                <w:color w:val="000000"/>
                <w:sz w:val="24"/>
                <w:szCs w:val="24"/>
              </w:rPr>
              <w:t>296,250,237.86</w:t>
            </w:r>
          </w:p>
        </w:tc>
        <w:tc>
          <w:tcPr>
            <w:vAlign w:val="center"/>
          </w:tcPr>
          <w:p>
            <w:pPr>
              <w:jc w:val="right"/>
            </w:pPr>
            <w:r>
              <w:rPr>
                <w:color w:val="000000"/>
                <w:sz w:val="24"/>
                <w:szCs w:val="24"/>
              </w:rPr>
              <w:t>2.89</w:t>
            </w:r>
          </w:p>
        </w:tc>
      </w:tr>
      <w:tr>
        <w:tc>
          <w:tcPr>
            <w:vAlign w:val="center"/>
          </w:tcPr>
          <w:p>
            <w:pPr>
              <w:jc w:val="center"/>
            </w:pPr>
            <w:r>
              <w:rPr>
                <w:color w:val="000000"/>
                <w:sz w:val="24"/>
                <w:szCs w:val="24"/>
              </w:rPr>
              <w:t>9</w:t>
            </w:r>
          </w:p>
        </w:tc>
        <w:tc>
          <w:tcPr>
            <w:vAlign w:val="center"/>
          </w:tcPr>
          <w:p>
            <w:pPr>
              <w:jc w:val="center"/>
            </w:pPr>
            <w:r>
              <w:rPr>
                <w:color w:val="000000"/>
                <w:sz w:val="24"/>
                <w:szCs w:val="24"/>
              </w:rPr>
              <w:t>000501</w:t>
            </w:r>
          </w:p>
        </w:tc>
        <w:tc>
          <w:tcPr>
            <w:vAlign w:val="center"/>
          </w:tcPr>
          <w:p>
            <w:pPr>
              <w:jc w:val="center"/>
            </w:pPr>
            <w:r>
              <w:rPr>
                <w:color w:val="000000"/>
                <w:sz w:val="24"/>
                <w:szCs w:val="24"/>
              </w:rPr>
              <w:t>鄂武商A</w:t>
            </w:r>
          </w:p>
        </w:tc>
        <w:tc>
          <w:tcPr>
            <w:vAlign w:val="center"/>
          </w:tcPr>
          <w:p>
            <w:pPr>
              <w:jc w:val="right"/>
            </w:pPr>
            <w:r>
              <w:rPr>
                <w:color w:val="000000"/>
                <w:sz w:val="24"/>
                <w:szCs w:val="24"/>
              </w:rPr>
              <w:t>18,952,905</w:t>
            </w:r>
          </w:p>
        </w:tc>
        <w:tc>
          <w:tcPr>
            <w:vAlign w:val="center"/>
          </w:tcPr>
          <w:p>
            <w:pPr>
              <w:jc w:val="right"/>
            </w:pPr>
            <w:r>
              <w:rPr>
                <w:color w:val="000000"/>
                <w:sz w:val="24"/>
                <w:szCs w:val="24"/>
              </w:rPr>
              <w:t>217,579,349.40</w:t>
            </w:r>
          </w:p>
        </w:tc>
        <w:tc>
          <w:tcPr>
            <w:vAlign w:val="center"/>
          </w:tcPr>
          <w:p>
            <w:pPr>
              <w:jc w:val="right"/>
            </w:pPr>
            <w:r>
              <w:rPr>
                <w:color w:val="000000"/>
                <w:sz w:val="24"/>
                <w:szCs w:val="24"/>
              </w:rPr>
              <w:t>2.12</w:t>
            </w:r>
          </w:p>
        </w:tc>
      </w:tr>
      <w:tr>
        <w:tc>
          <w:tcPr>
            <w:vAlign w:val="center"/>
          </w:tcPr>
          <w:p>
            <w:pPr>
              <w:jc w:val="center"/>
            </w:pPr>
            <w:r>
              <w:rPr>
                <w:color w:val="000000"/>
                <w:sz w:val="24"/>
                <w:szCs w:val="24"/>
              </w:rPr>
              <w:t>10</w:t>
            </w:r>
          </w:p>
        </w:tc>
        <w:tc>
          <w:tcPr>
            <w:vAlign w:val="center"/>
          </w:tcPr>
          <w:p>
            <w:pPr>
              <w:jc w:val="center"/>
            </w:pPr>
            <w:r>
              <w:rPr>
                <w:color w:val="000000"/>
                <w:sz w:val="24"/>
                <w:szCs w:val="24"/>
              </w:rPr>
              <w:t>002831</w:t>
            </w:r>
          </w:p>
        </w:tc>
        <w:tc>
          <w:tcPr>
            <w:vAlign w:val="center"/>
          </w:tcPr>
          <w:p>
            <w:pPr>
              <w:jc w:val="center"/>
            </w:pPr>
            <w:r>
              <w:rPr>
                <w:color w:val="000000"/>
                <w:sz w:val="24"/>
                <w:szCs w:val="24"/>
              </w:rPr>
              <w:t>裕同科技</w:t>
            </w:r>
          </w:p>
        </w:tc>
        <w:tc>
          <w:tcPr>
            <w:vAlign w:val="center"/>
          </w:tcPr>
          <w:p>
            <w:pPr>
              <w:jc w:val="right"/>
            </w:pPr>
            <w:r>
              <w:rPr>
                <w:color w:val="000000"/>
                <w:sz w:val="24"/>
                <w:szCs w:val="24"/>
              </w:rPr>
              <w:t>8,705,025</w:t>
            </w:r>
          </w:p>
        </w:tc>
        <w:tc>
          <w:tcPr>
            <w:vAlign w:val="center"/>
          </w:tcPr>
          <w:p>
            <w:pPr>
              <w:jc w:val="right"/>
            </w:pPr>
            <w:r>
              <w:rPr>
                <w:color w:val="000000"/>
                <w:sz w:val="24"/>
                <w:szCs w:val="24"/>
              </w:rPr>
              <w:t>193,773,856.50</w:t>
            </w:r>
          </w:p>
        </w:tc>
        <w:tc>
          <w:tcPr>
            <w:vAlign w:val="center"/>
          </w:tcPr>
          <w:p>
            <w:pPr>
              <w:jc w:val="right"/>
            </w:pPr>
            <w:r>
              <w:rPr>
                <w:color w:val="000000"/>
                <w:sz w:val="24"/>
                <w:szCs w:val="24"/>
              </w:rPr>
              <w:t>1.89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501,950,000.00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501,950,000.00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62,063.00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502,012,063.00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1,800,000</w:t>
            </w:r>
          </w:p>
        </w:tc>
        <w:tc>
          <w:tcPr>
            <w:vAlign w:val="center"/>
          </w:tcPr>
          <w:p>
            <w:pPr>
              <w:jc w:val="right"/>
            </w:pPr>
            <w:r>
              <w:rPr>
                <w:color w:val="000000"/>
                <w:sz w:val="24"/>
                <w:szCs w:val="24"/>
              </w:rPr>
              <w:t>181,008,000.00</w:t>
            </w:r>
          </w:p>
        </w:tc>
        <w:tc>
          <w:tcPr>
            <w:vAlign w:val="center"/>
          </w:tcPr>
          <w:p>
            <w:pPr>
              <w:jc w:val="right"/>
            </w:pPr>
            <w:r>
              <w:rPr>
                <w:color w:val="000000"/>
                <w:sz w:val="24"/>
                <w:szCs w:val="24"/>
              </w:rPr>
              <w:t>1.77</w:t>
            </w:r>
          </w:p>
        </w:tc>
      </w:tr>
      <w:tr>
        <w:tc>
          <w:tcPr>
            <w:vAlign w:val="center"/>
          </w:tcPr>
          <w:p>
            <w:pPr>
              <w:jc w:val="center"/>
            </w:pPr>
            <w:r>
              <w:rPr>
                <w:color w:val="000000"/>
                <w:sz w:val="24"/>
                <w:szCs w:val="24"/>
              </w:rPr>
              <w:t>2</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1,100,000</w:t>
            </w:r>
          </w:p>
        </w:tc>
        <w:tc>
          <w:tcPr>
            <w:vAlign w:val="center"/>
          </w:tcPr>
          <w:p>
            <w:pPr>
              <w:jc w:val="right"/>
            </w:pPr>
            <w:r>
              <w:rPr>
                <w:color w:val="000000"/>
                <w:sz w:val="24"/>
                <w:szCs w:val="24"/>
              </w:rPr>
              <w:t>110,275,000.00</w:t>
            </w:r>
          </w:p>
        </w:tc>
        <w:tc>
          <w:tcPr>
            <w:vAlign w:val="center"/>
          </w:tcPr>
          <w:p>
            <w:pPr>
              <w:jc w:val="right"/>
            </w:pPr>
            <w:r>
              <w:rPr>
                <w:color w:val="000000"/>
                <w:sz w:val="24"/>
                <w:szCs w:val="24"/>
              </w:rPr>
              <w:t>1.08</w:t>
            </w:r>
          </w:p>
        </w:tc>
      </w:tr>
      <w:tr>
        <w:tc>
          <w:tcPr>
            <w:vAlign w:val="center"/>
          </w:tcPr>
          <w:p>
            <w:pPr>
              <w:jc w:val="center"/>
            </w:pPr>
            <w:r>
              <w:rPr>
                <w:color w:val="000000"/>
                <w:sz w:val="24"/>
                <w:szCs w:val="24"/>
              </w:rPr>
              <w:t>3</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600,000</w:t>
            </w:r>
          </w:p>
        </w:tc>
        <w:tc>
          <w:tcPr>
            <w:vAlign w:val="center"/>
          </w:tcPr>
          <w:p>
            <w:pPr>
              <w:jc w:val="right"/>
            </w:pPr>
            <w:r>
              <w:rPr>
                <w:color w:val="000000"/>
                <w:sz w:val="24"/>
                <w:szCs w:val="24"/>
              </w:rPr>
              <w:t>60,318,000.00</w:t>
            </w:r>
          </w:p>
        </w:tc>
        <w:tc>
          <w:tcPr>
            <w:vAlign w:val="center"/>
          </w:tcPr>
          <w:p>
            <w:pPr>
              <w:jc w:val="right"/>
            </w:pPr>
            <w:r>
              <w:rPr>
                <w:color w:val="000000"/>
                <w:sz w:val="24"/>
                <w:szCs w:val="24"/>
              </w:rPr>
              <w:t>0.59</w:t>
            </w:r>
          </w:p>
        </w:tc>
      </w:tr>
      <w:tr>
        <w:tc>
          <w:tcPr>
            <w:vAlign w:val="center"/>
          </w:tcPr>
          <w:p>
            <w:pPr>
              <w:jc w:val="center"/>
            </w:pPr>
            <w:r>
              <w:rPr>
                <w:color w:val="000000"/>
                <w:sz w:val="24"/>
                <w:szCs w:val="24"/>
              </w:rPr>
              <w:t>4</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600,000</w:t>
            </w:r>
          </w:p>
        </w:tc>
        <w:tc>
          <w:tcPr>
            <w:vAlign w:val="center"/>
          </w:tcPr>
          <w:p>
            <w:pPr>
              <w:jc w:val="right"/>
            </w:pPr>
            <w:r>
              <w:rPr>
                <w:color w:val="000000"/>
                <w:sz w:val="24"/>
                <w:szCs w:val="24"/>
              </w:rPr>
              <w:t>60,048,000.00</w:t>
            </w:r>
          </w:p>
        </w:tc>
        <w:tc>
          <w:tcPr>
            <w:vAlign w:val="center"/>
          </w:tcPr>
          <w:p>
            <w:pPr>
              <w:jc w:val="right"/>
            </w:pPr>
            <w:r>
              <w:rPr>
                <w:color w:val="000000"/>
                <w:sz w:val="24"/>
                <w:szCs w:val="24"/>
              </w:rPr>
              <w:t>0.59</w:t>
            </w:r>
          </w:p>
        </w:tc>
      </w:tr>
      <w:tr>
        <w:tc>
          <w:tcPr>
            <w:vAlign w:val="center"/>
          </w:tcPr>
          <w:p>
            <w:pPr>
              <w:jc w:val="center"/>
            </w:pPr>
            <w:r>
              <w:rPr>
                <w:color w:val="000000"/>
                <w:sz w:val="24"/>
                <w:szCs w:val="24"/>
              </w:rPr>
              <w:t>5</w:t>
            </w:r>
          </w:p>
        </w:tc>
        <w:tc>
          <w:tcPr>
            <w:vAlign w:val="center"/>
          </w:tcPr>
          <w:p>
            <w:pPr>
              <w:jc w:val="center"/>
            </w:pPr>
            <w:r>
              <w:rPr>
                <w:color w:val="000000"/>
                <w:sz w:val="24"/>
                <w:szCs w:val="24"/>
              </w:rPr>
              <w:t>200201</w:t>
            </w:r>
          </w:p>
        </w:tc>
        <w:tc>
          <w:tcPr>
            <w:vAlign w:val="center"/>
          </w:tcPr>
          <w:p>
            <w:pPr>
              <w:jc w:val="center"/>
            </w:pPr>
            <w:r>
              <w:rPr>
                <w:color w:val="000000"/>
                <w:sz w:val="24"/>
                <w:szCs w:val="24"/>
              </w:rPr>
              <w:t>20国开01</w:t>
            </w:r>
          </w:p>
        </w:tc>
        <w:tc>
          <w:tcPr>
            <w:vAlign w:val="center"/>
          </w:tcPr>
          <w:p>
            <w:pPr>
              <w:jc w:val="right"/>
            </w:pPr>
            <w:r>
              <w:rPr>
                <w:color w:val="000000"/>
                <w:sz w:val="24"/>
                <w:szCs w:val="24"/>
              </w:rPr>
              <w:t>500,000</w:t>
            </w:r>
          </w:p>
        </w:tc>
        <w:tc>
          <w:tcPr>
            <w:vAlign w:val="center"/>
          </w:tcPr>
          <w:p>
            <w:pPr>
              <w:jc w:val="right"/>
            </w:pPr>
            <w:r>
              <w:rPr>
                <w:color w:val="000000"/>
                <w:sz w:val="24"/>
                <w:szCs w:val="24"/>
              </w:rPr>
              <w:t>50,245,000.00</w:t>
            </w:r>
          </w:p>
        </w:tc>
        <w:tc>
          <w:tcPr>
            <w:vAlign w:val="center"/>
          </w:tcPr>
          <w:p>
            <w:pPr>
              <w:jc w:val="right"/>
            </w:pPr>
            <w:r>
              <w:rPr>
                <w:color w:val="000000"/>
                <w:sz w:val="24"/>
                <w:szCs w:val="24"/>
              </w:rPr>
              <w:t>0.49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2,294,707.04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7,462,872.57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7,498,006.05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42,240,471.03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59,496,056.69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62,063.00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12,544,000.00</w:t>
            </w:r>
          </w:p>
        </w:tc>
        <w:tc>
          <w:tcPr>
            <w:vAlign w:val="center"/>
          </w:tcPr>
          <w:p>
            <w:pPr>
              <w:jc w:val="right"/>
            </w:pPr>
            <w:r>
              <w:rPr>
                <w:color w:val="000000"/>
                <w:sz w:val="24"/>
                <w:szCs w:val="24"/>
              </w:rPr>
              <w:t>0.12</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2,272,144,911.89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3,172,386,262.39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1,530,937,195.23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3,913,593,979.05</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