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交银施罗德安享稳健养老目标一年持有期混合型基金中基金（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85794" w:rsidRDefault="007349B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w:t>
      </w:r>
      <w:r>
        <w:rPr>
          <w:color w:val="000000"/>
          <w:sz w:val="24"/>
          <w:szCs w:val="24"/>
        </w:rPr>
        <w:t>盈利。</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交银安享稳健养老一年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006880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006880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4,076,395,778.20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E85794" w:rsidRDefault="007349BC">
            <w:pPr>
              <w:adjustRightInd w:val="0"/>
              <w:spacing w:before="29" w:line="288" w:lineRule="auto"/>
              <w:ind w:left="17"/>
              <w:jc w:val="left"/>
              <w:rPr>
                <w:color w:val="000000"/>
                <w:sz w:val="24"/>
                <w:szCs w:val="24"/>
              </w:rPr>
            </w:pPr>
            <w:r>
              <w:rPr>
                <w:color w:val="000000"/>
                <w:kern w:val="0"/>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w:t>
            </w:r>
            <w:r>
              <w:rPr>
                <w:color w:val="000000"/>
                <w:kern w:val="0"/>
                <w:sz w:val="24"/>
                <w:szCs w:val="24"/>
              </w:rPr>
              <w:t>暴露。</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lastRenderedPageBreak/>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中债综合全价指数收益率</w:t>
            </w:r>
            <w:r w:rsidRPr="00414345">
              <w:rPr>
                <w:color w:val="000000"/>
                <w:kern w:val="0"/>
                <w:sz w:val="24"/>
                <w:szCs w:val="24"/>
              </w:rPr>
              <w:t>+20%×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59D7" w:rsidRPr="00414345" w:rsidTr="002A59D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A59D7" w:rsidRPr="00414345" w:rsidTr="002A59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15,209,268.33</w:t>
            </w:r>
          </w:p>
        </w:tc>
      </w:tr>
      <w:tr w:rsidR="002A59D7" w:rsidRPr="00414345" w:rsidTr="002A59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40,181,507.34</w:t>
            </w:r>
          </w:p>
        </w:tc>
      </w:tr>
      <w:tr w:rsidR="002A59D7" w:rsidRPr="00414345" w:rsidTr="002A59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0.0130</w:t>
            </w:r>
          </w:p>
        </w:tc>
      </w:tr>
      <w:tr w:rsidR="002A59D7" w:rsidRPr="00414345" w:rsidTr="002A59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4,296,275,226.73</w:t>
            </w:r>
          </w:p>
        </w:tc>
      </w:tr>
      <w:tr w:rsidR="002A59D7" w:rsidRPr="00414345" w:rsidTr="002A59D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1.0539</w:t>
            </w:r>
          </w:p>
        </w:tc>
      </w:tr>
    </w:tbl>
    <w:p w:rsidR="00E85794" w:rsidRDefault="007349B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85794">
        <w:trPr>
          <w:jc w:val="center"/>
        </w:trPr>
        <w:tc>
          <w:tcPr>
            <w:tcW w:w="1701" w:type="dxa"/>
            <w:vAlign w:val="center"/>
          </w:tcPr>
          <w:p w:rsidR="00E85794" w:rsidRDefault="007349BC">
            <w:pPr>
              <w:jc w:val="left"/>
            </w:pPr>
            <w:r>
              <w:rPr>
                <w:color w:val="000000"/>
                <w:sz w:val="24"/>
                <w:szCs w:val="24"/>
              </w:rPr>
              <w:t>过去三个月</w:t>
            </w:r>
          </w:p>
        </w:tc>
        <w:tc>
          <w:tcPr>
            <w:tcW w:w="1045" w:type="dxa"/>
            <w:vAlign w:val="center"/>
          </w:tcPr>
          <w:p w:rsidR="00E85794" w:rsidRDefault="007349BC">
            <w:pPr>
              <w:jc w:val="center"/>
            </w:pPr>
            <w:r>
              <w:rPr>
                <w:color w:val="000000"/>
                <w:sz w:val="24"/>
                <w:szCs w:val="24"/>
              </w:rPr>
              <w:t>1.72%</w:t>
            </w:r>
          </w:p>
        </w:tc>
        <w:tc>
          <w:tcPr>
            <w:tcW w:w="1344" w:type="dxa"/>
            <w:vAlign w:val="center"/>
          </w:tcPr>
          <w:p w:rsidR="00E85794" w:rsidRDefault="007349BC">
            <w:pPr>
              <w:jc w:val="center"/>
            </w:pPr>
            <w:r>
              <w:rPr>
                <w:color w:val="000000"/>
                <w:sz w:val="24"/>
                <w:szCs w:val="24"/>
              </w:rPr>
              <w:t>0.24%</w:t>
            </w:r>
          </w:p>
        </w:tc>
        <w:tc>
          <w:tcPr>
            <w:tcW w:w="1194" w:type="dxa"/>
            <w:vAlign w:val="center"/>
          </w:tcPr>
          <w:p w:rsidR="00E85794" w:rsidRDefault="007349BC">
            <w:pPr>
              <w:jc w:val="center"/>
            </w:pPr>
            <w:r>
              <w:rPr>
                <w:color w:val="000000"/>
                <w:sz w:val="24"/>
                <w:szCs w:val="24"/>
              </w:rPr>
              <w:t>-0.46%</w:t>
            </w:r>
          </w:p>
        </w:tc>
        <w:tc>
          <w:tcPr>
            <w:tcW w:w="1492" w:type="dxa"/>
            <w:vAlign w:val="center"/>
          </w:tcPr>
          <w:p w:rsidR="00E85794" w:rsidRDefault="007349BC">
            <w:pPr>
              <w:jc w:val="center"/>
            </w:pPr>
            <w:r>
              <w:rPr>
                <w:color w:val="000000"/>
                <w:sz w:val="24"/>
                <w:szCs w:val="24"/>
              </w:rPr>
              <w:t>0.35%</w:t>
            </w:r>
          </w:p>
        </w:tc>
        <w:tc>
          <w:tcPr>
            <w:tcW w:w="1194" w:type="dxa"/>
            <w:vAlign w:val="center"/>
          </w:tcPr>
          <w:p w:rsidR="00E85794" w:rsidRDefault="007349BC">
            <w:pPr>
              <w:jc w:val="center"/>
            </w:pPr>
            <w:r>
              <w:rPr>
                <w:color w:val="000000"/>
                <w:sz w:val="24"/>
                <w:szCs w:val="24"/>
              </w:rPr>
              <w:t>2.18%</w:t>
            </w:r>
          </w:p>
        </w:tc>
        <w:tc>
          <w:tcPr>
            <w:tcW w:w="898" w:type="dxa"/>
            <w:vAlign w:val="center"/>
          </w:tcPr>
          <w:p w:rsidR="00E85794" w:rsidRDefault="007349BC">
            <w:pPr>
              <w:jc w:val="center"/>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交银施罗德安享稳健养老目标一年持有期混合型基金中基金（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85794">
        <w:trPr>
          <w:jc w:val="center"/>
        </w:trPr>
        <w:tc>
          <w:tcPr>
            <w:tcW w:w="846" w:type="dxa"/>
            <w:vAlign w:val="center"/>
          </w:tcPr>
          <w:p w:rsidR="00E85794" w:rsidRDefault="007349BC">
            <w:pPr>
              <w:jc w:val="center"/>
            </w:pPr>
            <w:r>
              <w:rPr>
                <w:color w:val="000000"/>
                <w:sz w:val="24"/>
                <w:szCs w:val="24"/>
              </w:rPr>
              <w:t>杨喆</w:t>
            </w:r>
          </w:p>
        </w:tc>
        <w:tc>
          <w:tcPr>
            <w:tcW w:w="845" w:type="dxa"/>
            <w:vAlign w:val="center"/>
          </w:tcPr>
          <w:p w:rsidR="00E85794" w:rsidRDefault="007349BC">
            <w:pPr>
              <w:jc w:val="center"/>
            </w:pPr>
            <w:r>
              <w:rPr>
                <w:color w:val="000000"/>
                <w:sz w:val="24"/>
                <w:szCs w:val="24"/>
              </w:rPr>
              <w:t>交银安享稳健养老一年混合的基金经理，公司多元资产管理副总监</w:t>
            </w:r>
          </w:p>
        </w:tc>
        <w:tc>
          <w:tcPr>
            <w:tcW w:w="1549" w:type="dxa"/>
            <w:vAlign w:val="center"/>
          </w:tcPr>
          <w:p w:rsidR="00E85794" w:rsidRDefault="007349BC">
            <w:pPr>
              <w:jc w:val="center"/>
            </w:pPr>
            <w:r>
              <w:rPr>
                <w:color w:val="000000"/>
                <w:sz w:val="24"/>
                <w:szCs w:val="24"/>
              </w:rPr>
              <w:t>2019-05-30</w:t>
            </w:r>
          </w:p>
        </w:tc>
        <w:tc>
          <w:tcPr>
            <w:tcW w:w="1548" w:type="dxa"/>
            <w:vAlign w:val="center"/>
          </w:tcPr>
          <w:p w:rsidR="00E85794" w:rsidRDefault="007349BC">
            <w:pPr>
              <w:jc w:val="center"/>
            </w:pPr>
            <w:r>
              <w:rPr>
                <w:color w:val="000000"/>
                <w:sz w:val="24"/>
                <w:szCs w:val="24"/>
              </w:rPr>
              <w:t>-</w:t>
            </w:r>
          </w:p>
        </w:tc>
        <w:tc>
          <w:tcPr>
            <w:tcW w:w="1407" w:type="dxa"/>
            <w:vAlign w:val="center"/>
          </w:tcPr>
          <w:p w:rsidR="00E85794" w:rsidRDefault="007349BC">
            <w:pPr>
              <w:jc w:val="center"/>
            </w:pPr>
            <w:r>
              <w:rPr>
                <w:color w:val="000000"/>
                <w:sz w:val="24"/>
                <w:szCs w:val="24"/>
              </w:rPr>
              <w:t>12</w:t>
            </w:r>
            <w:r>
              <w:rPr>
                <w:color w:val="000000"/>
                <w:sz w:val="24"/>
                <w:szCs w:val="24"/>
              </w:rPr>
              <w:t>年</w:t>
            </w:r>
          </w:p>
        </w:tc>
        <w:tc>
          <w:tcPr>
            <w:tcW w:w="2673" w:type="dxa"/>
            <w:vAlign w:val="center"/>
          </w:tcPr>
          <w:p w:rsidR="00E85794" w:rsidRDefault="007349BC">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85794" w:rsidRDefault="007349B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85794" w:rsidRDefault="007349B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85794" w:rsidRDefault="007349B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85794" w:rsidRDefault="007349BC">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国内新冠疫情蔓延，冲击工业企业生产经营，制造业新旧动能转换有所放缓，固定资产投资同比下降，线下消费增速回落，经济压力较大。随着海外疫情的加重，全球范围内的贸易、实体经济等都受到了较大影响。市场投资环境波动加剧，原油价格战和海外股市暴跌，新的挑战不断出现。面对复杂局面，我国采取了一系列财政积极、货币宽松的政策，加大宏观政策逆周期调节力度，把支持实体经济恢复发展放到更加突出的位置，保持流动性合理充裕，呵护经济动能。</w:t>
      </w:r>
    </w:p>
    <w:p w:rsidR="00E85794" w:rsidRDefault="007349BC">
      <w:pPr>
        <w:spacing w:before="29" w:line="288" w:lineRule="auto"/>
        <w:ind w:firstLineChars="200" w:firstLine="480"/>
        <w:rPr>
          <w:color w:val="000000"/>
          <w:sz w:val="24"/>
          <w:szCs w:val="24"/>
        </w:rPr>
      </w:pPr>
      <w:r>
        <w:rPr>
          <w:color w:val="000000"/>
          <w:sz w:val="24"/>
          <w:szCs w:val="24"/>
        </w:rPr>
        <w:t>报告期内，本基金调降了部分权益资产的配置比例，以防范疫情带来的市场大幅波动，并</w:t>
      </w:r>
      <w:r>
        <w:rPr>
          <w:color w:val="000000"/>
          <w:sz w:val="24"/>
          <w:szCs w:val="24"/>
        </w:rPr>
        <w:t>且优选中长期业绩较为稳健的股混型基金，增强组合抗风险能力。调整了部分债券基金的配置，增配了中长期业绩较优的债券基金。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海外疫情还没有完全控制，海外供需的被动萎缩通过产业链传导至我国，预计会对国内工业生产造成影响，经济回暖趋势可能放缓。但随着国内疫情防控工作逐渐进入尾声，各行业的复工复产将有序推进，经济基本面的短期阵痛有望逐步消解，后续在利好政策的扶持下有望进一步加快恢复。中央政治局会议也释放了积极财政信号，加大宏观政策调节和实施力度，托底经济增长。政策偏暖和技术需求释放，助力投资增速回升和经济结构转型。我们将持续关注政策走向和疫情改善带来的投资价值，重视</w:t>
      </w:r>
      <w:r w:rsidRPr="00414345">
        <w:rPr>
          <w:color w:val="000000"/>
          <w:sz w:val="24"/>
          <w:szCs w:val="24"/>
        </w:rPr>
        <w:t>“</w:t>
      </w:r>
      <w:r w:rsidRPr="00414345">
        <w:rPr>
          <w:color w:val="000000"/>
          <w:sz w:val="24"/>
          <w:szCs w:val="24"/>
        </w:rPr>
        <w:t>新基建</w:t>
      </w:r>
      <w:r w:rsidRPr="00414345">
        <w:rPr>
          <w:color w:val="000000"/>
          <w:sz w:val="24"/>
          <w:szCs w:val="24"/>
        </w:rPr>
        <w:t>”5G</w:t>
      </w:r>
      <w:r w:rsidRPr="00414345">
        <w:rPr>
          <w:color w:val="000000"/>
          <w:sz w:val="24"/>
          <w:szCs w:val="24"/>
        </w:rPr>
        <w:t>、医疗设备、新能源车等高新技术行业的布局机遇，继续挖掘优质投资标的。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78,198,953.22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78,198,953.22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3,763,198,771.87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87.55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201,722,000.00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201,722,000.00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134,093,095.20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121,045,273.12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4,298,258,093.41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1,903,225.20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37,812,515.26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1,643,659.00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300,091.31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442,455.00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2,609,085.40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30,403,432.37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1,932,402.00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340,221.68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260,926.00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46,940.00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78,198,953.22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85794">
        <w:trPr>
          <w:jc w:val="center"/>
        </w:trPr>
        <w:tc>
          <w:tcPr>
            <w:tcW w:w="855" w:type="dxa"/>
            <w:vAlign w:val="center"/>
          </w:tcPr>
          <w:p w:rsidR="00E85794" w:rsidRDefault="007349BC">
            <w:pPr>
              <w:jc w:val="center"/>
            </w:pPr>
            <w:r>
              <w:rPr>
                <w:color w:val="000000"/>
                <w:sz w:val="24"/>
                <w:szCs w:val="24"/>
              </w:rPr>
              <w:t>1</w:t>
            </w:r>
          </w:p>
        </w:tc>
        <w:tc>
          <w:tcPr>
            <w:tcW w:w="1334" w:type="dxa"/>
            <w:vAlign w:val="center"/>
          </w:tcPr>
          <w:p w:rsidR="00E85794" w:rsidRDefault="007349BC">
            <w:pPr>
              <w:jc w:val="center"/>
            </w:pPr>
            <w:r>
              <w:rPr>
                <w:color w:val="000000"/>
                <w:sz w:val="24"/>
                <w:szCs w:val="24"/>
              </w:rPr>
              <w:t>601318</w:t>
            </w:r>
          </w:p>
        </w:tc>
        <w:tc>
          <w:tcPr>
            <w:tcW w:w="1777" w:type="dxa"/>
            <w:vAlign w:val="center"/>
          </w:tcPr>
          <w:p w:rsidR="00E85794" w:rsidRDefault="007349BC">
            <w:pPr>
              <w:jc w:val="center"/>
            </w:pPr>
            <w:r>
              <w:rPr>
                <w:color w:val="000000"/>
                <w:sz w:val="24"/>
                <w:szCs w:val="24"/>
              </w:rPr>
              <w:t>中国平安</w:t>
            </w:r>
          </w:p>
        </w:tc>
        <w:tc>
          <w:tcPr>
            <w:tcW w:w="1334" w:type="dxa"/>
            <w:vAlign w:val="center"/>
          </w:tcPr>
          <w:p w:rsidR="00E85794" w:rsidRDefault="007349BC">
            <w:pPr>
              <w:jc w:val="right"/>
            </w:pPr>
            <w:r>
              <w:rPr>
                <w:color w:val="000000"/>
                <w:sz w:val="24"/>
                <w:szCs w:val="24"/>
              </w:rPr>
              <w:t>121,729</w:t>
            </w:r>
          </w:p>
        </w:tc>
        <w:tc>
          <w:tcPr>
            <w:tcW w:w="1924" w:type="dxa"/>
            <w:vAlign w:val="center"/>
          </w:tcPr>
          <w:p w:rsidR="00E85794" w:rsidRDefault="007349BC">
            <w:pPr>
              <w:jc w:val="right"/>
            </w:pPr>
            <w:r>
              <w:rPr>
                <w:color w:val="000000"/>
                <w:sz w:val="24"/>
                <w:szCs w:val="24"/>
              </w:rPr>
              <w:t>8,419,994.93</w:t>
            </w:r>
          </w:p>
        </w:tc>
        <w:tc>
          <w:tcPr>
            <w:tcW w:w="1644" w:type="dxa"/>
            <w:vAlign w:val="center"/>
          </w:tcPr>
          <w:p w:rsidR="00E85794" w:rsidRDefault="007349BC">
            <w:pPr>
              <w:jc w:val="right"/>
            </w:pPr>
            <w:r>
              <w:rPr>
                <w:color w:val="000000"/>
                <w:sz w:val="24"/>
                <w:szCs w:val="24"/>
              </w:rPr>
              <w:t>0.20</w:t>
            </w:r>
          </w:p>
        </w:tc>
      </w:tr>
      <w:tr w:rsidR="00E85794">
        <w:trPr>
          <w:jc w:val="center"/>
        </w:trPr>
        <w:tc>
          <w:tcPr>
            <w:tcW w:w="855" w:type="dxa"/>
            <w:vAlign w:val="center"/>
          </w:tcPr>
          <w:p w:rsidR="00E85794" w:rsidRDefault="007349BC">
            <w:pPr>
              <w:jc w:val="center"/>
            </w:pPr>
            <w:r>
              <w:rPr>
                <w:color w:val="000000"/>
                <w:sz w:val="24"/>
                <w:szCs w:val="24"/>
              </w:rPr>
              <w:t>2</w:t>
            </w:r>
          </w:p>
        </w:tc>
        <w:tc>
          <w:tcPr>
            <w:tcW w:w="1334" w:type="dxa"/>
            <w:vAlign w:val="center"/>
          </w:tcPr>
          <w:p w:rsidR="00E85794" w:rsidRDefault="007349BC">
            <w:pPr>
              <w:jc w:val="center"/>
            </w:pPr>
            <w:r>
              <w:rPr>
                <w:color w:val="000000"/>
                <w:sz w:val="24"/>
                <w:szCs w:val="24"/>
              </w:rPr>
              <w:t>600519</w:t>
            </w:r>
          </w:p>
        </w:tc>
        <w:tc>
          <w:tcPr>
            <w:tcW w:w="1777" w:type="dxa"/>
            <w:vAlign w:val="center"/>
          </w:tcPr>
          <w:p w:rsidR="00E85794" w:rsidRDefault="007349BC">
            <w:pPr>
              <w:jc w:val="center"/>
            </w:pPr>
            <w:r>
              <w:rPr>
                <w:color w:val="000000"/>
                <w:sz w:val="24"/>
                <w:szCs w:val="24"/>
              </w:rPr>
              <w:t>贵州茅台</w:t>
            </w:r>
          </w:p>
        </w:tc>
        <w:tc>
          <w:tcPr>
            <w:tcW w:w="1334" w:type="dxa"/>
            <w:vAlign w:val="center"/>
          </w:tcPr>
          <w:p w:rsidR="00E85794" w:rsidRDefault="007349BC">
            <w:pPr>
              <w:jc w:val="right"/>
            </w:pPr>
            <w:r>
              <w:rPr>
                <w:color w:val="000000"/>
                <w:sz w:val="24"/>
                <w:szCs w:val="24"/>
              </w:rPr>
              <w:t>7,500</w:t>
            </w:r>
          </w:p>
        </w:tc>
        <w:tc>
          <w:tcPr>
            <w:tcW w:w="1924" w:type="dxa"/>
            <w:vAlign w:val="center"/>
          </w:tcPr>
          <w:p w:rsidR="00E85794" w:rsidRDefault="007349BC">
            <w:pPr>
              <w:jc w:val="right"/>
            </w:pPr>
            <w:r>
              <w:rPr>
                <w:color w:val="000000"/>
                <w:sz w:val="24"/>
                <w:szCs w:val="24"/>
              </w:rPr>
              <w:t>8,332,500.00</w:t>
            </w:r>
          </w:p>
        </w:tc>
        <w:tc>
          <w:tcPr>
            <w:tcW w:w="1644" w:type="dxa"/>
            <w:vAlign w:val="center"/>
          </w:tcPr>
          <w:p w:rsidR="00E85794" w:rsidRDefault="007349BC">
            <w:pPr>
              <w:jc w:val="right"/>
            </w:pPr>
            <w:r>
              <w:rPr>
                <w:color w:val="000000"/>
                <w:sz w:val="24"/>
                <w:szCs w:val="24"/>
              </w:rPr>
              <w:t>0.19</w:t>
            </w:r>
          </w:p>
        </w:tc>
      </w:tr>
      <w:tr w:rsidR="00E85794">
        <w:trPr>
          <w:jc w:val="center"/>
        </w:trPr>
        <w:tc>
          <w:tcPr>
            <w:tcW w:w="855" w:type="dxa"/>
            <w:vAlign w:val="center"/>
          </w:tcPr>
          <w:p w:rsidR="00E85794" w:rsidRDefault="007349BC">
            <w:pPr>
              <w:jc w:val="center"/>
            </w:pPr>
            <w:r>
              <w:rPr>
                <w:color w:val="000000"/>
                <w:sz w:val="24"/>
                <w:szCs w:val="24"/>
              </w:rPr>
              <w:t>3</w:t>
            </w:r>
          </w:p>
        </w:tc>
        <w:tc>
          <w:tcPr>
            <w:tcW w:w="1334" w:type="dxa"/>
            <w:vAlign w:val="center"/>
          </w:tcPr>
          <w:p w:rsidR="00E85794" w:rsidRDefault="007349BC">
            <w:pPr>
              <w:jc w:val="center"/>
            </w:pPr>
            <w:r>
              <w:rPr>
                <w:color w:val="000000"/>
                <w:sz w:val="24"/>
                <w:szCs w:val="24"/>
              </w:rPr>
              <w:t>600887</w:t>
            </w:r>
          </w:p>
        </w:tc>
        <w:tc>
          <w:tcPr>
            <w:tcW w:w="1777" w:type="dxa"/>
            <w:vAlign w:val="center"/>
          </w:tcPr>
          <w:p w:rsidR="00E85794" w:rsidRDefault="007349BC">
            <w:pPr>
              <w:jc w:val="center"/>
            </w:pPr>
            <w:r>
              <w:rPr>
                <w:color w:val="000000"/>
                <w:sz w:val="24"/>
                <w:szCs w:val="24"/>
              </w:rPr>
              <w:t>伊利股份</w:t>
            </w:r>
          </w:p>
        </w:tc>
        <w:tc>
          <w:tcPr>
            <w:tcW w:w="1334" w:type="dxa"/>
            <w:vAlign w:val="center"/>
          </w:tcPr>
          <w:p w:rsidR="00E85794" w:rsidRDefault="007349BC">
            <w:pPr>
              <w:jc w:val="right"/>
            </w:pPr>
            <w:r>
              <w:rPr>
                <w:color w:val="000000"/>
                <w:sz w:val="24"/>
                <w:szCs w:val="24"/>
              </w:rPr>
              <w:t>166,600</w:t>
            </w:r>
          </w:p>
        </w:tc>
        <w:tc>
          <w:tcPr>
            <w:tcW w:w="1924" w:type="dxa"/>
            <w:vAlign w:val="center"/>
          </w:tcPr>
          <w:p w:rsidR="00E85794" w:rsidRDefault="007349BC">
            <w:pPr>
              <w:jc w:val="right"/>
            </w:pPr>
            <w:r>
              <w:rPr>
                <w:color w:val="000000"/>
                <w:sz w:val="24"/>
                <w:szCs w:val="24"/>
              </w:rPr>
              <w:t>4,974,676.00</w:t>
            </w:r>
          </w:p>
        </w:tc>
        <w:tc>
          <w:tcPr>
            <w:tcW w:w="1644" w:type="dxa"/>
            <w:vAlign w:val="center"/>
          </w:tcPr>
          <w:p w:rsidR="00E85794" w:rsidRDefault="007349BC">
            <w:pPr>
              <w:jc w:val="right"/>
            </w:pPr>
            <w:r>
              <w:rPr>
                <w:color w:val="000000"/>
                <w:sz w:val="24"/>
                <w:szCs w:val="24"/>
              </w:rPr>
              <w:t>0.12</w:t>
            </w:r>
          </w:p>
        </w:tc>
      </w:tr>
      <w:tr w:rsidR="00E85794">
        <w:trPr>
          <w:jc w:val="center"/>
        </w:trPr>
        <w:tc>
          <w:tcPr>
            <w:tcW w:w="855" w:type="dxa"/>
            <w:vAlign w:val="center"/>
          </w:tcPr>
          <w:p w:rsidR="00E85794" w:rsidRDefault="007349BC">
            <w:pPr>
              <w:jc w:val="center"/>
            </w:pPr>
            <w:r>
              <w:rPr>
                <w:color w:val="000000"/>
                <w:sz w:val="24"/>
                <w:szCs w:val="24"/>
              </w:rPr>
              <w:t>4</w:t>
            </w:r>
          </w:p>
        </w:tc>
        <w:tc>
          <w:tcPr>
            <w:tcW w:w="1334" w:type="dxa"/>
            <w:vAlign w:val="center"/>
          </w:tcPr>
          <w:p w:rsidR="00E85794" w:rsidRDefault="007349BC">
            <w:pPr>
              <w:jc w:val="center"/>
            </w:pPr>
            <w:r>
              <w:rPr>
                <w:color w:val="000000"/>
                <w:sz w:val="24"/>
                <w:szCs w:val="24"/>
              </w:rPr>
              <w:t>601166</w:t>
            </w:r>
          </w:p>
        </w:tc>
        <w:tc>
          <w:tcPr>
            <w:tcW w:w="1777" w:type="dxa"/>
            <w:vAlign w:val="center"/>
          </w:tcPr>
          <w:p w:rsidR="00E85794" w:rsidRDefault="007349BC">
            <w:pPr>
              <w:jc w:val="center"/>
            </w:pPr>
            <w:r>
              <w:rPr>
                <w:color w:val="000000"/>
                <w:sz w:val="24"/>
                <w:szCs w:val="24"/>
              </w:rPr>
              <w:t>兴业银行</w:t>
            </w:r>
          </w:p>
        </w:tc>
        <w:tc>
          <w:tcPr>
            <w:tcW w:w="1334" w:type="dxa"/>
            <w:vAlign w:val="center"/>
          </w:tcPr>
          <w:p w:rsidR="00E85794" w:rsidRDefault="007349BC">
            <w:pPr>
              <w:jc w:val="right"/>
            </w:pPr>
            <w:r>
              <w:rPr>
                <w:color w:val="000000"/>
                <w:sz w:val="24"/>
                <w:szCs w:val="24"/>
              </w:rPr>
              <w:t>243,200</w:t>
            </w:r>
          </w:p>
        </w:tc>
        <w:tc>
          <w:tcPr>
            <w:tcW w:w="1924" w:type="dxa"/>
            <w:vAlign w:val="center"/>
          </w:tcPr>
          <w:p w:rsidR="00E85794" w:rsidRDefault="007349BC">
            <w:pPr>
              <w:jc w:val="right"/>
            </w:pPr>
            <w:r>
              <w:rPr>
                <w:color w:val="000000"/>
                <w:sz w:val="24"/>
                <w:szCs w:val="24"/>
              </w:rPr>
              <w:t>3,869,312.00</w:t>
            </w:r>
          </w:p>
        </w:tc>
        <w:tc>
          <w:tcPr>
            <w:tcW w:w="1644" w:type="dxa"/>
            <w:vAlign w:val="center"/>
          </w:tcPr>
          <w:p w:rsidR="00E85794" w:rsidRDefault="007349BC">
            <w:pPr>
              <w:jc w:val="right"/>
            </w:pPr>
            <w:r>
              <w:rPr>
                <w:color w:val="000000"/>
                <w:sz w:val="24"/>
                <w:szCs w:val="24"/>
              </w:rPr>
              <w:t>0.09</w:t>
            </w:r>
          </w:p>
        </w:tc>
      </w:tr>
      <w:tr w:rsidR="00E85794">
        <w:trPr>
          <w:jc w:val="center"/>
        </w:trPr>
        <w:tc>
          <w:tcPr>
            <w:tcW w:w="855" w:type="dxa"/>
            <w:vAlign w:val="center"/>
          </w:tcPr>
          <w:p w:rsidR="00E85794" w:rsidRDefault="007349BC">
            <w:pPr>
              <w:jc w:val="center"/>
            </w:pPr>
            <w:r>
              <w:rPr>
                <w:color w:val="000000"/>
                <w:sz w:val="24"/>
                <w:szCs w:val="24"/>
              </w:rPr>
              <w:t>5</w:t>
            </w:r>
          </w:p>
        </w:tc>
        <w:tc>
          <w:tcPr>
            <w:tcW w:w="1334" w:type="dxa"/>
            <w:vAlign w:val="center"/>
          </w:tcPr>
          <w:p w:rsidR="00E85794" w:rsidRDefault="007349BC">
            <w:pPr>
              <w:jc w:val="center"/>
            </w:pPr>
            <w:r>
              <w:rPr>
                <w:color w:val="000000"/>
                <w:sz w:val="24"/>
                <w:szCs w:val="24"/>
              </w:rPr>
              <w:t>600036</w:t>
            </w:r>
          </w:p>
        </w:tc>
        <w:tc>
          <w:tcPr>
            <w:tcW w:w="1777" w:type="dxa"/>
            <w:vAlign w:val="center"/>
          </w:tcPr>
          <w:p w:rsidR="00E85794" w:rsidRDefault="007349BC">
            <w:pPr>
              <w:jc w:val="center"/>
            </w:pPr>
            <w:r>
              <w:rPr>
                <w:color w:val="000000"/>
                <w:sz w:val="24"/>
                <w:szCs w:val="24"/>
              </w:rPr>
              <w:t>招商银行</w:t>
            </w:r>
          </w:p>
        </w:tc>
        <w:tc>
          <w:tcPr>
            <w:tcW w:w="1334" w:type="dxa"/>
            <w:vAlign w:val="center"/>
          </w:tcPr>
          <w:p w:rsidR="00E85794" w:rsidRDefault="007349BC">
            <w:pPr>
              <w:jc w:val="right"/>
            </w:pPr>
            <w:r>
              <w:rPr>
                <w:color w:val="000000"/>
                <w:sz w:val="24"/>
                <w:szCs w:val="24"/>
              </w:rPr>
              <w:t>95,600</w:t>
            </w:r>
          </w:p>
        </w:tc>
        <w:tc>
          <w:tcPr>
            <w:tcW w:w="1924" w:type="dxa"/>
            <w:vAlign w:val="center"/>
          </w:tcPr>
          <w:p w:rsidR="00E85794" w:rsidRDefault="007349BC">
            <w:pPr>
              <w:jc w:val="right"/>
            </w:pPr>
            <w:r>
              <w:rPr>
                <w:color w:val="000000"/>
                <w:sz w:val="24"/>
                <w:szCs w:val="24"/>
              </w:rPr>
              <w:t>3,085,968.00</w:t>
            </w:r>
          </w:p>
        </w:tc>
        <w:tc>
          <w:tcPr>
            <w:tcW w:w="1644" w:type="dxa"/>
            <w:vAlign w:val="center"/>
          </w:tcPr>
          <w:p w:rsidR="00E85794" w:rsidRDefault="007349BC">
            <w:pPr>
              <w:jc w:val="right"/>
            </w:pPr>
            <w:r>
              <w:rPr>
                <w:color w:val="000000"/>
                <w:sz w:val="24"/>
                <w:szCs w:val="24"/>
              </w:rPr>
              <w:t>0.07</w:t>
            </w:r>
          </w:p>
        </w:tc>
      </w:tr>
      <w:tr w:rsidR="00E85794">
        <w:trPr>
          <w:jc w:val="center"/>
        </w:trPr>
        <w:tc>
          <w:tcPr>
            <w:tcW w:w="855" w:type="dxa"/>
            <w:vAlign w:val="center"/>
          </w:tcPr>
          <w:p w:rsidR="00E85794" w:rsidRDefault="007349BC">
            <w:pPr>
              <w:jc w:val="center"/>
            </w:pPr>
            <w:r>
              <w:rPr>
                <w:color w:val="000000"/>
                <w:sz w:val="24"/>
                <w:szCs w:val="24"/>
              </w:rPr>
              <w:t>6</w:t>
            </w:r>
          </w:p>
        </w:tc>
        <w:tc>
          <w:tcPr>
            <w:tcW w:w="1334" w:type="dxa"/>
            <w:vAlign w:val="center"/>
          </w:tcPr>
          <w:p w:rsidR="00E85794" w:rsidRDefault="007349BC">
            <w:pPr>
              <w:jc w:val="center"/>
            </w:pPr>
            <w:r>
              <w:rPr>
                <w:color w:val="000000"/>
                <w:sz w:val="24"/>
                <w:szCs w:val="24"/>
              </w:rPr>
              <w:t>601398</w:t>
            </w:r>
          </w:p>
        </w:tc>
        <w:tc>
          <w:tcPr>
            <w:tcW w:w="1777" w:type="dxa"/>
            <w:vAlign w:val="center"/>
          </w:tcPr>
          <w:p w:rsidR="00E85794" w:rsidRDefault="007349BC">
            <w:pPr>
              <w:jc w:val="center"/>
            </w:pPr>
            <w:r>
              <w:rPr>
                <w:color w:val="000000"/>
                <w:sz w:val="24"/>
                <w:szCs w:val="24"/>
              </w:rPr>
              <w:t>工商银行</w:t>
            </w:r>
          </w:p>
        </w:tc>
        <w:tc>
          <w:tcPr>
            <w:tcW w:w="1334" w:type="dxa"/>
            <w:vAlign w:val="center"/>
          </w:tcPr>
          <w:p w:rsidR="00E85794" w:rsidRDefault="007349BC">
            <w:pPr>
              <w:jc w:val="right"/>
            </w:pPr>
            <w:r>
              <w:rPr>
                <w:color w:val="000000"/>
                <w:sz w:val="24"/>
                <w:szCs w:val="24"/>
              </w:rPr>
              <w:t>547,800</w:t>
            </w:r>
          </w:p>
        </w:tc>
        <w:tc>
          <w:tcPr>
            <w:tcW w:w="1924" w:type="dxa"/>
            <w:vAlign w:val="center"/>
          </w:tcPr>
          <w:p w:rsidR="00E85794" w:rsidRDefault="007349BC">
            <w:pPr>
              <w:jc w:val="right"/>
            </w:pPr>
            <w:r>
              <w:rPr>
                <w:color w:val="000000"/>
                <w:sz w:val="24"/>
                <w:szCs w:val="24"/>
              </w:rPr>
              <w:t>2,821,170.00</w:t>
            </w:r>
          </w:p>
        </w:tc>
        <w:tc>
          <w:tcPr>
            <w:tcW w:w="1644" w:type="dxa"/>
            <w:vAlign w:val="center"/>
          </w:tcPr>
          <w:p w:rsidR="00E85794" w:rsidRDefault="007349BC">
            <w:pPr>
              <w:jc w:val="right"/>
            </w:pPr>
            <w:r>
              <w:rPr>
                <w:color w:val="000000"/>
                <w:sz w:val="24"/>
                <w:szCs w:val="24"/>
              </w:rPr>
              <w:t>0.07</w:t>
            </w:r>
          </w:p>
        </w:tc>
      </w:tr>
      <w:tr w:rsidR="00E85794">
        <w:trPr>
          <w:jc w:val="center"/>
        </w:trPr>
        <w:tc>
          <w:tcPr>
            <w:tcW w:w="855" w:type="dxa"/>
            <w:vAlign w:val="center"/>
          </w:tcPr>
          <w:p w:rsidR="00E85794" w:rsidRDefault="007349BC">
            <w:pPr>
              <w:jc w:val="center"/>
            </w:pPr>
            <w:r>
              <w:rPr>
                <w:color w:val="000000"/>
                <w:sz w:val="24"/>
                <w:szCs w:val="24"/>
              </w:rPr>
              <w:lastRenderedPageBreak/>
              <w:t>7</w:t>
            </w:r>
          </w:p>
        </w:tc>
        <w:tc>
          <w:tcPr>
            <w:tcW w:w="1334" w:type="dxa"/>
            <w:vAlign w:val="center"/>
          </w:tcPr>
          <w:p w:rsidR="00E85794" w:rsidRDefault="007349BC">
            <w:pPr>
              <w:jc w:val="center"/>
            </w:pPr>
            <w:r>
              <w:rPr>
                <w:color w:val="000000"/>
                <w:sz w:val="24"/>
                <w:szCs w:val="24"/>
              </w:rPr>
              <w:t>600016</w:t>
            </w:r>
          </w:p>
        </w:tc>
        <w:tc>
          <w:tcPr>
            <w:tcW w:w="1777" w:type="dxa"/>
            <w:vAlign w:val="center"/>
          </w:tcPr>
          <w:p w:rsidR="00E85794" w:rsidRDefault="007349BC">
            <w:pPr>
              <w:jc w:val="center"/>
            </w:pPr>
            <w:r>
              <w:rPr>
                <w:color w:val="000000"/>
                <w:sz w:val="24"/>
                <w:szCs w:val="24"/>
              </w:rPr>
              <w:t>民生银行</w:t>
            </w:r>
          </w:p>
        </w:tc>
        <w:tc>
          <w:tcPr>
            <w:tcW w:w="1334" w:type="dxa"/>
            <w:vAlign w:val="center"/>
          </w:tcPr>
          <w:p w:rsidR="00E85794" w:rsidRDefault="007349BC">
            <w:pPr>
              <w:jc w:val="right"/>
            </w:pPr>
            <w:r>
              <w:rPr>
                <w:color w:val="000000"/>
                <w:sz w:val="24"/>
                <w:szCs w:val="24"/>
              </w:rPr>
              <w:t>475,600</w:t>
            </w:r>
          </w:p>
        </w:tc>
        <w:tc>
          <w:tcPr>
            <w:tcW w:w="1924" w:type="dxa"/>
            <w:vAlign w:val="center"/>
          </w:tcPr>
          <w:p w:rsidR="00E85794" w:rsidRDefault="007349BC">
            <w:pPr>
              <w:jc w:val="right"/>
            </w:pPr>
            <w:r>
              <w:rPr>
                <w:color w:val="000000"/>
                <w:sz w:val="24"/>
                <w:szCs w:val="24"/>
              </w:rPr>
              <w:t>2,715,676.00</w:t>
            </w:r>
          </w:p>
        </w:tc>
        <w:tc>
          <w:tcPr>
            <w:tcW w:w="1644" w:type="dxa"/>
            <w:vAlign w:val="center"/>
          </w:tcPr>
          <w:p w:rsidR="00E85794" w:rsidRDefault="007349BC">
            <w:pPr>
              <w:jc w:val="right"/>
            </w:pPr>
            <w:r>
              <w:rPr>
                <w:color w:val="000000"/>
                <w:sz w:val="24"/>
                <w:szCs w:val="24"/>
              </w:rPr>
              <w:t>0.06</w:t>
            </w:r>
          </w:p>
        </w:tc>
      </w:tr>
      <w:tr w:rsidR="00E85794">
        <w:trPr>
          <w:jc w:val="center"/>
        </w:trPr>
        <w:tc>
          <w:tcPr>
            <w:tcW w:w="855" w:type="dxa"/>
            <w:vAlign w:val="center"/>
          </w:tcPr>
          <w:p w:rsidR="00E85794" w:rsidRDefault="007349BC">
            <w:pPr>
              <w:jc w:val="center"/>
            </w:pPr>
            <w:r>
              <w:rPr>
                <w:color w:val="000000"/>
                <w:sz w:val="24"/>
                <w:szCs w:val="24"/>
              </w:rPr>
              <w:t>8</w:t>
            </w:r>
          </w:p>
        </w:tc>
        <w:tc>
          <w:tcPr>
            <w:tcW w:w="1334" w:type="dxa"/>
            <w:vAlign w:val="center"/>
          </w:tcPr>
          <w:p w:rsidR="00E85794" w:rsidRDefault="007349BC">
            <w:pPr>
              <w:jc w:val="center"/>
            </w:pPr>
            <w:r>
              <w:rPr>
                <w:color w:val="000000"/>
                <w:sz w:val="24"/>
                <w:szCs w:val="24"/>
              </w:rPr>
              <w:t>601988</w:t>
            </w:r>
          </w:p>
        </w:tc>
        <w:tc>
          <w:tcPr>
            <w:tcW w:w="1777" w:type="dxa"/>
            <w:vAlign w:val="center"/>
          </w:tcPr>
          <w:p w:rsidR="00E85794" w:rsidRDefault="007349BC">
            <w:pPr>
              <w:jc w:val="center"/>
            </w:pPr>
            <w:r>
              <w:rPr>
                <w:color w:val="000000"/>
                <w:sz w:val="24"/>
                <w:szCs w:val="24"/>
              </w:rPr>
              <w:t>中国银行</w:t>
            </w:r>
          </w:p>
        </w:tc>
        <w:tc>
          <w:tcPr>
            <w:tcW w:w="1334" w:type="dxa"/>
            <w:vAlign w:val="center"/>
          </w:tcPr>
          <w:p w:rsidR="00E85794" w:rsidRDefault="007349BC">
            <w:pPr>
              <w:jc w:val="right"/>
            </w:pPr>
            <w:r>
              <w:rPr>
                <w:color w:val="000000"/>
                <w:sz w:val="24"/>
                <w:szCs w:val="24"/>
              </w:rPr>
              <w:t>590,300</w:t>
            </w:r>
          </w:p>
        </w:tc>
        <w:tc>
          <w:tcPr>
            <w:tcW w:w="1924" w:type="dxa"/>
            <w:vAlign w:val="center"/>
          </w:tcPr>
          <w:p w:rsidR="00E85794" w:rsidRDefault="007349BC">
            <w:pPr>
              <w:jc w:val="right"/>
            </w:pPr>
            <w:r>
              <w:rPr>
                <w:color w:val="000000"/>
                <w:sz w:val="24"/>
                <w:szCs w:val="24"/>
              </w:rPr>
              <w:t>2,054,244.00</w:t>
            </w:r>
          </w:p>
        </w:tc>
        <w:tc>
          <w:tcPr>
            <w:tcW w:w="1644" w:type="dxa"/>
            <w:vAlign w:val="center"/>
          </w:tcPr>
          <w:p w:rsidR="00E85794" w:rsidRDefault="007349BC">
            <w:pPr>
              <w:jc w:val="right"/>
            </w:pPr>
            <w:r>
              <w:rPr>
                <w:color w:val="000000"/>
                <w:sz w:val="24"/>
                <w:szCs w:val="24"/>
              </w:rPr>
              <w:t>0.05</w:t>
            </w:r>
          </w:p>
        </w:tc>
      </w:tr>
      <w:tr w:rsidR="00E85794">
        <w:trPr>
          <w:jc w:val="center"/>
        </w:trPr>
        <w:tc>
          <w:tcPr>
            <w:tcW w:w="855" w:type="dxa"/>
            <w:vAlign w:val="center"/>
          </w:tcPr>
          <w:p w:rsidR="00E85794" w:rsidRDefault="007349BC">
            <w:pPr>
              <w:jc w:val="center"/>
            </w:pPr>
            <w:r>
              <w:rPr>
                <w:color w:val="000000"/>
                <w:sz w:val="24"/>
                <w:szCs w:val="24"/>
              </w:rPr>
              <w:t>9</w:t>
            </w:r>
          </w:p>
        </w:tc>
        <w:tc>
          <w:tcPr>
            <w:tcW w:w="1334" w:type="dxa"/>
            <w:vAlign w:val="center"/>
          </w:tcPr>
          <w:p w:rsidR="00E85794" w:rsidRDefault="007349BC">
            <w:pPr>
              <w:jc w:val="center"/>
            </w:pPr>
            <w:r>
              <w:rPr>
                <w:color w:val="000000"/>
                <w:sz w:val="24"/>
                <w:szCs w:val="24"/>
              </w:rPr>
              <w:t>600276</w:t>
            </w:r>
          </w:p>
        </w:tc>
        <w:tc>
          <w:tcPr>
            <w:tcW w:w="1777" w:type="dxa"/>
            <w:vAlign w:val="center"/>
          </w:tcPr>
          <w:p w:rsidR="00E85794" w:rsidRDefault="007349BC">
            <w:pPr>
              <w:jc w:val="center"/>
            </w:pPr>
            <w:r>
              <w:rPr>
                <w:color w:val="000000"/>
                <w:sz w:val="24"/>
                <w:szCs w:val="24"/>
              </w:rPr>
              <w:t>恒瑞医药</w:t>
            </w:r>
          </w:p>
        </w:tc>
        <w:tc>
          <w:tcPr>
            <w:tcW w:w="1334" w:type="dxa"/>
            <w:vAlign w:val="center"/>
          </w:tcPr>
          <w:p w:rsidR="00E85794" w:rsidRDefault="007349BC">
            <w:pPr>
              <w:jc w:val="right"/>
            </w:pPr>
            <w:r>
              <w:rPr>
                <w:color w:val="000000"/>
                <w:sz w:val="24"/>
                <w:szCs w:val="24"/>
              </w:rPr>
              <w:t>20,200</w:t>
            </w:r>
          </w:p>
        </w:tc>
        <w:tc>
          <w:tcPr>
            <w:tcW w:w="1924" w:type="dxa"/>
            <w:vAlign w:val="center"/>
          </w:tcPr>
          <w:p w:rsidR="00E85794" w:rsidRDefault="007349BC">
            <w:pPr>
              <w:jc w:val="right"/>
            </w:pPr>
            <w:r>
              <w:rPr>
                <w:color w:val="000000"/>
                <w:sz w:val="24"/>
                <w:szCs w:val="24"/>
              </w:rPr>
              <w:t>1,859,006.00</w:t>
            </w:r>
          </w:p>
        </w:tc>
        <w:tc>
          <w:tcPr>
            <w:tcW w:w="1644" w:type="dxa"/>
            <w:vAlign w:val="center"/>
          </w:tcPr>
          <w:p w:rsidR="00E85794" w:rsidRDefault="007349BC">
            <w:pPr>
              <w:jc w:val="right"/>
            </w:pPr>
            <w:r>
              <w:rPr>
                <w:color w:val="000000"/>
                <w:sz w:val="24"/>
                <w:szCs w:val="24"/>
              </w:rPr>
              <w:t>0.04</w:t>
            </w:r>
          </w:p>
        </w:tc>
      </w:tr>
      <w:tr w:rsidR="00E85794">
        <w:trPr>
          <w:jc w:val="center"/>
        </w:trPr>
        <w:tc>
          <w:tcPr>
            <w:tcW w:w="855" w:type="dxa"/>
            <w:vAlign w:val="center"/>
          </w:tcPr>
          <w:p w:rsidR="00E85794" w:rsidRDefault="007349BC">
            <w:pPr>
              <w:jc w:val="center"/>
            </w:pPr>
            <w:r>
              <w:rPr>
                <w:color w:val="000000"/>
                <w:sz w:val="24"/>
                <w:szCs w:val="24"/>
              </w:rPr>
              <w:t>10</w:t>
            </w:r>
          </w:p>
        </w:tc>
        <w:tc>
          <w:tcPr>
            <w:tcW w:w="1334" w:type="dxa"/>
            <w:vAlign w:val="center"/>
          </w:tcPr>
          <w:p w:rsidR="00E85794" w:rsidRDefault="007349BC">
            <w:pPr>
              <w:jc w:val="center"/>
            </w:pPr>
            <w:r>
              <w:rPr>
                <w:color w:val="000000"/>
                <w:sz w:val="24"/>
                <w:szCs w:val="24"/>
              </w:rPr>
              <w:t>601601</w:t>
            </w:r>
          </w:p>
        </w:tc>
        <w:tc>
          <w:tcPr>
            <w:tcW w:w="1777" w:type="dxa"/>
            <w:vAlign w:val="center"/>
          </w:tcPr>
          <w:p w:rsidR="00E85794" w:rsidRDefault="007349BC">
            <w:pPr>
              <w:jc w:val="center"/>
            </w:pPr>
            <w:r>
              <w:rPr>
                <w:color w:val="000000"/>
                <w:sz w:val="24"/>
                <w:szCs w:val="24"/>
              </w:rPr>
              <w:t>中国太保</w:t>
            </w:r>
          </w:p>
        </w:tc>
        <w:tc>
          <w:tcPr>
            <w:tcW w:w="1334" w:type="dxa"/>
            <w:vAlign w:val="center"/>
          </w:tcPr>
          <w:p w:rsidR="00E85794" w:rsidRDefault="007349BC">
            <w:pPr>
              <w:jc w:val="right"/>
            </w:pPr>
            <w:r>
              <w:rPr>
                <w:color w:val="000000"/>
                <w:sz w:val="24"/>
                <w:szCs w:val="24"/>
              </w:rPr>
              <w:t>59,808</w:t>
            </w:r>
          </w:p>
        </w:tc>
        <w:tc>
          <w:tcPr>
            <w:tcW w:w="1924" w:type="dxa"/>
            <w:vAlign w:val="center"/>
          </w:tcPr>
          <w:p w:rsidR="00E85794" w:rsidRDefault="007349BC">
            <w:pPr>
              <w:jc w:val="right"/>
            </w:pPr>
            <w:r>
              <w:rPr>
                <w:color w:val="000000"/>
                <w:sz w:val="24"/>
                <w:szCs w:val="24"/>
              </w:rPr>
              <w:t>1,687,781.76</w:t>
            </w:r>
          </w:p>
        </w:tc>
        <w:tc>
          <w:tcPr>
            <w:tcW w:w="1644" w:type="dxa"/>
            <w:vAlign w:val="center"/>
          </w:tcPr>
          <w:p w:rsidR="00E85794" w:rsidRDefault="007349BC">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201,722,000.00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201,722,000.00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201,722,000.00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85794">
        <w:trPr>
          <w:jc w:val="center"/>
        </w:trPr>
        <w:tc>
          <w:tcPr>
            <w:tcW w:w="850" w:type="dxa"/>
            <w:vAlign w:val="center"/>
          </w:tcPr>
          <w:p w:rsidR="00E85794" w:rsidRDefault="007349BC">
            <w:pPr>
              <w:jc w:val="center"/>
            </w:pPr>
            <w:r>
              <w:rPr>
                <w:color w:val="000000"/>
                <w:sz w:val="24"/>
                <w:szCs w:val="24"/>
              </w:rPr>
              <w:t>1</w:t>
            </w:r>
          </w:p>
        </w:tc>
        <w:tc>
          <w:tcPr>
            <w:tcW w:w="1475" w:type="dxa"/>
            <w:vAlign w:val="center"/>
          </w:tcPr>
          <w:p w:rsidR="00E85794" w:rsidRDefault="007349BC">
            <w:pPr>
              <w:jc w:val="center"/>
            </w:pPr>
            <w:r>
              <w:rPr>
                <w:color w:val="000000"/>
                <w:sz w:val="24"/>
                <w:szCs w:val="24"/>
              </w:rPr>
              <w:t>180402</w:t>
            </w:r>
          </w:p>
        </w:tc>
        <w:tc>
          <w:tcPr>
            <w:tcW w:w="1769" w:type="dxa"/>
            <w:vAlign w:val="center"/>
          </w:tcPr>
          <w:p w:rsidR="00E85794" w:rsidRDefault="007349BC">
            <w:pPr>
              <w:jc w:val="center"/>
            </w:pPr>
            <w:r>
              <w:rPr>
                <w:color w:val="000000"/>
                <w:sz w:val="24"/>
                <w:szCs w:val="24"/>
              </w:rPr>
              <w:t>18</w:t>
            </w:r>
            <w:r>
              <w:rPr>
                <w:color w:val="000000"/>
                <w:sz w:val="24"/>
                <w:szCs w:val="24"/>
              </w:rPr>
              <w:t>农发</w:t>
            </w:r>
            <w:r>
              <w:rPr>
                <w:color w:val="000000"/>
                <w:sz w:val="24"/>
                <w:szCs w:val="24"/>
              </w:rPr>
              <w:t>02</w:t>
            </w:r>
          </w:p>
        </w:tc>
        <w:tc>
          <w:tcPr>
            <w:tcW w:w="1387" w:type="dxa"/>
            <w:vAlign w:val="center"/>
          </w:tcPr>
          <w:p w:rsidR="00E85794" w:rsidRDefault="007349BC">
            <w:pPr>
              <w:jc w:val="right"/>
            </w:pPr>
            <w:r>
              <w:rPr>
                <w:color w:val="000000"/>
                <w:sz w:val="24"/>
                <w:szCs w:val="24"/>
              </w:rPr>
              <w:t>600,000</w:t>
            </w:r>
          </w:p>
        </w:tc>
        <w:tc>
          <w:tcPr>
            <w:tcW w:w="2150" w:type="dxa"/>
            <w:vAlign w:val="center"/>
          </w:tcPr>
          <w:p w:rsidR="00E85794" w:rsidRDefault="007349BC">
            <w:pPr>
              <w:jc w:val="right"/>
            </w:pPr>
            <w:r>
              <w:rPr>
                <w:color w:val="000000"/>
                <w:sz w:val="24"/>
                <w:szCs w:val="24"/>
              </w:rPr>
              <w:t>61,470,000.00</w:t>
            </w:r>
          </w:p>
        </w:tc>
        <w:tc>
          <w:tcPr>
            <w:tcW w:w="1237" w:type="dxa"/>
            <w:vAlign w:val="center"/>
          </w:tcPr>
          <w:p w:rsidR="00E85794" w:rsidRDefault="007349BC">
            <w:pPr>
              <w:jc w:val="right"/>
            </w:pPr>
            <w:r>
              <w:rPr>
                <w:color w:val="000000"/>
                <w:sz w:val="24"/>
                <w:szCs w:val="24"/>
              </w:rPr>
              <w:t>1.43</w:t>
            </w:r>
          </w:p>
        </w:tc>
      </w:tr>
      <w:tr w:rsidR="00E85794">
        <w:trPr>
          <w:jc w:val="center"/>
        </w:trPr>
        <w:tc>
          <w:tcPr>
            <w:tcW w:w="850" w:type="dxa"/>
            <w:vAlign w:val="center"/>
          </w:tcPr>
          <w:p w:rsidR="00E85794" w:rsidRDefault="007349BC">
            <w:pPr>
              <w:jc w:val="center"/>
            </w:pPr>
            <w:r>
              <w:rPr>
                <w:color w:val="000000"/>
                <w:sz w:val="24"/>
                <w:szCs w:val="24"/>
              </w:rPr>
              <w:t>2</w:t>
            </w:r>
          </w:p>
        </w:tc>
        <w:tc>
          <w:tcPr>
            <w:tcW w:w="1475" w:type="dxa"/>
            <w:vAlign w:val="center"/>
          </w:tcPr>
          <w:p w:rsidR="00E85794" w:rsidRDefault="007349BC">
            <w:pPr>
              <w:jc w:val="center"/>
            </w:pPr>
            <w:r>
              <w:rPr>
                <w:color w:val="000000"/>
                <w:sz w:val="24"/>
                <w:szCs w:val="24"/>
              </w:rPr>
              <w:t>190206</w:t>
            </w:r>
          </w:p>
        </w:tc>
        <w:tc>
          <w:tcPr>
            <w:tcW w:w="1769" w:type="dxa"/>
            <w:vAlign w:val="center"/>
          </w:tcPr>
          <w:p w:rsidR="00E85794" w:rsidRDefault="007349BC">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E85794" w:rsidRDefault="007349BC">
            <w:pPr>
              <w:jc w:val="right"/>
            </w:pPr>
            <w:r>
              <w:rPr>
                <w:color w:val="000000"/>
                <w:sz w:val="24"/>
                <w:szCs w:val="24"/>
              </w:rPr>
              <w:t>600,000</w:t>
            </w:r>
          </w:p>
        </w:tc>
        <w:tc>
          <w:tcPr>
            <w:tcW w:w="2150" w:type="dxa"/>
            <w:vAlign w:val="center"/>
          </w:tcPr>
          <w:p w:rsidR="00E85794" w:rsidRDefault="007349BC">
            <w:pPr>
              <w:jc w:val="right"/>
            </w:pPr>
            <w:r>
              <w:rPr>
                <w:color w:val="000000"/>
                <w:sz w:val="24"/>
                <w:szCs w:val="24"/>
              </w:rPr>
              <w:t>60,048,000.00</w:t>
            </w:r>
          </w:p>
        </w:tc>
        <w:tc>
          <w:tcPr>
            <w:tcW w:w="1237" w:type="dxa"/>
            <w:vAlign w:val="center"/>
          </w:tcPr>
          <w:p w:rsidR="00E85794" w:rsidRDefault="007349BC">
            <w:pPr>
              <w:jc w:val="right"/>
            </w:pPr>
            <w:r>
              <w:rPr>
                <w:color w:val="000000"/>
                <w:sz w:val="24"/>
                <w:szCs w:val="24"/>
              </w:rPr>
              <w:t>1.40</w:t>
            </w:r>
          </w:p>
        </w:tc>
      </w:tr>
      <w:tr w:rsidR="00E85794">
        <w:trPr>
          <w:jc w:val="center"/>
        </w:trPr>
        <w:tc>
          <w:tcPr>
            <w:tcW w:w="850" w:type="dxa"/>
            <w:vAlign w:val="center"/>
          </w:tcPr>
          <w:p w:rsidR="00E85794" w:rsidRDefault="007349BC">
            <w:pPr>
              <w:jc w:val="center"/>
            </w:pPr>
            <w:r>
              <w:rPr>
                <w:color w:val="000000"/>
                <w:sz w:val="24"/>
                <w:szCs w:val="24"/>
              </w:rPr>
              <w:t>3</w:t>
            </w:r>
          </w:p>
        </w:tc>
        <w:tc>
          <w:tcPr>
            <w:tcW w:w="1475" w:type="dxa"/>
            <w:vAlign w:val="center"/>
          </w:tcPr>
          <w:p w:rsidR="00E85794" w:rsidRDefault="007349BC">
            <w:pPr>
              <w:jc w:val="center"/>
            </w:pPr>
            <w:r>
              <w:rPr>
                <w:color w:val="000000"/>
                <w:sz w:val="24"/>
                <w:szCs w:val="24"/>
              </w:rPr>
              <w:t>200401</w:t>
            </w:r>
          </w:p>
        </w:tc>
        <w:tc>
          <w:tcPr>
            <w:tcW w:w="1769" w:type="dxa"/>
            <w:vAlign w:val="center"/>
          </w:tcPr>
          <w:p w:rsidR="00E85794" w:rsidRDefault="007349BC">
            <w:pPr>
              <w:jc w:val="center"/>
            </w:pPr>
            <w:r>
              <w:rPr>
                <w:color w:val="000000"/>
                <w:sz w:val="24"/>
                <w:szCs w:val="24"/>
              </w:rPr>
              <w:t>20</w:t>
            </w:r>
            <w:r>
              <w:rPr>
                <w:color w:val="000000"/>
                <w:sz w:val="24"/>
                <w:szCs w:val="24"/>
              </w:rPr>
              <w:t>农发</w:t>
            </w:r>
            <w:r>
              <w:rPr>
                <w:color w:val="000000"/>
                <w:sz w:val="24"/>
                <w:szCs w:val="24"/>
              </w:rPr>
              <w:t>01</w:t>
            </w:r>
          </w:p>
        </w:tc>
        <w:tc>
          <w:tcPr>
            <w:tcW w:w="1387" w:type="dxa"/>
            <w:vAlign w:val="center"/>
          </w:tcPr>
          <w:p w:rsidR="00E85794" w:rsidRDefault="007349BC">
            <w:pPr>
              <w:jc w:val="right"/>
            </w:pPr>
            <w:r>
              <w:rPr>
                <w:color w:val="000000"/>
                <w:sz w:val="24"/>
                <w:szCs w:val="24"/>
              </w:rPr>
              <w:t>400,000</w:t>
            </w:r>
          </w:p>
        </w:tc>
        <w:tc>
          <w:tcPr>
            <w:tcW w:w="2150" w:type="dxa"/>
            <w:vAlign w:val="center"/>
          </w:tcPr>
          <w:p w:rsidR="00E85794" w:rsidRDefault="007349BC">
            <w:pPr>
              <w:jc w:val="right"/>
            </w:pPr>
            <w:r>
              <w:rPr>
                <w:color w:val="000000"/>
                <w:sz w:val="24"/>
                <w:szCs w:val="24"/>
              </w:rPr>
              <w:t>40,168,000.00</w:t>
            </w:r>
          </w:p>
        </w:tc>
        <w:tc>
          <w:tcPr>
            <w:tcW w:w="1237" w:type="dxa"/>
            <w:vAlign w:val="center"/>
          </w:tcPr>
          <w:p w:rsidR="00E85794" w:rsidRDefault="007349BC">
            <w:pPr>
              <w:jc w:val="right"/>
            </w:pPr>
            <w:r>
              <w:rPr>
                <w:color w:val="000000"/>
                <w:sz w:val="24"/>
                <w:szCs w:val="24"/>
              </w:rPr>
              <w:t>0.93</w:t>
            </w:r>
          </w:p>
        </w:tc>
      </w:tr>
      <w:tr w:rsidR="00E85794">
        <w:trPr>
          <w:jc w:val="center"/>
        </w:trPr>
        <w:tc>
          <w:tcPr>
            <w:tcW w:w="850" w:type="dxa"/>
            <w:vAlign w:val="center"/>
          </w:tcPr>
          <w:p w:rsidR="00E85794" w:rsidRDefault="007349BC">
            <w:pPr>
              <w:jc w:val="center"/>
            </w:pPr>
            <w:r>
              <w:rPr>
                <w:color w:val="000000"/>
                <w:sz w:val="24"/>
                <w:szCs w:val="24"/>
              </w:rPr>
              <w:t>4</w:t>
            </w:r>
          </w:p>
        </w:tc>
        <w:tc>
          <w:tcPr>
            <w:tcW w:w="1475" w:type="dxa"/>
            <w:vAlign w:val="center"/>
          </w:tcPr>
          <w:p w:rsidR="00E85794" w:rsidRDefault="007349BC">
            <w:pPr>
              <w:jc w:val="center"/>
            </w:pPr>
            <w:r>
              <w:rPr>
                <w:color w:val="000000"/>
                <w:sz w:val="24"/>
                <w:szCs w:val="24"/>
              </w:rPr>
              <w:t>108602</w:t>
            </w:r>
          </w:p>
        </w:tc>
        <w:tc>
          <w:tcPr>
            <w:tcW w:w="1769" w:type="dxa"/>
            <w:vAlign w:val="center"/>
          </w:tcPr>
          <w:p w:rsidR="00E85794" w:rsidRDefault="007349BC">
            <w:pPr>
              <w:jc w:val="center"/>
            </w:pPr>
            <w:r>
              <w:rPr>
                <w:color w:val="000000"/>
                <w:sz w:val="24"/>
                <w:szCs w:val="24"/>
              </w:rPr>
              <w:t>国开</w:t>
            </w:r>
            <w:r>
              <w:rPr>
                <w:color w:val="000000"/>
                <w:sz w:val="24"/>
                <w:szCs w:val="24"/>
              </w:rPr>
              <w:t>1704</w:t>
            </w:r>
          </w:p>
        </w:tc>
        <w:tc>
          <w:tcPr>
            <w:tcW w:w="1387" w:type="dxa"/>
            <w:vAlign w:val="center"/>
          </w:tcPr>
          <w:p w:rsidR="00E85794" w:rsidRDefault="007349BC">
            <w:pPr>
              <w:jc w:val="right"/>
            </w:pPr>
            <w:r>
              <w:rPr>
                <w:color w:val="000000"/>
                <w:sz w:val="24"/>
                <w:szCs w:val="24"/>
              </w:rPr>
              <w:t>400,000</w:t>
            </w:r>
          </w:p>
        </w:tc>
        <w:tc>
          <w:tcPr>
            <w:tcW w:w="2150" w:type="dxa"/>
            <w:vAlign w:val="center"/>
          </w:tcPr>
          <w:p w:rsidR="00E85794" w:rsidRDefault="007349BC">
            <w:pPr>
              <w:jc w:val="right"/>
            </w:pPr>
            <w:r>
              <w:rPr>
                <w:color w:val="000000"/>
                <w:sz w:val="24"/>
                <w:szCs w:val="24"/>
              </w:rPr>
              <w:t>40,036,000.00</w:t>
            </w:r>
          </w:p>
        </w:tc>
        <w:tc>
          <w:tcPr>
            <w:tcW w:w="1237" w:type="dxa"/>
            <w:vAlign w:val="center"/>
          </w:tcPr>
          <w:p w:rsidR="00E85794" w:rsidRDefault="007349BC">
            <w:pPr>
              <w:jc w:val="right"/>
            </w:pPr>
            <w:r>
              <w:rPr>
                <w:color w:val="000000"/>
                <w:sz w:val="24"/>
                <w:szCs w:val="24"/>
              </w:rPr>
              <w:t>0.93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41,053.37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711.45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3,756,668.91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117,224,640.41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22,198.98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121,045,273.12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F8289A">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4E5CD0">
              <w:rPr>
                <w:rFonts w:ascii="Times New Roman" w:hAnsi="Times New Roman" w:cs="Times New Roman"/>
              </w:rPr>
              <w:t>（</w:t>
            </w:r>
            <w:r w:rsidR="004E5CD0">
              <w:rPr>
                <w:rFonts w:ascii="Times New Roman" w:hAnsi="Times New Roman" w:cs="Times New Roman" w:hint="eastAsia"/>
              </w:rPr>
              <w:t>%</w:t>
            </w:r>
            <w:r w:rsidR="004E5CD0" w:rsidRPr="00575270">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85794">
        <w:tc>
          <w:tcPr>
            <w:tcW w:w="835" w:type="dxa"/>
            <w:vAlign w:val="center"/>
          </w:tcPr>
          <w:p w:rsidR="00E85794" w:rsidRDefault="007349BC">
            <w:pPr>
              <w:jc w:val="center"/>
            </w:pPr>
            <w:r>
              <w:rPr>
                <w:sz w:val="24"/>
                <w:szCs w:val="24"/>
              </w:rPr>
              <w:t>1</w:t>
            </w:r>
          </w:p>
        </w:tc>
        <w:tc>
          <w:tcPr>
            <w:tcW w:w="1159" w:type="dxa"/>
            <w:vAlign w:val="center"/>
          </w:tcPr>
          <w:p w:rsidR="00E85794" w:rsidRDefault="007349BC">
            <w:pPr>
              <w:jc w:val="center"/>
            </w:pPr>
            <w:r>
              <w:rPr>
                <w:sz w:val="24"/>
                <w:szCs w:val="24"/>
              </w:rPr>
              <w:t>164902</w:t>
            </w:r>
          </w:p>
        </w:tc>
        <w:tc>
          <w:tcPr>
            <w:tcW w:w="1161" w:type="dxa"/>
            <w:vAlign w:val="center"/>
          </w:tcPr>
          <w:p w:rsidR="00E85794" w:rsidRDefault="007349BC">
            <w:pPr>
              <w:jc w:val="center"/>
            </w:pPr>
            <w:r>
              <w:rPr>
                <w:sz w:val="24"/>
                <w:szCs w:val="24"/>
              </w:rPr>
              <w:t>交银信用添利债券</w:t>
            </w:r>
            <w:r>
              <w:rPr>
                <w:sz w:val="24"/>
                <w:szCs w:val="24"/>
              </w:rPr>
              <w:t>(LOF)</w:t>
            </w:r>
          </w:p>
        </w:tc>
        <w:tc>
          <w:tcPr>
            <w:tcW w:w="1161" w:type="dxa"/>
            <w:vAlign w:val="center"/>
          </w:tcPr>
          <w:p w:rsidR="00E85794" w:rsidRDefault="007349BC">
            <w:pPr>
              <w:jc w:val="center"/>
            </w:pPr>
            <w:r>
              <w:rPr>
                <w:sz w:val="24"/>
                <w:szCs w:val="24"/>
              </w:rPr>
              <w:t>契约型开放式（</w:t>
            </w:r>
            <w:r>
              <w:rPr>
                <w:sz w:val="24"/>
                <w:szCs w:val="24"/>
              </w:rPr>
              <w:t>LOF</w:t>
            </w:r>
            <w:r>
              <w:rPr>
                <w:sz w:val="24"/>
                <w:szCs w:val="24"/>
              </w:rPr>
              <w:t>）</w:t>
            </w:r>
          </w:p>
        </w:tc>
        <w:tc>
          <w:tcPr>
            <w:tcW w:w="1159" w:type="dxa"/>
            <w:vAlign w:val="center"/>
          </w:tcPr>
          <w:p w:rsidR="00E85794" w:rsidRDefault="007349BC">
            <w:pPr>
              <w:jc w:val="center"/>
            </w:pPr>
            <w:r>
              <w:rPr>
                <w:sz w:val="24"/>
                <w:szCs w:val="24"/>
              </w:rPr>
              <w:t>302,886,340.31</w:t>
            </w:r>
          </w:p>
        </w:tc>
        <w:tc>
          <w:tcPr>
            <w:tcW w:w="1305" w:type="dxa"/>
            <w:vAlign w:val="center"/>
          </w:tcPr>
          <w:p w:rsidR="00E85794" w:rsidRDefault="007349BC">
            <w:pPr>
              <w:jc w:val="center"/>
            </w:pPr>
            <w:r>
              <w:rPr>
                <w:sz w:val="24"/>
                <w:szCs w:val="24"/>
              </w:rPr>
              <w:t>352,862,586.46</w:t>
            </w:r>
          </w:p>
        </w:tc>
        <w:tc>
          <w:tcPr>
            <w:tcW w:w="1161" w:type="dxa"/>
            <w:vAlign w:val="center"/>
          </w:tcPr>
          <w:p w:rsidR="00E85794" w:rsidRDefault="007349BC">
            <w:pPr>
              <w:jc w:val="center"/>
            </w:pPr>
            <w:r>
              <w:rPr>
                <w:sz w:val="24"/>
                <w:szCs w:val="24"/>
              </w:rPr>
              <w:t>8.21</w:t>
            </w:r>
          </w:p>
        </w:tc>
        <w:tc>
          <w:tcPr>
            <w:tcW w:w="1301" w:type="dxa"/>
            <w:vAlign w:val="center"/>
          </w:tcPr>
          <w:p w:rsidR="00E85794" w:rsidRDefault="007349BC">
            <w:pPr>
              <w:jc w:val="center"/>
            </w:pPr>
            <w:r>
              <w:rPr>
                <w:sz w:val="24"/>
                <w:szCs w:val="24"/>
              </w:rPr>
              <w:t>是</w:t>
            </w:r>
          </w:p>
        </w:tc>
      </w:tr>
      <w:tr w:rsidR="00E85794">
        <w:tc>
          <w:tcPr>
            <w:tcW w:w="835" w:type="dxa"/>
            <w:vAlign w:val="center"/>
          </w:tcPr>
          <w:p w:rsidR="00E85794" w:rsidRDefault="007349BC">
            <w:pPr>
              <w:jc w:val="center"/>
            </w:pPr>
            <w:r>
              <w:rPr>
                <w:sz w:val="24"/>
                <w:szCs w:val="24"/>
              </w:rPr>
              <w:t>2</w:t>
            </w:r>
          </w:p>
        </w:tc>
        <w:tc>
          <w:tcPr>
            <w:tcW w:w="1159" w:type="dxa"/>
            <w:vAlign w:val="center"/>
          </w:tcPr>
          <w:p w:rsidR="00E85794" w:rsidRDefault="007349BC">
            <w:pPr>
              <w:jc w:val="center"/>
            </w:pPr>
            <w:r>
              <w:rPr>
                <w:sz w:val="24"/>
                <w:szCs w:val="24"/>
              </w:rPr>
              <w:t>519723</w:t>
            </w:r>
          </w:p>
        </w:tc>
        <w:tc>
          <w:tcPr>
            <w:tcW w:w="1161" w:type="dxa"/>
            <w:vAlign w:val="center"/>
          </w:tcPr>
          <w:p w:rsidR="00E85794" w:rsidRDefault="007349BC">
            <w:pPr>
              <w:jc w:val="center"/>
            </w:pPr>
            <w:r>
              <w:rPr>
                <w:sz w:val="24"/>
                <w:szCs w:val="24"/>
              </w:rPr>
              <w:t>交银双轮动债券</w:t>
            </w:r>
            <w:r>
              <w:rPr>
                <w:sz w:val="24"/>
                <w:szCs w:val="24"/>
              </w:rPr>
              <w:t>A</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273,306,901.03</w:t>
            </w:r>
          </w:p>
        </w:tc>
        <w:tc>
          <w:tcPr>
            <w:tcW w:w="1305" w:type="dxa"/>
            <w:vAlign w:val="center"/>
          </w:tcPr>
          <w:p w:rsidR="00E85794" w:rsidRDefault="007349BC">
            <w:pPr>
              <w:jc w:val="center"/>
            </w:pPr>
            <w:r>
              <w:rPr>
                <w:sz w:val="24"/>
                <w:szCs w:val="24"/>
              </w:rPr>
              <w:t>296,811,294.52</w:t>
            </w:r>
          </w:p>
        </w:tc>
        <w:tc>
          <w:tcPr>
            <w:tcW w:w="1161" w:type="dxa"/>
            <w:vAlign w:val="center"/>
          </w:tcPr>
          <w:p w:rsidR="00E85794" w:rsidRDefault="007349BC">
            <w:pPr>
              <w:jc w:val="center"/>
            </w:pPr>
            <w:r>
              <w:rPr>
                <w:sz w:val="24"/>
                <w:szCs w:val="24"/>
              </w:rPr>
              <w:t>6.91</w:t>
            </w:r>
          </w:p>
        </w:tc>
        <w:tc>
          <w:tcPr>
            <w:tcW w:w="1301" w:type="dxa"/>
            <w:vAlign w:val="center"/>
          </w:tcPr>
          <w:p w:rsidR="00E85794" w:rsidRDefault="007349BC">
            <w:pPr>
              <w:jc w:val="center"/>
            </w:pPr>
            <w:r>
              <w:rPr>
                <w:sz w:val="24"/>
                <w:szCs w:val="24"/>
              </w:rPr>
              <w:t>是</w:t>
            </w:r>
          </w:p>
        </w:tc>
      </w:tr>
      <w:tr w:rsidR="00E85794">
        <w:tc>
          <w:tcPr>
            <w:tcW w:w="835" w:type="dxa"/>
            <w:vAlign w:val="center"/>
          </w:tcPr>
          <w:p w:rsidR="00E85794" w:rsidRDefault="007349BC">
            <w:pPr>
              <w:jc w:val="center"/>
            </w:pPr>
            <w:r>
              <w:rPr>
                <w:sz w:val="24"/>
                <w:szCs w:val="24"/>
              </w:rPr>
              <w:t>3</w:t>
            </w:r>
          </w:p>
        </w:tc>
        <w:tc>
          <w:tcPr>
            <w:tcW w:w="1159" w:type="dxa"/>
            <w:vAlign w:val="center"/>
          </w:tcPr>
          <w:p w:rsidR="00E85794" w:rsidRDefault="007349BC">
            <w:pPr>
              <w:jc w:val="center"/>
            </w:pPr>
            <w:r>
              <w:rPr>
                <w:sz w:val="24"/>
                <w:szCs w:val="24"/>
              </w:rPr>
              <w:t>519062</w:t>
            </w:r>
          </w:p>
        </w:tc>
        <w:tc>
          <w:tcPr>
            <w:tcW w:w="1161" w:type="dxa"/>
            <w:vAlign w:val="center"/>
          </w:tcPr>
          <w:p w:rsidR="00E85794" w:rsidRDefault="007349BC">
            <w:pPr>
              <w:jc w:val="center"/>
            </w:pPr>
            <w:r>
              <w:rPr>
                <w:sz w:val="24"/>
                <w:szCs w:val="24"/>
              </w:rPr>
              <w:t>海富通阿尔法对冲</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237,656,891.97</w:t>
            </w:r>
          </w:p>
        </w:tc>
        <w:tc>
          <w:tcPr>
            <w:tcW w:w="1305" w:type="dxa"/>
            <w:vAlign w:val="center"/>
          </w:tcPr>
          <w:p w:rsidR="00E85794" w:rsidRDefault="007349BC">
            <w:pPr>
              <w:jc w:val="center"/>
            </w:pPr>
            <w:r>
              <w:rPr>
                <w:sz w:val="24"/>
                <w:szCs w:val="24"/>
              </w:rPr>
              <w:t>269,027,601.71</w:t>
            </w:r>
          </w:p>
        </w:tc>
        <w:tc>
          <w:tcPr>
            <w:tcW w:w="1161" w:type="dxa"/>
            <w:vAlign w:val="center"/>
          </w:tcPr>
          <w:p w:rsidR="00E85794" w:rsidRDefault="007349BC">
            <w:pPr>
              <w:jc w:val="center"/>
            </w:pPr>
            <w:r>
              <w:rPr>
                <w:sz w:val="24"/>
                <w:szCs w:val="24"/>
              </w:rPr>
              <w:t>6.26</w:t>
            </w:r>
          </w:p>
        </w:tc>
        <w:tc>
          <w:tcPr>
            <w:tcW w:w="1301" w:type="dxa"/>
            <w:vAlign w:val="center"/>
          </w:tcPr>
          <w:p w:rsidR="00E85794" w:rsidRDefault="007349BC">
            <w:pPr>
              <w:jc w:val="center"/>
            </w:pPr>
            <w:r>
              <w:rPr>
                <w:sz w:val="24"/>
                <w:szCs w:val="24"/>
              </w:rPr>
              <w:t>否</w:t>
            </w:r>
          </w:p>
        </w:tc>
      </w:tr>
      <w:tr w:rsidR="00E85794">
        <w:tc>
          <w:tcPr>
            <w:tcW w:w="835" w:type="dxa"/>
            <w:vAlign w:val="center"/>
          </w:tcPr>
          <w:p w:rsidR="00E85794" w:rsidRDefault="007349BC">
            <w:pPr>
              <w:jc w:val="center"/>
            </w:pPr>
            <w:r>
              <w:rPr>
                <w:sz w:val="24"/>
                <w:szCs w:val="24"/>
              </w:rPr>
              <w:t>4</w:t>
            </w:r>
          </w:p>
        </w:tc>
        <w:tc>
          <w:tcPr>
            <w:tcW w:w="1159" w:type="dxa"/>
            <w:vAlign w:val="center"/>
          </w:tcPr>
          <w:p w:rsidR="00E85794" w:rsidRDefault="007349BC">
            <w:pPr>
              <w:jc w:val="center"/>
            </w:pPr>
            <w:r>
              <w:rPr>
                <w:sz w:val="24"/>
                <w:szCs w:val="24"/>
              </w:rPr>
              <w:t>000191</w:t>
            </w:r>
          </w:p>
        </w:tc>
        <w:tc>
          <w:tcPr>
            <w:tcW w:w="1161" w:type="dxa"/>
            <w:vAlign w:val="center"/>
          </w:tcPr>
          <w:p w:rsidR="00E85794" w:rsidRDefault="007349BC">
            <w:pPr>
              <w:jc w:val="center"/>
            </w:pPr>
            <w:r>
              <w:rPr>
                <w:sz w:val="24"/>
                <w:szCs w:val="24"/>
              </w:rPr>
              <w:t>富国信用债债券</w:t>
            </w:r>
            <w:r>
              <w:rPr>
                <w:sz w:val="24"/>
                <w:szCs w:val="24"/>
              </w:rPr>
              <w:t>A</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235,531,991.39</w:t>
            </w:r>
          </w:p>
        </w:tc>
        <w:tc>
          <w:tcPr>
            <w:tcW w:w="1305" w:type="dxa"/>
            <w:vAlign w:val="center"/>
          </w:tcPr>
          <w:p w:rsidR="00E85794" w:rsidRDefault="007349BC">
            <w:pPr>
              <w:jc w:val="center"/>
            </w:pPr>
            <w:r>
              <w:rPr>
                <w:sz w:val="24"/>
                <w:szCs w:val="24"/>
              </w:rPr>
              <w:t>260,427,722.88</w:t>
            </w:r>
          </w:p>
        </w:tc>
        <w:tc>
          <w:tcPr>
            <w:tcW w:w="1161" w:type="dxa"/>
            <w:vAlign w:val="center"/>
          </w:tcPr>
          <w:p w:rsidR="00E85794" w:rsidRDefault="007349BC">
            <w:pPr>
              <w:jc w:val="center"/>
            </w:pPr>
            <w:r>
              <w:rPr>
                <w:sz w:val="24"/>
                <w:szCs w:val="24"/>
              </w:rPr>
              <w:t>6.06</w:t>
            </w:r>
          </w:p>
        </w:tc>
        <w:tc>
          <w:tcPr>
            <w:tcW w:w="1301" w:type="dxa"/>
            <w:vAlign w:val="center"/>
          </w:tcPr>
          <w:p w:rsidR="00E85794" w:rsidRDefault="007349BC">
            <w:pPr>
              <w:jc w:val="center"/>
            </w:pPr>
            <w:r>
              <w:rPr>
                <w:sz w:val="24"/>
                <w:szCs w:val="24"/>
              </w:rPr>
              <w:t>否</w:t>
            </w:r>
          </w:p>
        </w:tc>
      </w:tr>
      <w:tr w:rsidR="00E85794">
        <w:tc>
          <w:tcPr>
            <w:tcW w:w="835" w:type="dxa"/>
            <w:vAlign w:val="center"/>
          </w:tcPr>
          <w:p w:rsidR="00E85794" w:rsidRDefault="007349BC">
            <w:pPr>
              <w:jc w:val="center"/>
            </w:pPr>
            <w:r>
              <w:rPr>
                <w:sz w:val="24"/>
                <w:szCs w:val="24"/>
              </w:rPr>
              <w:t>5</w:t>
            </w:r>
          </w:p>
        </w:tc>
        <w:tc>
          <w:tcPr>
            <w:tcW w:w="1159" w:type="dxa"/>
            <w:vAlign w:val="center"/>
          </w:tcPr>
          <w:p w:rsidR="00E85794" w:rsidRDefault="007349BC">
            <w:pPr>
              <w:jc w:val="center"/>
            </w:pPr>
            <w:r>
              <w:rPr>
                <w:sz w:val="24"/>
                <w:szCs w:val="24"/>
              </w:rPr>
              <w:t>110037</w:t>
            </w:r>
          </w:p>
        </w:tc>
        <w:tc>
          <w:tcPr>
            <w:tcW w:w="1161" w:type="dxa"/>
            <w:vAlign w:val="center"/>
          </w:tcPr>
          <w:p w:rsidR="00E85794" w:rsidRDefault="007349BC">
            <w:pPr>
              <w:jc w:val="center"/>
            </w:pPr>
            <w:r>
              <w:rPr>
                <w:sz w:val="24"/>
                <w:szCs w:val="24"/>
              </w:rPr>
              <w:t>易方达纯债</w:t>
            </w:r>
            <w:r>
              <w:rPr>
                <w:sz w:val="24"/>
                <w:szCs w:val="24"/>
              </w:rPr>
              <w:t>A</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225,554,551.42</w:t>
            </w:r>
          </w:p>
        </w:tc>
        <w:tc>
          <w:tcPr>
            <w:tcW w:w="1305" w:type="dxa"/>
            <w:vAlign w:val="center"/>
          </w:tcPr>
          <w:p w:rsidR="00E85794" w:rsidRDefault="007349BC">
            <w:pPr>
              <w:jc w:val="center"/>
            </w:pPr>
            <w:r>
              <w:rPr>
                <w:sz w:val="24"/>
                <w:szCs w:val="24"/>
              </w:rPr>
              <w:t>252,169,988.49</w:t>
            </w:r>
          </w:p>
        </w:tc>
        <w:tc>
          <w:tcPr>
            <w:tcW w:w="1161" w:type="dxa"/>
            <w:vAlign w:val="center"/>
          </w:tcPr>
          <w:p w:rsidR="00E85794" w:rsidRDefault="007349BC">
            <w:pPr>
              <w:jc w:val="center"/>
            </w:pPr>
            <w:r>
              <w:rPr>
                <w:sz w:val="24"/>
                <w:szCs w:val="24"/>
              </w:rPr>
              <w:t>5.87</w:t>
            </w:r>
          </w:p>
        </w:tc>
        <w:tc>
          <w:tcPr>
            <w:tcW w:w="1301" w:type="dxa"/>
            <w:vAlign w:val="center"/>
          </w:tcPr>
          <w:p w:rsidR="00E85794" w:rsidRDefault="007349BC">
            <w:pPr>
              <w:jc w:val="center"/>
            </w:pPr>
            <w:r>
              <w:rPr>
                <w:sz w:val="24"/>
                <w:szCs w:val="24"/>
              </w:rPr>
              <w:t>否</w:t>
            </w:r>
          </w:p>
        </w:tc>
      </w:tr>
      <w:tr w:rsidR="00E85794">
        <w:tc>
          <w:tcPr>
            <w:tcW w:w="835" w:type="dxa"/>
            <w:vAlign w:val="center"/>
          </w:tcPr>
          <w:p w:rsidR="00E85794" w:rsidRDefault="007349BC">
            <w:pPr>
              <w:jc w:val="center"/>
            </w:pPr>
            <w:r>
              <w:rPr>
                <w:sz w:val="24"/>
                <w:szCs w:val="24"/>
              </w:rPr>
              <w:t>6</w:t>
            </w:r>
          </w:p>
        </w:tc>
        <w:tc>
          <w:tcPr>
            <w:tcW w:w="1159" w:type="dxa"/>
            <w:vAlign w:val="center"/>
          </w:tcPr>
          <w:p w:rsidR="00E85794" w:rsidRDefault="007349BC">
            <w:pPr>
              <w:jc w:val="center"/>
            </w:pPr>
            <w:r>
              <w:rPr>
                <w:sz w:val="24"/>
                <w:szCs w:val="24"/>
              </w:rPr>
              <w:t>519718</w:t>
            </w:r>
          </w:p>
        </w:tc>
        <w:tc>
          <w:tcPr>
            <w:tcW w:w="1161" w:type="dxa"/>
            <w:vAlign w:val="center"/>
          </w:tcPr>
          <w:p w:rsidR="00E85794" w:rsidRDefault="007349BC">
            <w:pPr>
              <w:jc w:val="center"/>
            </w:pPr>
            <w:r>
              <w:rPr>
                <w:sz w:val="24"/>
                <w:szCs w:val="24"/>
              </w:rPr>
              <w:t>交银纯债债券发起</w:t>
            </w:r>
            <w:r>
              <w:rPr>
                <w:sz w:val="24"/>
                <w:szCs w:val="24"/>
              </w:rPr>
              <w:t>A/B</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203,109,031.30</w:t>
            </w:r>
          </w:p>
        </w:tc>
        <w:tc>
          <w:tcPr>
            <w:tcW w:w="1305" w:type="dxa"/>
            <w:vAlign w:val="center"/>
          </w:tcPr>
          <w:p w:rsidR="00E85794" w:rsidRDefault="007349BC">
            <w:pPr>
              <w:jc w:val="center"/>
            </w:pPr>
            <w:r>
              <w:rPr>
                <w:sz w:val="24"/>
                <w:szCs w:val="24"/>
              </w:rPr>
              <w:t>221,795,062.18</w:t>
            </w:r>
          </w:p>
        </w:tc>
        <w:tc>
          <w:tcPr>
            <w:tcW w:w="1161" w:type="dxa"/>
            <w:vAlign w:val="center"/>
          </w:tcPr>
          <w:p w:rsidR="00E85794" w:rsidRDefault="007349BC">
            <w:pPr>
              <w:jc w:val="center"/>
            </w:pPr>
            <w:r>
              <w:rPr>
                <w:sz w:val="24"/>
                <w:szCs w:val="24"/>
              </w:rPr>
              <w:t>5.16</w:t>
            </w:r>
          </w:p>
        </w:tc>
        <w:tc>
          <w:tcPr>
            <w:tcW w:w="1301" w:type="dxa"/>
            <w:vAlign w:val="center"/>
          </w:tcPr>
          <w:p w:rsidR="00E85794" w:rsidRDefault="007349BC">
            <w:pPr>
              <w:jc w:val="center"/>
            </w:pPr>
            <w:r>
              <w:rPr>
                <w:sz w:val="24"/>
                <w:szCs w:val="24"/>
              </w:rPr>
              <w:t>是</w:t>
            </w:r>
          </w:p>
        </w:tc>
      </w:tr>
      <w:tr w:rsidR="00E85794">
        <w:tc>
          <w:tcPr>
            <w:tcW w:w="835" w:type="dxa"/>
            <w:vAlign w:val="center"/>
          </w:tcPr>
          <w:p w:rsidR="00E85794" w:rsidRDefault="007349BC">
            <w:pPr>
              <w:jc w:val="center"/>
            </w:pPr>
            <w:r>
              <w:rPr>
                <w:sz w:val="24"/>
                <w:szCs w:val="24"/>
              </w:rPr>
              <w:t>7</w:t>
            </w:r>
          </w:p>
        </w:tc>
        <w:tc>
          <w:tcPr>
            <w:tcW w:w="1159" w:type="dxa"/>
            <w:vAlign w:val="center"/>
          </w:tcPr>
          <w:p w:rsidR="00E85794" w:rsidRDefault="007349BC">
            <w:pPr>
              <w:jc w:val="center"/>
            </w:pPr>
            <w:r>
              <w:rPr>
                <w:sz w:val="24"/>
                <w:szCs w:val="24"/>
              </w:rPr>
              <w:t>519700</w:t>
            </w:r>
          </w:p>
        </w:tc>
        <w:tc>
          <w:tcPr>
            <w:tcW w:w="1161" w:type="dxa"/>
            <w:vAlign w:val="center"/>
          </w:tcPr>
          <w:p w:rsidR="00E85794" w:rsidRDefault="007349BC">
            <w:pPr>
              <w:jc w:val="center"/>
            </w:pPr>
            <w:r>
              <w:rPr>
                <w:sz w:val="24"/>
                <w:szCs w:val="24"/>
              </w:rPr>
              <w:t>交银主题优选混合</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119,711,138.71</w:t>
            </w:r>
          </w:p>
        </w:tc>
        <w:tc>
          <w:tcPr>
            <w:tcW w:w="1305" w:type="dxa"/>
            <w:vAlign w:val="center"/>
          </w:tcPr>
          <w:p w:rsidR="00E85794" w:rsidRDefault="007349BC">
            <w:pPr>
              <w:jc w:val="center"/>
            </w:pPr>
            <w:r>
              <w:rPr>
                <w:sz w:val="24"/>
                <w:szCs w:val="24"/>
              </w:rPr>
              <w:t>195,967,134.07</w:t>
            </w:r>
          </w:p>
        </w:tc>
        <w:tc>
          <w:tcPr>
            <w:tcW w:w="1161" w:type="dxa"/>
            <w:vAlign w:val="center"/>
          </w:tcPr>
          <w:p w:rsidR="00E85794" w:rsidRDefault="007349BC">
            <w:pPr>
              <w:jc w:val="center"/>
            </w:pPr>
            <w:r>
              <w:rPr>
                <w:sz w:val="24"/>
                <w:szCs w:val="24"/>
              </w:rPr>
              <w:t>4.56</w:t>
            </w:r>
          </w:p>
        </w:tc>
        <w:tc>
          <w:tcPr>
            <w:tcW w:w="1301" w:type="dxa"/>
            <w:vAlign w:val="center"/>
          </w:tcPr>
          <w:p w:rsidR="00E85794" w:rsidRDefault="007349BC">
            <w:pPr>
              <w:jc w:val="center"/>
            </w:pPr>
            <w:r>
              <w:rPr>
                <w:sz w:val="24"/>
                <w:szCs w:val="24"/>
              </w:rPr>
              <w:t>是</w:t>
            </w:r>
          </w:p>
        </w:tc>
      </w:tr>
      <w:tr w:rsidR="00E85794">
        <w:tc>
          <w:tcPr>
            <w:tcW w:w="835" w:type="dxa"/>
            <w:vAlign w:val="center"/>
          </w:tcPr>
          <w:p w:rsidR="00E85794" w:rsidRDefault="007349BC">
            <w:pPr>
              <w:jc w:val="center"/>
            </w:pPr>
            <w:r>
              <w:rPr>
                <w:sz w:val="24"/>
                <w:szCs w:val="24"/>
              </w:rPr>
              <w:t>8</w:t>
            </w:r>
          </w:p>
        </w:tc>
        <w:tc>
          <w:tcPr>
            <w:tcW w:w="1159" w:type="dxa"/>
            <w:vAlign w:val="center"/>
          </w:tcPr>
          <w:p w:rsidR="00E85794" w:rsidRDefault="007349BC">
            <w:pPr>
              <w:jc w:val="center"/>
            </w:pPr>
            <w:r>
              <w:rPr>
                <w:sz w:val="24"/>
                <w:szCs w:val="24"/>
              </w:rPr>
              <w:t>166008</w:t>
            </w:r>
          </w:p>
        </w:tc>
        <w:tc>
          <w:tcPr>
            <w:tcW w:w="1161" w:type="dxa"/>
            <w:vAlign w:val="center"/>
          </w:tcPr>
          <w:p w:rsidR="00E85794" w:rsidRDefault="007349BC">
            <w:pPr>
              <w:jc w:val="center"/>
            </w:pPr>
            <w:r>
              <w:rPr>
                <w:sz w:val="24"/>
                <w:szCs w:val="24"/>
              </w:rPr>
              <w:t>中欧增强回报债券</w:t>
            </w:r>
            <w:r>
              <w:rPr>
                <w:sz w:val="24"/>
                <w:szCs w:val="24"/>
              </w:rPr>
              <w:t>(LOF)A</w:t>
            </w:r>
          </w:p>
        </w:tc>
        <w:tc>
          <w:tcPr>
            <w:tcW w:w="1161" w:type="dxa"/>
            <w:vAlign w:val="center"/>
          </w:tcPr>
          <w:p w:rsidR="00E85794" w:rsidRDefault="007349BC">
            <w:pPr>
              <w:jc w:val="center"/>
            </w:pPr>
            <w:r>
              <w:rPr>
                <w:sz w:val="24"/>
                <w:szCs w:val="24"/>
              </w:rPr>
              <w:t>契约型开放式（</w:t>
            </w:r>
            <w:r>
              <w:rPr>
                <w:sz w:val="24"/>
                <w:szCs w:val="24"/>
              </w:rPr>
              <w:t>LOF</w:t>
            </w:r>
            <w:r>
              <w:rPr>
                <w:sz w:val="24"/>
                <w:szCs w:val="24"/>
              </w:rPr>
              <w:t>）</w:t>
            </w:r>
          </w:p>
        </w:tc>
        <w:tc>
          <w:tcPr>
            <w:tcW w:w="1159" w:type="dxa"/>
            <w:vAlign w:val="center"/>
          </w:tcPr>
          <w:p w:rsidR="00E85794" w:rsidRDefault="007349BC">
            <w:pPr>
              <w:jc w:val="center"/>
            </w:pPr>
            <w:r>
              <w:rPr>
                <w:sz w:val="24"/>
                <w:szCs w:val="24"/>
              </w:rPr>
              <w:t>160,299,233.78</w:t>
            </w:r>
          </w:p>
        </w:tc>
        <w:tc>
          <w:tcPr>
            <w:tcW w:w="1305" w:type="dxa"/>
            <w:vAlign w:val="center"/>
          </w:tcPr>
          <w:p w:rsidR="00E85794" w:rsidRDefault="007349BC">
            <w:pPr>
              <w:jc w:val="center"/>
            </w:pPr>
            <w:r>
              <w:rPr>
                <w:sz w:val="24"/>
                <w:szCs w:val="24"/>
              </w:rPr>
              <w:t>175,207,062.52</w:t>
            </w:r>
          </w:p>
        </w:tc>
        <w:tc>
          <w:tcPr>
            <w:tcW w:w="1161" w:type="dxa"/>
            <w:vAlign w:val="center"/>
          </w:tcPr>
          <w:p w:rsidR="00E85794" w:rsidRDefault="007349BC">
            <w:pPr>
              <w:jc w:val="center"/>
            </w:pPr>
            <w:r>
              <w:rPr>
                <w:sz w:val="24"/>
                <w:szCs w:val="24"/>
              </w:rPr>
              <w:t>4.08</w:t>
            </w:r>
          </w:p>
        </w:tc>
        <w:tc>
          <w:tcPr>
            <w:tcW w:w="1301" w:type="dxa"/>
            <w:vAlign w:val="center"/>
          </w:tcPr>
          <w:p w:rsidR="00E85794" w:rsidRDefault="007349BC">
            <w:pPr>
              <w:jc w:val="center"/>
            </w:pPr>
            <w:r>
              <w:rPr>
                <w:sz w:val="24"/>
                <w:szCs w:val="24"/>
              </w:rPr>
              <w:t>否</w:t>
            </w:r>
          </w:p>
        </w:tc>
      </w:tr>
      <w:tr w:rsidR="00E85794">
        <w:tc>
          <w:tcPr>
            <w:tcW w:w="835" w:type="dxa"/>
            <w:vAlign w:val="center"/>
          </w:tcPr>
          <w:p w:rsidR="00E85794" w:rsidRDefault="007349BC">
            <w:pPr>
              <w:jc w:val="center"/>
            </w:pPr>
            <w:r>
              <w:rPr>
                <w:sz w:val="24"/>
                <w:szCs w:val="24"/>
              </w:rPr>
              <w:t>9</w:t>
            </w:r>
          </w:p>
        </w:tc>
        <w:tc>
          <w:tcPr>
            <w:tcW w:w="1159" w:type="dxa"/>
            <w:vAlign w:val="center"/>
          </w:tcPr>
          <w:p w:rsidR="00E85794" w:rsidRDefault="007349BC">
            <w:pPr>
              <w:jc w:val="center"/>
            </w:pPr>
            <w:r>
              <w:rPr>
                <w:sz w:val="24"/>
                <w:szCs w:val="24"/>
              </w:rPr>
              <w:t>003949</w:t>
            </w:r>
          </w:p>
        </w:tc>
        <w:tc>
          <w:tcPr>
            <w:tcW w:w="1161" w:type="dxa"/>
            <w:vAlign w:val="center"/>
          </w:tcPr>
          <w:p w:rsidR="00E85794" w:rsidRDefault="007349BC">
            <w:pPr>
              <w:jc w:val="center"/>
            </w:pPr>
            <w:r>
              <w:rPr>
                <w:sz w:val="24"/>
                <w:szCs w:val="24"/>
              </w:rPr>
              <w:t>兴全稳泰债券</w:t>
            </w:r>
            <w:r>
              <w:rPr>
                <w:sz w:val="24"/>
                <w:szCs w:val="24"/>
              </w:rPr>
              <w:t>A</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141,187,439.14</w:t>
            </w:r>
          </w:p>
        </w:tc>
        <w:tc>
          <w:tcPr>
            <w:tcW w:w="1305" w:type="dxa"/>
            <w:vAlign w:val="center"/>
          </w:tcPr>
          <w:p w:rsidR="00E85794" w:rsidRDefault="007349BC">
            <w:pPr>
              <w:jc w:val="center"/>
            </w:pPr>
            <w:r>
              <w:rPr>
                <w:sz w:val="24"/>
                <w:szCs w:val="24"/>
              </w:rPr>
              <w:t>145,324,231.11</w:t>
            </w:r>
          </w:p>
        </w:tc>
        <w:tc>
          <w:tcPr>
            <w:tcW w:w="1161" w:type="dxa"/>
            <w:vAlign w:val="center"/>
          </w:tcPr>
          <w:p w:rsidR="00E85794" w:rsidRDefault="007349BC">
            <w:pPr>
              <w:jc w:val="center"/>
            </w:pPr>
            <w:r>
              <w:rPr>
                <w:sz w:val="24"/>
                <w:szCs w:val="24"/>
              </w:rPr>
              <w:t>3.38</w:t>
            </w:r>
          </w:p>
        </w:tc>
        <w:tc>
          <w:tcPr>
            <w:tcW w:w="1301" w:type="dxa"/>
            <w:vAlign w:val="center"/>
          </w:tcPr>
          <w:p w:rsidR="00E85794" w:rsidRDefault="007349BC">
            <w:pPr>
              <w:jc w:val="center"/>
            </w:pPr>
            <w:r>
              <w:rPr>
                <w:sz w:val="24"/>
                <w:szCs w:val="24"/>
              </w:rPr>
              <w:t>否</w:t>
            </w:r>
          </w:p>
        </w:tc>
      </w:tr>
      <w:tr w:rsidR="00E85794">
        <w:tc>
          <w:tcPr>
            <w:tcW w:w="835" w:type="dxa"/>
            <w:vAlign w:val="center"/>
          </w:tcPr>
          <w:p w:rsidR="00E85794" w:rsidRDefault="007349BC">
            <w:pPr>
              <w:jc w:val="center"/>
            </w:pPr>
            <w:r>
              <w:rPr>
                <w:sz w:val="24"/>
                <w:szCs w:val="24"/>
              </w:rPr>
              <w:lastRenderedPageBreak/>
              <w:t>10</w:t>
            </w:r>
          </w:p>
        </w:tc>
        <w:tc>
          <w:tcPr>
            <w:tcW w:w="1159" w:type="dxa"/>
            <w:vAlign w:val="center"/>
          </w:tcPr>
          <w:p w:rsidR="00E85794" w:rsidRDefault="007349BC">
            <w:pPr>
              <w:jc w:val="center"/>
            </w:pPr>
            <w:r>
              <w:rPr>
                <w:sz w:val="24"/>
                <w:szCs w:val="24"/>
              </w:rPr>
              <w:t>217022</w:t>
            </w:r>
          </w:p>
        </w:tc>
        <w:tc>
          <w:tcPr>
            <w:tcW w:w="1161" w:type="dxa"/>
            <w:vAlign w:val="center"/>
          </w:tcPr>
          <w:p w:rsidR="00E85794" w:rsidRDefault="007349BC">
            <w:pPr>
              <w:jc w:val="center"/>
            </w:pPr>
            <w:r>
              <w:rPr>
                <w:sz w:val="24"/>
                <w:szCs w:val="24"/>
              </w:rPr>
              <w:t>招商产业债券</w:t>
            </w:r>
            <w:r>
              <w:rPr>
                <w:sz w:val="24"/>
                <w:szCs w:val="24"/>
              </w:rPr>
              <w:t>A</w:t>
            </w:r>
          </w:p>
        </w:tc>
        <w:tc>
          <w:tcPr>
            <w:tcW w:w="1161" w:type="dxa"/>
            <w:vAlign w:val="center"/>
          </w:tcPr>
          <w:p w:rsidR="00E85794" w:rsidRDefault="007349BC">
            <w:pPr>
              <w:jc w:val="center"/>
            </w:pPr>
            <w:r>
              <w:rPr>
                <w:sz w:val="24"/>
                <w:szCs w:val="24"/>
              </w:rPr>
              <w:t>契约型开放式</w:t>
            </w:r>
          </w:p>
        </w:tc>
        <w:tc>
          <w:tcPr>
            <w:tcW w:w="1159" w:type="dxa"/>
            <w:vAlign w:val="center"/>
          </w:tcPr>
          <w:p w:rsidR="00E85794" w:rsidRDefault="007349BC">
            <w:pPr>
              <w:jc w:val="center"/>
            </w:pPr>
            <w:r>
              <w:rPr>
                <w:sz w:val="24"/>
                <w:szCs w:val="24"/>
              </w:rPr>
              <w:t>70,038,902.32</w:t>
            </w:r>
          </w:p>
        </w:tc>
        <w:tc>
          <w:tcPr>
            <w:tcW w:w="1305" w:type="dxa"/>
            <w:vAlign w:val="center"/>
          </w:tcPr>
          <w:p w:rsidR="00E85794" w:rsidRDefault="007349BC">
            <w:pPr>
              <w:jc w:val="center"/>
            </w:pPr>
            <w:r>
              <w:rPr>
                <w:sz w:val="24"/>
                <w:szCs w:val="24"/>
              </w:rPr>
              <w:t>104,638,120.07</w:t>
            </w:r>
          </w:p>
        </w:tc>
        <w:tc>
          <w:tcPr>
            <w:tcW w:w="1161" w:type="dxa"/>
            <w:vAlign w:val="center"/>
          </w:tcPr>
          <w:p w:rsidR="00E85794" w:rsidRDefault="007349BC">
            <w:pPr>
              <w:jc w:val="center"/>
            </w:pPr>
            <w:r>
              <w:rPr>
                <w:sz w:val="24"/>
                <w:szCs w:val="24"/>
              </w:rPr>
              <w:t>2.44</w:t>
            </w:r>
          </w:p>
        </w:tc>
        <w:tc>
          <w:tcPr>
            <w:tcW w:w="1301" w:type="dxa"/>
            <w:vAlign w:val="center"/>
          </w:tcPr>
          <w:p w:rsidR="00E85794" w:rsidRDefault="007349BC">
            <w:pPr>
              <w:jc w:val="center"/>
            </w:pPr>
            <w:r>
              <w:rPr>
                <w:sz w:val="24"/>
                <w:szCs w:val="24"/>
              </w:rPr>
              <w:t>否</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firstRow="1" w:lastRow="0" w:firstColumn="1" w:lastColumn="0" w:noHBand="0" w:noVBand="1"/>
      </w:tblPr>
      <w:tblGrid>
        <w:gridCol w:w="3012"/>
        <w:gridCol w:w="3012"/>
        <w:gridCol w:w="3012"/>
      </w:tblGrid>
      <w:tr w:rsidR="004046D7" w:rsidRPr="00575270" w:rsidTr="00B32CA0">
        <w:tc>
          <w:tcPr>
            <w:tcW w:w="3012" w:type="dxa"/>
            <w:vAlign w:val="center"/>
          </w:tcPr>
          <w:p w:rsidR="004046D7" w:rsidRPr="00575270" w:rsidRDefault="004046D7" w:rsidP="00374293">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本期费用</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r w:rsidR="004C4960" w:rsidRPr="00575270">
              <w:rPr>
                <w:sz w:val="24"/>
                <w:szCs w:val="24"/>
              </w:rPr>
              <w:t>（元）</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22,500.00</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531,820.14</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123,155.74</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64,695.44</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4,740,951.43</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2,247,195.85</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1,190,420.29</w:t>
            </w:r>
          </w:p>
        </w:tc>
        <w:tc>
          <w:tcPr>
            <w:tcW w:w="3012" w:type="dxa"/>
            <w:vAlign w:val="center"/>
          </w:tcPr>
          <w:p w:rsidR="004046D7" w:rsidRPr="00575270" w:rsidRDefault="002A59D7" w:rsidP="00B32CA0">
            <w:pPr>
              <w:adjustRightInd w:val="0"/>
              <w:snapToGrid w:val="0"/>
              <w:spacing w:beforeLines="50" w:before="156" w:line="276" w:lineRule="auto"/>
              <w:jc w:val="right"/>
              <w:rPr>
                <w:rFonts w:eastAsiaTheme="minorEastAsia"/>
                <w:color w:val="000000" w:themeColor="text1"/>
                <w:sz w:val="24"/>
                <w:szCs w:val="24"/>
              </w:rPr>
            </w:pPr>
            <w:r w:rsidRPr="002A59D7">
              <w:rPr>
                <w:rFonts w:eastAsiaTheme="minorEastAsia"/>
                <w:color w:val="000000" w:themeColor="text1"/>
                <w:sz w:val="24"/>
                <w:szCs w:val="24"/>
              </w:rPr>
              <w:t>610,254.08</w:t>
            </w:r>
            <w:bookmarkStart w:id="0" w:name="_GoBack"/>
            <w:bookmarkEnd w:id="0"/>
          </w:p>
        </w:tc>
      </w:tr>
    </w:tbl>
    <w:p w:rsidR="00E85794" w:rsidRDefault="007349BC">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R="004046D7" w:rsidRDefault="004046D7" w:rsidP="004046D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575270">
        <w:rPr>
          <w:rFonts w:eastAsiaTheme="minorEastAsia"/>
          <w:color w:val="000000" w:themeColor="text1"/>
          <w:sz w:val="24"/>
          <w:szCs w:val="24"/>
        </w:rPr>
        <w:t>ETF</w:t>
      </w:r>
      <w:r w:rsidRPr="00575270">
        <w:rPr>
          <w:rFonts w:eastAsiaTheme="minorEastAsia"/>
          <w:color w:val="000000" w:themeColor="text1"/>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lastRenderedPageBreak/>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2,341,735,333.95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1,734,660,444.25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4,076,395,778.20</w:t>
            </w:r>
          </w:p>
        </w:tc>
      </w:tr>
    </w:tbl>
    <w:p w:rsidR="00E85794" w:rsidRDefault="007349B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85794" w:rsidRDefault="007349B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、中国证监会准予交银施罗德安享稳健养老目标一年持有期混合型基金中基金（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、《交银施罗德安享稳健养老目标一年持有期混合型基金中基金（</w:t>
      </w:r>
      <w:r>
        <w:rPr>
          <w:color w:val="000000"/>
          <w:sz w:val="24"/>
          <w:szCs w:val="24"/>
        </w:rPr>
        <w:t>FOF</w:t>
      </w:r>
      <w:r>
        <w:rPr>
          <w:color w:val="000000"/>
          <w:sz w:val="24"/>
          <w:szCs w:val="24"/>
        </w:rPr>
        <w:t>）基金合同》；</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、《交银施罗德安享稳健养老目标一年持有期混合型基金中基金（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、《交银施罗德安享稳健养老目标一年持有期混合型基金中基金（</w:t>
      </w:r>
      <w:r>
        <w:rPr>
          <w:color w:val="000000"/>
          <w:sz w:val="24"/>
          <w:szCs w:val="24"/>
        </w:rPr>
        <w:t>FOF</w:t>
      </w:r>
      <w:r>
        <w:rPr>
          <w:color w:val="000000"/>
          <w:sz w:val="24"/>
          <w:szCs w:val="24"/>
        </w:rPr>
        <w:t>）托管协议》；</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、关于申请募集注册交银施罗德安享稳健养老目标一年持有期混合型基金中基金（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E85794" w:rsidRDefault="007349B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、报告期内交银施罗德安享稳健养老目标一年持有期混合型基金中基金（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85794" w:rsidRDefault="007349B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BC" w:rsidRDefault="007349BC" w:rsidP="00876D65">
      <w:r>
        <w:separator/>
      </w:r>
    </w:p>
  </w:endnote>
  <w:endnote w:type="continuationSeparator" w:id="0">
    <w:p w:rsidR="007349BC" w:rsidRDefault="007349B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A59D7">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A59D7">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BC" w:rsidRDefault="007349BC" w:rsidP="00876D65">
      <w:r>
        <w:separator/>
      </w:r>
    </w:p>
  </w:footnote>
  <w:footnote w:type="continuationSeparator" w:id="0">
    <w:p w:rsidR="007349BC" w:rsidRDefault="007349B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交银施罗德安享稳健养老目标一年持有期混合型基金中基金（</w:t>
    </w:r>
    <w:r w:rsidRPr="003E676C">
      <w:rPr>
        <w:sz w:val="24"/>
        <w:szCs w:val="24"/>
      </w:rPr>
      <w:t>FOF</w:t>
    </w:r>
    <w:r w:rsidRPr="003E676C">
      <w:rPr>
        <w:sz w:val="24"/>
        <w:szCs w:val="24"/>
      </w:rPr>
      <w:t>）</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59D7"/>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49BC"/>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794"/>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E495-1BB7-4EDD-A646-5E8CAA9A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14</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605</cp:revision>
  <dcterms:created xsi:type="dcterms:W3CDTF">2012-10-16T06:07:00Z</dcterms:created>
  <dcterms:modified xsi:type="dcterms:W3CDTF">2020-04-17T08:27:00Z</dcterms:modified>
</cp:coreProperties>
</file>