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5,350,326,814.45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5,350,326,814.45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49,062,029.66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115,674,624.49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5,601,517,015.79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8405E9" w:rsidRDefault="00D803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8405E9" w:rsidRDefault="00D803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405E9">
        <w:trPr>
          <w:jc w:val="center"/>
        </w:trPr>
        <w:tc>
          <w:tcPr>
            <w:tcW w:w="1266" w:type="dxa"/>
            <w:vAlign w:val="center"/>
          </w:tcPr>
          <w:p w:rsidR="008405E9" w:rsidRDefault="00D803F5">
            <w:pPr>
              <w:jc w:val="left"/>
            </w:pPr>
            <w:r>
              <w:rPr>
                <w:color w:val="000000"/>
                <w:sz w:val="24"/>
              </w:rPr>
              <w:t>过去三个月</w:t>
            </w:r>
          </w:p>
        </w:tc>
        <w:tc>
          <w:tcPr>
            <w:tcW w:w="1267" w:type="dxa"/>
            <w:vAlign w:val="center"/>
          </w:tcPr>
          <w:p w:rsidR="008405E9" w:rsidRDefault="00D803F5">
            <w:pPr>
              <w:jc w:val="center"/>
            </w:pPr>
            <w:r>
              <w:rPr>
                <w:color w:val="000000"/>
                <w:sz w:val="24"/>
              </w:rPr>
              <w:t>2.09%</w:t>
            </w:r>
          </w:p>
        </w:tc>
        <w:tc>
          <w:tcPr>
            <w:tcW w:w="1267" w:type="dxa"/>
            <w:vAlign w:val="center"/>
          </w:tcPr>
          <w:p w:rsidR="008405E9" w:rsidRDefault="00D803F5">
            <w:pPr>
              <w:jc w:val="center"/>
            </w:pPr>
            <w:r>
              <w:rPr>
                <w:color w:val="000000"/>
                <w:sz w:val="24"/>
              </w:rPr>
              <w:t>0.07%</w:t>
            </w:r>
          </w:p>
        </w:tc>
        <w:tc>
          <w:tcPr>
            <w:tcW w:w="1267" w:type="dxa"/>
            <w:vAlign w:val="center"/>
          </w:tcPr>
          <w:p w:rsidR="008405E9" w:rsidRDefault="00D803F5">
            <w:pPr>
              <w:jc w:val="center"/>
            </w:pPr>
            <w:r>
              <w:rPr>
                <w:color w:val="000000"/>
                <w:sz w:val="24"/>
              </w:rPr>
              <w:t>1.85%</w:t>
            </w:r>
          </w:p>
        </w:tc>
        <w:tc>
          <w:tcPr>
            <w:tcW w:w="1267" w:type="dxa"/>
            <w:vAlign w:val="center"/>
          </w:tcPr>
          <w:p w:rsidR="008405E9" w:rsidRDefault="00D803F5">
            <w:pPr>
              <w:jc w:val="center"/>
            </w:pPr>
            <w:r>
              <w:rPr>
                <w:color w:val="000000"/>
                <w:sz w:val="24"/>
              </w:rPr>
              <w:t>0.10%</w:t>
            </w:r>
          </w:p>
        </w:tc>
        <w:tc>
          <w:tcPr>
            <w:tcW w:w="1267" w:type="dxa"/>
            <w:vAlign w:val="center"/>
          </w:tcPr>
          <w:p w:rsidR="008405E9" w:rsidRDefault="00D803F5">
            <w:pPr>
              <w:jc w:val="center"/>
            </w:pPr>
            <w:r>
              <w:rPr>
                <w:color w:val="000000"/>
                <w:sz w:val="24"/>
              </w:rPr>
              <w:t>0.24%</w:t>
            </w:r>
          </w:p>
        </w:tc>
        <w:tc>
          <w:tcPr>
            <w:tcW w:w="1267" w:type="dxa"/>
            <w:vAlign w:val="center"/>
          </w:tcPr>
          <w:p w:rsidR="008405E9" w:rsidRDefault="00D803F5">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405E9">
        <w:trPr>
          <w:jc w:val="center"/>
        </w:trPr>
        <w:tc>
          <w:tcPr>
            <w:tcW w:w="1266" w:type="dxa"/>
            <w:vAlign w:val="center"/>
          </w:tcPr>
          <w:p w:rsidR="008405E9" w:rsidRDefault="00D803F5">
            <w:pPr>
              <w:jc w:val="left"/>
            </w:pPr>
            <w:r>
              <w:rPr>
                <w:color w:val="000000"/>
                <w:sz w:val="24"/>
              </w:rPr>
              <w:t>过去三个月</w:t>
            </w:r>
          </w:p>
        </w:tc>
        <w:tc>
          <w:tcPr>
            <w:tcW w:w="1267" w:type="dxa"/>
            <w:vAlign w:val="center"/>
          </w:tcPr>
          <w:p w:rsidR="008405E9" w:rsidRDefault="00D803F5">
            <w:pPr>
              <w:jc w:val="center"/>
            </w:pPr>
            <w:r>
              <w:rPr>
                <w:color w:val="000000"/>
                <w:sz w:val="24"/>
              </w:rPr>
              <w:t>-</w:t>
            </w:r>
          </w:p>
        </w:tc>
        <w:tc>
          <w:tcPr>
            <w:tcW w:w="1267" w:type="dxa"/>
            <w:vAlign w:val="center"/>
          </w:tcPr>
          <w:p w:rsidR="008405E9" w:rsidRDefault="00D803F5">
            <w:pPr>
              <w:jc w:val="center"/>
            </w:pPr>
            <w:r>
              <w:rPr>
                <w:color w:val="000000"/>
                <w:sz w:val="24"/>
              </w:rPr>
              <w:t>-</w:t>
            </w:r>
          </w:p>
        </w:tc>
        <w:tc>
          <w:tcPr>
            <w:tcW w:w="1267" w:type="dxa"/>
            <w:vAlign w:val="center"/>
          </w:tcPr>
          <w:p w:rsidR="008405E9" w:rsidRDefault="00D803F5">
            <w:pPr>
              <w:jc w:val="center"/>
            </w:pPr>
            <w:r>
              <w:rPr>
                <w:color w:val="000000"/>
                <w:sz w:val="24"/>
              </w:rPr>
              <w:t>-</w:t>
            </w:r>
          </w:p>
        </w:tc>
        <w:tc>
          <w:tcPr>
            <w:tcW w:w="1267" w:type="dxa"/>
            <w:vAlign w:val="center"/>
          </w:tcPr>
          <w:p w:rsidR="008405E9" w:rsidRDefault="00D803F5">
            <w:pPr>
              <w:jc w:val="center"/>
            </w:pPr>
            <w:r>
              <w:rPr>
                <w:color w:val="000000"/>
                <w:sz w:val="24"/>
              </w:rPr>
              <w:t>-</w:t>
            </w:r>
          </w:p>
        </w:tc>
        <w:tc>
          <w:tcPr>
            <w:tcW w:w="1267" w:type="dxa"/>
            <w:vAlign w:val="center"/>
          </w:tcPr>
          <w:p w:rsidR="008405E9" w:rsidRDefault="00D803F5">
            <w:pPr>
              <w:jc w:val="center"/>
            </w:pPr>
            <w:r>
              <w:rPr>
                <w:color w:val="000000"/>
                <w:sz w:val="24"/>
              </w:rPr>
              <w:t>-</w:t>
            </w:r>
          </w:p>
        </w:tc>
        <w:tc>
          <w:tcPr>
            <w:tcW w:w="1267" w:type="dxa"/>
            <w:vAlign w:val="center"/>
          </w:tcPr>
          <w:p w:rsidR="008405E9" w:rsidRDefault="00D803F5">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405E9">
        <w:trPr>
          <w:jc w:val="center"/>
        </w:trPr>
        <w:tc>
          <w:tcPr>
            <w:tcW w:w="946" w:type="dxa"/>
            <w:vAlign w:val="center"/>
          </w:tcPr>
          <w:p w:rsidR="008405E9" w:rsidRDefault="00D803F5">
            <w:pPr>
              <w:jc w:val="center"/>
            </w:pPr>
            <w:r>
              <w:rPr>
                <w:color w:val="000000"/>
                <w:sz w:val="24"/>
              </w:rPr>
              <w:t>于海颖</w:t>
            </w:r>
          </w:p>
        </w:tc>
        <w:tc>
          <w:tcPr>
            <w:tcW w:w="924" w:type="dxa"/>
            <w:vAlign w:val="center"/>
          </w:tcPr>
          <w:p w:rsidR="008405E9" w:rsidRDefault="00D803F5">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02" w:type="dxa"/>
            <w:vAlign w:val="center"/>
          </w:tcPr>
          <w:p w:rsidR="008405E9" w:rsidRDefault="00D803F5">
            <w:pPr>
              <w:jc w:val="center"/>
            </w:pPr>
            <w:r>
              <w:rPr>
                <w:color w:val="000000"/>
                <w:sz w:val="24"/>
              </w:rPr>
              <w:t>2018-05-25</w:t>
            </w:r>
          </w:p>
        </w:tc>
        <w:tc>
          <w:tcPr>
            <w:tcW w:w="1300" w:type="dxa"/>
            <w:vAlign w:val="center"/>
          </w:tcPr>
          <w:p w:rsidR="008405E9" w:rsidRDefault="00D803F5">
            <w:pPr>
              <w:jc w:val="center"/>
            </w:pPr>
            <w:r>
              <w:rPr>
                <w:color w:val="000000"/>
                <w:sz w:val="24"/>
              </w:rPr>
              <w:t>-</w:t>
            </w:r>
          </w:p>
        </w:tc>
        <w:tc>
          <w:tcPr>
            <w:tcW w:w="1245" w:type="dxa"/>
            <w:vAlign w:val="center"/>
          </w:tcPr>
          <w:p w:rsidR="008405E9" w:rsidRDefault="00D803F5">
            <w:pPr>
              <w:jc w:val="center"/>
            </w:pPr>
            <w:r>
              <w:rPr>
                <w:color w:val="000000"/>
                <w:sz w:val="24"/>
              </w:rPr>
              <w:t>14</w:t>
            </w:r>
            <w:r>
              <w:rPr>
                <w:color w:val="000000"/>
                <w:sz w:val="24"/>
              </w:rPr>
              <w:t>年</w:t>
            </w:r>
          </w:p>
        </w:tc>
        <w:tc>
          <w:tcPr>
            <w:tcW w:w="3251" w:type="dxa"/>
            <w:vAlign w:val="center"/>
          </w:tcPr>
          <w:p w:rsidR="008405E9" w:rsidRDefault="00D803F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w:t>
            </w:r>
            <w:r>
              <w:rPr>
                <w:color w:val="000000"/>
                <w:sz w:val="24"/>
              </w:rPr>
              <w:t>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w:t>
            </w:r>
            <w:r>
              <w:rPr>
                <w:color w:val="000000"/>
                <w:sz w:val="24"/>
              </w:rPr>
              <w:t>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w:t>
            </w:r>
            <w:r>
              <w:rPr>
                <w:color w:val="000000"/>
                <w:sz w:val="24"/>
              </w:rPr>
              <w:t>券投资基金、转型前的交银施罗德荣鑫保本混合型证券投资基金、转型前的交银施罗德荣祥保本混合型证券投资基金的基金经理。</w:t>
            </w:r>
          </w:p>
        </w:tc>
      </w:tr>
      <w:tr w:rsidR="008405E9">
        <w:trPr>
          <w:jc w:val="center"/>
        </w:trPr>
        <w:tc>
          <w:tcPr>
            <w:tcW w:w="946" w:type="dxa"/>
            <w:vAlign w:val="center"/>
          </w:tcPr>
          <w:p w:rsidR="008405E9" w:rsidRDefault="00D803F5">
            <w:pPr>
              <w:jc w:val="center"/>
            </w:pPr>
            <w:r>
              <w:rPr>
                <w:color w:val="000000"/>
                <w:sz w:val="24"/>
              </w:rPr>
              <w:t>魏玉敏</w:t>
            </w:r>
          </w:p>
        </w:tc>
        <w:tc>
          <w:tcPr>
            <w:tcW w:w="924" w:type="dxa"/>
            <w:vAlign w:val="center"/>
          </w:tcPr>
          <w:p w:rsidR="008405E9" w:rsidRDefault="00D803F5">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8405E9" w:rsidRDefault="00D803F5">
            <w:pPr>
              <w:jc w:val="center"/>
            </w:pPr>
            <w:r>
              <w:rPr>
                <w:color w:val="000000"/>
                <w:sz w:val="24"/>
              </w:rPr>
              <w:t>2018-08-29</w:t>
            </w:r>
          </w:p>
        </w:tc>
        <w:tc>
          <w:tcPr>
            <w:tcW w:w="1300" w:type="dxa"/>
            <w:vAlign w:val="center"/>
          </w:tcPr>
          <w:p w:rsidR="008405E9" w:rsidRDefault="00D803F5">
            <w:pPr>
              <w:jc w:val="center"/>
            </w:pPr>
            <w:r>
              <w:rPr>
                <w:color w:val="000000"/>
                <w:sz w:val="24"/>
              </w:rPr>
              <w:t>-</w:t>
            </w:r>
          </w:p>
        </w:tc>
        <w:tc>
          <w:tcPr>
            <w:tcW w:w="1245" w:type="dxa"/>
            <w:vAlign w:val="center"/>
          </w:tcPr>
          <w:p w:rsidR="008405E9" w:rsidRDefault="00D803F5">
            <w:pPr>
              <w:jc w:val="center"/>
            </w:pPr>
            <w:r>
              <w:rPr>
                <w:color w:val="000000"/>
                <w:sz w:val="24"/>
              </w:rPr>
              <w:t>8</w:t>
            </w:r>
            <w:r>
              <w:rPr>
                <w:color w:val="000000"/>
                <w:sz w:val="24"/>
              </w:rPr>
              <w:t>年</w:t>
            </w:r>
          </w:p>
        </w:tc>
        <w:tc>
          <w:tcPr>
            <w:tcW w:w="3251" w:type="dxa"/>
            <w:vAlign w:val="center"/>
          </w:tcPr>
          <w:p w:rsidR="008405E9" w:rsidRDefault="00D803F5">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405E9" w:rsidRDefault="00D803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405E9" w:rsidRDefault="00D803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405E9" w:rsidRDefault="00D803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405E9" w:rsidRDefault="00D803F5">
      <w:pPr>
        <w:spacing w:before="29" w:line="288" w:lineRule="auto"/>
        <w:ind w:firstLineChars="200" w:firstLine="480"/>
        <w:rPr>
          <w:color w:val="000000"/>
          <w:sz w:val="24"/>
        </w:rPr>
      </w:pPr>
      <w:r>
        <w:rPr>
          <w:color w:val="000000"/>
          <w:sz w:val="24"/>
        </w:rPr>
        <w:t>2020</w:t>
      </w:r>
      <w:r>
        <w:rPr>
          <w:color w:val="000000"/>
          <w:sz w:val="24"/>
        </w:rPr>
        <w:t>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w:t>
      </w:r>
      <w:r>
        <w:rPr>
          <w:color w:val="000000"/>
          <w:sz w:val="24"/>
        </w:rPr>
        <w:t>春节后央行下调逆回购利率</w:t>
      </w:r>
      <w:r>
        <w:rPr>
          <w:color w:val="000000"/>
          <w:sz w:val="24"/>
        </w:rPr>
        <w:t>10bp</w:t>
      </w:r>
      <w:r>
        <w:rPr>
          <w:color w:val="000000"/>
          <w:sz w:val="24"/>
        </w:rPr>
        <w:t>，长端利率大幅下行，悲观情绪快速释放，此后随着国内疫情防控显效，政策也开始加强企业复工，债市转向震荡。进入二月下旬，海外疫情加速扩散，三月初美联储紧急降息</w:t>
      </w:r>
      <w:r>
        <w:rPr>
          <w:color w:val="000000"/>
          <w:sz w:val="24"/>
        </w:rPr>
        <w:t>50bp</w:t>
      </w:r>
      <w:r>
        <w:rPr>
          <w:color w:val="000000"/>
          <w:sz w:val="24"/>
        </w:rPr>
        <w:t>后引发全球宽松预期，风险资产快速受到冲击，债券利率进一步向下突破。</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日起，海外流动性危机显现，全球美元流动性紧张情况下，外资抛压对中国债市带来阶段性的调整，收益率小幅上行。</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日美联储紧急降息</w:t>
      </w:r>
      <w:r>
        <w:rPr>
          <w:color w:val="000000"/>
          <w:sz w:val="24"/>
        </w:rPr>
        <w:t>100bp</w:t>
      </w:r>
      <w:r>
        <w:rPr>
          <w:color w:val="000000"/>
          <w:sz w:val="24"/>
        </w:rPr>
        <w:t>，随后密集推出流动性工具、开启无限量</w:t>
      </w:r>
      <w:r>
        <w:rPr>
          <w:color w:val="000000"/>
          <w:sz w:val="24"/>
        </w:rPr>
        <w:t>QE</w:t>
      </w:r>
      <w:r>
        <w:rPr>
          <w:color w:val="000000"/>
          <w:sz w:val="24"/>
        </w:rPr>
        <w:t>等，市场的流动性紧张形势得到缓解，国内债市收益率</w:t>
      </w:r>
      <w:r>
        <w:rPr>
          <w:color w:val="000000"/>
          <w:sz w:val="24"/>
        </w:rPr>
        <w:t>在降息预期影响下重回下行通道。</w:t>
      </w:r>
    </w:p>
    <w:p w:rsidR="008405E9" w:rsidRDefault="00D803F5">
      <w:pPr>
        <w:spacing w:before="29" w:line="288" w:lineRule="auto"/>
        <w:ind w:firstLineChars="200" w:firstLine="480"/>
        <w:rPr>
          <w:color w:val="000000"/>
          <w:sz w:val="24"/>
        </w:rPr>
      </w:pPr>
      <w:r>
        <w:rPr>
          <w:color w:val="000000"/>
          <w:sz w:val="24"/>
        </w:rPr>
        <w:t>报告期内，基于对宏观经济的判断，结合市场收益率曲线形态变动调整了组合久期配置，组合以中短期利率债为主要配置，通过久期选择和精选个券，为组合增厚收益。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组合将继续关注市场情况，适时进行组合个券调仓，结合市场情况，灵活调整组合久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6,714,116,000.00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6,714,116,000.00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2,504,067.54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134,090,691.34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6,850,710,758.88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6,714,116,000.00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6,714,116,000.00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6,714,116,000.00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405E9">
        <w:trPr>
          <w:jc w:val="center"/>
        </w:trPr>
        <w:tc>
          <w:tcPr>
            <w:tcW w:w="1075" w:type="dxa"/>
            <w:vAlign w:val="center"/>
          </w:tcPr>
          <w:p w:rsidR="008405E9" w:rsidRDefault="00D803F5">
            <w:pPr>
              <w:jc w:val="center"/>
            </w:pPr>
            <w:r>
              <w:rPr>
                <w:color w:val="000000"/>
                <w:sz w:val="24"/>
              </w:rPr>
              <w:t>1</w:t>
            </w:r>
          </w:p>
        </w:tc>
        <w:tc>
          <w:tcPr>
            <w:tcW w:w="1533" w:type="dxa"/>
            <w:vAlign w:val="center"/>
          </w:tcPr>
          <w:p w:rsidR="008405E9" w:rsidRDefault="00D803F5">
            <w:pPr>
              <w:jc w:val="center"/>
            </w:pPr>
            <w:r>
              <w:rPr>
                <w:color w:val="000000"/>
                <w:sz w:val="24"/>
              </w:rPr>
              <w:t>180212</w:t>
            </w:r>
          </w:p>
        </w:tc>
        <w:tc>
          <w:tcPr>
            <w:tcW w:w="1533" w:type="dxa"/>
            <w:vAlign w:val="center"/>
          </w:tcPr>
          <w:p w:rsidR="008405E9" w:rsidRDefault="00D803F5">
            <w:pPr>
              <w:jc w:val="center"/>
            </w:pPr>
            <w:r>
              <w:rPr>
                <w:color w:val="000000"/>
                <w:sz w:val="24"/>
              </w:rPr>
              <w:t>18</w:t>
            </w:r>
            <w:r>
              <w:rPr>
                <w:color w:val="000000"/>
                <w:sz w:val="24"/>
              </w:rPr>
              <w:t>国开</w:t>
            </w:r>
            <w:r>
              <w:rPr>
                <w:color w:val="000000"/>
                <w:sz w:val="24"/>
              </w:rPr>
              <w:t>12</w:t>
            </w:r>
          </w:p>
        </w:tc>
        <w:tc>
          <w:tcPr>
            <w:tcW w:w="1394" w:type="dxa"/>
            <w:vAlign w:val="center"/>
          </w:tcPr>
          <w:p w:rsidR="008405E9" w:rsidRDefault="00D803F5">
            <w:pPr>
              <w:jc w:val="right"/>
            </w:pPr>
            <w:r>
              <w:rPr>
                <w:color w:val="000000"/>
                <w:sz w:val="24"/>
              </w:rPr>
              <w:t>10,000,000</w:t>
            </w:r>
          </w:p>
        </w:tc>
        <w:tc>
          <w:tcPr>
            <w:tcW w:w="1944" w:type="dxa"/>
            <w:vAlign w:val="center"/>
          </w:tcPr>
          <w:p w:rsidR="008405E9" w:rsidRDefault="00D803F5">
            <w:pPr>
              <w:jc w:val="right"/>
            </w:pPr>
            <w:r>
              <w:rPr>
                <w:color w:val="000000"/>
                <w:sz w:val="24"/>
              </w:rPr>
              <w:t>1,021,800,000.00</w:t>
            </w:r>
          </w:p>
        </w:tc>
        <w:tc>
          <w:tcPr>
            <w:tcW w:w="1389" w:type="dxa"/>
            <w:vAlign w:val="center"/>
          </w:tcPr>
          <w:p w:rsidR="008405E9" w:rsidRDefault="00D803F5">
            <w:pPr>
              <w:jc w:val="right"/>
            </w:pPr>
            <w:r>
              <w:rPr>
                <w:color w:val="000000"/>
                <w:sz w:val="24"/>
              </w:rPr>
              <w:t>18.24</w:t>
            </w:r>
          </w:p>
        </w:tc>
      </w:tr>
      <w:tr w:rsidR="008405E9">
        <w:trPr>
          <w:jc w:val="center"/>
        </w:trPr>
        <w:tc>
          <w:tcPr>
            <w:tcW w:w="1075" w:type="dxa"/>
            <w:vAlign w:val="center"/>
          </w:tcPr>
          <w:p w:rsidR="008405E9" w:rsidRDefault="00D803F5">
            <w:pPr>
              <w:jc w:val="center"/>
            </w:pPr>
            <w:r>
              <w:rPr>
                <w:color w:val="000000"/>
                <w:sz w:val="24"/>
              </w:rPr>
              <w:t>2</w:t>
            </w:r>
          </w:p>
        </w:tc>
        <w:tc>
          <w:tcPr>
            <w:tcW w:w="1533" w:type="dxa"/>
            <w:vAlign w:val="center"/>
          </w:tcPr>
          <w:p w:rsidR="008405E9" w:rsidRDefault="00D803F5">
            <w:pPr>
              <w:jc w:val="center"/>
            </w:pPr>
            <w:r>
              <w:rPr>
                <w:color w:val="000000"/>
                <w:sz w:val="24"/>
              </w:rPr>
              <w:t>180208</w:t>
            </w:r>
          </w:p>
        </w:tc>
        <w:tc>
          <w:tcPr>
            <w:tcW w:w="1533" w:type="dxa"/>
            <w:vAlign w:val="center"/>
          </w:tcPr>
          <w:p w:rsidR="008405E9" w:rsidRDefault="00D803F5">
            <w:pPr>
              <w:jc w:val="center"/>
            </w:pPr>
            <w:r>
              <w:rPr>
                <w:color w:val="000000"/>
                <w:sz w:val="24"/>
              </w:rPr>
              <w:t>18</w:t>
            </w:r>
            <w:r>
              <w:rPr>
                <w:color w:val="000000"/>
                <w:sz w:val="24"/>
              </w:rPr>
              <w:t>国开</w:t>
            </w:r>
            <w:r>
              <w:rPr>
                <w:color w:val="000000"/>
                <w:sz w:val="24"/>
              </w:rPr>
              <w:t>08</w:t>
            </w:r>
          </w:p>
        </w:tc>
        <w:tc>
          <w:tcPr>
            <w:tcW w:w="1394" w:type="dxa"/>
            <w:vAlign w:val="center"/>
          </w:tcPr>
          <w:p w:rsidR="008405E9" w:rsidRDefault="00D803F5">
            <w:pPr>
              <w:jc w:val="right"/>
            </w:pPr>
            <w:r>
              <w:rPr>
                <w:color w:val="000000"/>
                <w:sz w:val="24"/>
              </w:rPr>
              <w:t>9,500,000</w:t>
            </w:r>
          </w:p>
        </w:tc>
        <w:tc>
          <w:tcPr>
            <w:tcW w:w="1944" w:type="dxa"/>
            <w:vAlign w:val="center"/>
          </w:tcPr>
          <w:p w:rsidR="008405E9" w:rsidRDefault="00D803F5">
            <w:pPr>
              <w:jc w:val="right"/>
            </w:pPr>
            <w:r>
              <w:rPr>
                <w:color w:val="000000"/>
                <w:sz w:val="24"/>
              </w:rPr>
              <w:t>971,660,000.00</w:t>
            </w:r>
          </w:p>
        </w:tc>
        <w:tc>
          <w:tcPr>
            <w:tcW w:w="1389" w:type="dxa"/>
            <w:vAlign w:val="center"/>
          </w:tcPr>
          <w:p w:rsidR="008405E9" w:rsidRDefault="00D803F5">
            <w:pPr>
              <w:jc w:val="right"/>
            </w:pPr>
            <w:r>
              <w:rPr>
                <w:color w:val="000000"/>
                <w:sz w:val="24"/>
              </w:rPr>
              <w:t>17.35</w:t>
            </w:r>
          </w:p>
        </w:tc>
      </w:tr>
      <w:tr w:rsidR="008405E9">
        <w:trPr>
          <w:jc w:val="center"/>
        </w:trPr>
        <w:tc>
          <w:tcPr>
            <w:tcW w:w="1075" w:type="dxa"/>
            <w:vAlign w:val="center"/>
          </w:tcPr>
          <w:p w:rsidR="008405E9" w:rsidRDefault="00D803F5">
            <w:pPr>
              <w:jc w:val="center"/>
            </w:pPr>
            <w:r>
              <w:rPr>
                <w:color w:val="000000"/>
                <w:sz w:val="24"/>
              </w:rPr>
              <w:t>3</w:t>
            </w:r>
          </w:p>
        </w:tc>
        <w:tc>
          <w:tcPr>
            <w:tcW w:w="1533" w:type="dxa"/>
            <w:vAlign w:val="center"/>
          </w:tcPr>
          <w:p w:rsidR="008405E9" w:rsidRDefault="00D803F5">
            <w:pPr>
              <w:jc w:val="center"/>
            </w:pPr>
            <w:r>
              <w:rPr>
                <w:color w:val="000000"/>
                <w:sz w:val="24"/>
              </w:rPr>
              <w:t>190202</w:t>
            </w:r>
          </w:p>
        </w:tc>
        <w:tc>
          <w:tcPr>
            <w:tcW w:w="1533" w:type="dxa"/>
            <w:vAlign w:val="center"/>
          </w:tcPr>
          <w:p w:rsidR="008405E9" w:rsidRDefault="00D803F5">
            <w:pPr>
              <w:jc w:val="center"/>
            </w:pPr>
            <w:r>
              <w:rPr>
                <w:color w:val="000000"/>
                <w:sz w:val="24"/>
              </w:rPr>
              <w:t>19</w:t>
            </w:r>
            <w:r>
              <w:rPr>
                <w:color w:val="000000"/>
                <w:sz w:val="24"/>
              </w:rPr>
              <w:t>国开</w:t>
            </w:r>
            <w:r>
              <w:rPr>
                <w:color w:val="000000"/>
                <w:sz w:val="24"/>
              </w:rPr>
              <w:t>02</w:t>
            </w:r>
          </w:p>
        </w:tc>
        <w:tc>
          <w:tcPr>
            <w:tcW w:w="1394" w:type="dxa"/>
            <w:vAlign w:val="center"/>
          </w:tcPr>
          <w:p w:rsidR="008405E9" w:rsidRDefault="00D803F5">
            <w:pPr>
              <w:jc w:val="right"/>
            </w:pPr>
            <w:r>
              <w:rPr>
                <w:color w:val="000000"/>
                <w:sz w:val="24"/>
              </w:rPr>
              <w:t>8,000,000</w:t>
            </w:r>
          </w:p>
        </w:tc>
        <w:tc>
          <w:tcPr>
            <w:tcW w:w="1944" w:type="dxa"/>
            <w:vAlign w:val="center"/>
          </w:tcPr>
          <w:p w:rsidR="008405E9" w:rsidRDefault="00D803F5">
            <w:pPr>
              <w:jc w:val="right"/>
            </w:pPr>
            <w:r>
              <w:rPr>
                <w:color w:val="000000"/>
                <w:sz w:val="24"/>
              </w:rPr>
              <w:t>812,160,000.00</w:t>
            </w:r>
          </w:p>
        </w:tc>
        <w:tc>
          <w:tcPr>
            <w:tcW w:w="1389" w:type="dxa"/>
            <w:vAlign w:val="center"/>
          </w:tcPr>
          <w:p w:rsidR="008405E9" w:rsidRDefault="00D803F5">
            <w:pPr>
              <w:jc w:val="right"/>
            </w:pPr>
            <w:r>
              <w:rPr>
                <w:color w:val="000000"/>
                <w:sz w:val="24"/>
              </w:rPr>
              <w:t>14.50</w:t>
            </w:r>
          </w:p>
        </w:tc>
      </w:tr>
      <w:tr w:rsidR="008405E9">
        <w:trPr>
          <w:jc w:val="center"/>
        </w:trPr>
        <w:tc>
          <w:tcPr>
            <w:tcW w:w="1075" w:type="dxa"/>
            <w:vAlign w:val="center"/>
          </w:tcPr>
          <w:p w:rsidR="008405E9" w:rsidRDefault="00D803F5">
            <w:pPr>
              <w:jc w:val="center"/>
            </w:pPr>
            <w:r>
              <w:rPr>
                <w:color w:val="000000"/>
                <w:sz w:val="24"/>
              </w:rPr>
              <w:t>4</w:t>
            </w:r>
          </w:p>
        </w:tc>
        <w:tc>
          <w:tcPr>
            <w:tcW w:w="1533" w:type="dxa"/>
            <w:vAlign w:val="center"/>
          </w:tcPr>
          <w:p w:rsidR="008405E9" w:rsidRDefault="00D803F5">
            <w:pPr>
              <w:jc w:val="center"/>
            </w:pPr>
            <w:r>
              <w:rPr>
                <w:color w:val="000000"/>
                <w:sz w:val="24"/>
              </w:rPr>
              <w:t>190207</w:t>
            </w:r>
          </w:p>
        </w:tc>
        <w:tc>
          <w:tcPr>
            <w:tcW w:w="1533" w:type="dxa"/>
            <w:vAlign w:val="center"/>
          </w:tcPr>
          <w:p w:rsidR="008405E9" w:rsidRDefault="00D803F5">
            <w:pPr>
              <w:jc w:val="center"/>
            </w:pPr>
            <w:r>
              <w:rPr>
                <w:color w:val="000000"/>
                <w:sz w:val="24"/>
              </w:rPr>
              <w:t>19</w:t>
            </w:r>
            <w:r>
              <w:rPr>
                <w:color w:val="000000"/>
                <w:sz w:val="24"/>
              </w:rPr>
              <w:t>国开</w:t>
            </w:r>
            <w:r>
              <w:rPr>
                <w:color w:val="000000"/>
                <w:sz w:val="24"/>
              </w:rPr>
              <w:t>07</w:t>
            </w:r>
          </w:p>
        </w:tc>
        <w:tc>
          <w:tcPr>
            <w:tcW w:w="1394" w:type="dxa"/>
            <w:vAlign w:val="center"/>
          </w:tcPr>
          <w:p w:rsidR="008405E9" w:rsidRDefault="00D803F5">
            <w:pPr>
              <w:jc w:val="right"/>
            </w:pPr>
            <w:r>
              <w:rPr>
                <w:color w:val="000000"/>
                <w:sz w:val="24"/>
              </w:rPr>
              <w:t>7,000,000</w:t>
            </w:r>
          </w:p>
        </w:tc>
        <w:tc>
          <w:tcPr>
            <w:tcW w:w="1944" w:type="dxa"/>
            <w:vAlign w:val="center"/>
          </w:tcPr>
          <w:p w:rsidR="008405E9" w:rsidRDefault="00D803F5">
            <w:pPr>
              <w:jc w:val="right"/>
            </w:pPr>
            <w:r>
              <w:rPr>
                <w:color w:val="000000"/>
                <w:sz w:val="24"/>
              </w:rPr>
              <w:t>714,280,000.00</w:t>
            </w:r>
          </w:p>
        </w:tc>
        <w:tc>
          <w:tcPr>
            <w:tcW w:w="1389" w:type="dxa"/>
            <w:vAlign w:val="center"/>
          </w:tcPr>
          <w:p w:rsidR="008405E9" w:rsidRDefault="00D803F5">
            <w:pPr>
              <w:jc w:val="right"/>
            </w:pPr>
            <w:r>
              <w:rPr>
                <w:color w:val="000000"/>
                <w:sz w:val="24"/>
              </w:rPr>
              <w:t>12.75</w:t>
            </w:r>
          </w:p>
        </w:tc>
      </w:tr>
      <w:tr w:rsidR="008405E9">
        <w:trPr>
          <w:jc w:val="center"/>
        </w:trPr>
        <w:tc>
          <w:tcPr>
            <w:tcW w:w="1075" w:type="dxa"/>
            <w:vAlign w:val="center"/>
          </w:tcPr>
          <w:p w:rsidR="008405E9" w:rsidRDefault="00D803F5">
            <w:pPr>
              <w:jc w:val="center"/>
            </w:pPr>
            <w:r>
              <w:rPr>
                <w:color w:val="000000"/>
                <w:sz w:val="24"/>
              </w:rPr>
              <w:t>5</w:t>
            </w:r>
          </w:p>
        </w:tc>
        <w:tc>
          <w:tcPr>
            <w:tcW w:w="1533" w:type="dxa"/>
            <w:vAlign w:val="center"/>
          </w:tcPr>
          <w:p w:rsidR="008405E9" w:rsidRDefault="00D803F5">
            <w:pPr>
              <w:jc w:val="center"/>
            </w:pPr>
            <w:r>
              <w:rPr>
                <w:color w:val="000000"/>
                <w:sz w:val="24"/>
              </w:rPr>
              <w:t>180204</w:t>
            </w:r>
          </w:p>
        </w:tc>
        <w:tc>
          <w:tcPr>
            <w:tcW w:w="1533" w:type="dxa"/>
            <w:vAlign w:val="center"/>
          </w:tcPr>
          <w:p w:rsidR="008405E9" w:rsidRDefault="00D803F5">
            <w:pPr>
              <w:jc w:val="center"/>
            </w:pPr>
            <w:r>
              <w:rPr>
                <w:color w:val="000000"/>
                <w:sz w:val="24"/>
              </w:rPr>
              <w:t>18</w:t>
            </w:r>
            <w:r>
              <w:rPr>
                <w:color w:val="000000"/>
                <w:sz w:val="24"/>
              </w:rPr>
              <w:t>国开</w:t>
            </w:r>
            <w:r>
              <w:rPr>
                <w:color w:val="000000"/>
                <w:sz w:val="24"/>
              </w:rPr>
              <w:t>04</w:t>
            </w:r>
          </w:p>
        </w:tc>
        <w:tc>
          <w:tcPr>
            <w:tcW w:w="1394" w:type="dxa"/>
            <w:vAlign w:val="center"/>
          </w:tcPr>
          <w:p w:rsidR="008405E9" w:rsidRDefault="00D803F5">
            <w:pPr>
              <w:jc w:val="right"/>
            </w:pPr>
            <w:r>
              <w:rPr>
                <w:color w:val="000000"/>
                <w:sz w:val="24"/>
              </w:rPr>
              <w:t>6,600,000</w:t>
            </w:r>
          </w:p>
        </w:tc>
        <w:tc>
          <w:tcPr>
            <w:tcW w:w="1944" w:type="dxa"/>
            <w:vAlign w:val="center"/>
          </w:tcPr>
          <w:p w:rsidR="008405E9" w:rsidRDefault="00D803F5">
            <w:pPr>
              <w:jc w:val="right"/>
            </w:pPr>
            <w:r>
              <w:rPr>
                <w:color w:val="000000"/>
                <w:sz w:val="24"/>
              </w:rPr>
              <w:t>704,616,000.00</w:t>
            </w:r>
          </w:p>
        </w:tc>
        <w:tc>
          <w:tcPr>
            <w:tcW w:w="1389" w:type="dxa"/>
            <w:vAlign w:val="center"/>
          </w:tcPr>
          <w:p w:rsidR="008405E9" w:rsidRDefault="00D803F5">
            <w:pPr>
              <w:jc w:val="right"/>
            </w:pPr>
            <w:r>
              <w:rPr>
                <w:color w:val="000000"/>
                <w:sz w:val="24"/>
              </w:rPr>
              <w:t>12.58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54,205.53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134,036,485.81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134,090,691.34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5,350,124,874.42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203,587.35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1,647.32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5,350,326,814.45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8405E9" w:rsidRDefault="00D803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D803F5" w:rsidRPr="00D803F5" w:rsidRDefault="00D803F5" w:rsidP="007C14DF">
      <w:pPr>
        <w:spacing w:before="29" w:line="288" w:lineRule="auto"/>
        <w:ind w:firstLineChars="200" w:firstLine="480"/>
        <w:rPr>
          <w:rFonts w:eastAsiaTheme="minorEastAsia" w:hint="eastAsia"/>
          <w:color w:val="000000"/>
          <w:sz w:val="24"/>
        </w:rPr>
      </w:pPr>
      <w:r w:rsidRPr="00D803F5">
        <w:rPr>
          <w:rFonts w:eastAsiaTheme="minorEastAsia" w:hint="eastAsia"/>
          <w:color w:val="000000"/>
          <w:sz w:val="24"/>
        </w:rPr>
        <w:t>备查文件目录第</w:t>
      </w:r>
      <w:r w:rsidRPr="00D803F5">
        <w:rPr>
          <w:rFonts w:eastAsiaTheme="minorEastAsia" w:hint="eastAsia"/>
          <w:color w:val="000000"/>
          <w:sz w:val="24"/>
        </w:rPr>
        <w:t>7</w:t>
      </w:r>
      <w:r w:rsidRPr="00D803F5">
        <w:rPr>
          <w:rFonts w:eastAsiaTheme="minorEastAsia" w:hint="eastAsia"/>
          <w:color w:val="000000"/>
          <w:sz w:val="24"/>
        </w:rPr>
        <w:t>条存放于基金托管人的办公场所。</w:t>
      </w:r>
      <w:bookmarkStart w:id="0" w:name="_GoBack"/>
      <w:bookmarkEnd w:id="0"/>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8405E9" w:rsidRDefault="00D803F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803F5">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803F5">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05E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03F5"/>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D9F2-A4F5-4849-99A9-73C6BEFA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14</Pages>
  <Words>1122</Words>
  <Characters>6397</Characters>
  <Application>Microsoft Office Word</Application>
  <DocSecurity>0</DocSecurity>
  <Lines>53</Lines>
  <Paragraphs>15</Paragraphs>
  <ScaleCrop>false</ScaleCrop>
  <Company>TRT. Ltd. Co.</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2020-04-10T07:24:00Z</dcterms:modified>
</cp:coreProperties>
</file>