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交银施罗德裕隆纯债债券型证券投资基金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2020年第1季度报告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2020年3月31日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中国邮政储蓄银行股份有限公司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基金托管人中国邮政储蓄银行股份有限公司根据本基金合同规定，于2020年4月21日复核了本报告中的财务指标、净值表现和投资组合报告等内容，保证复核内容不存在虚假记载、误导性陈述或者重大遗漏。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本报告期自2020年1月1日起至3月31日止。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交银裕隆纯债债券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519782</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2016年11月28日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689,700,722.05</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中国邮政储蓄银行股份有限公司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交银裕隆纯债债券A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交银裕隆纯债债券C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519782</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519783</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546,075,199.73</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143,625,522.32</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(2020年1月1日-2020年3月31日)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交银裕隆纯债债券A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交银裕隆纯债债券C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7,818,228.59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1,838,109.72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14,611,032.80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3,511,009.62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0.0267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0.0251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656,022,036.20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171,408,825.35</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1.2013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1.1934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交银裕隆纯债债券A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2.28%</w:t>
            </w:r>
          </w:p>
        </w:tc>
        <w:tc>
          <w:tcPr>
            <w:vAlign w:val="center"/>
          </w:tcPr>
          <w:p>
            <w:pPr>
              <w:jc w:val="center"/>
            </w:pPr>
            <w:r>
              <w:rPr>
                <w:color w:val="000000"/>
                <w:sz w:val="24"/>
              </w:rPr>
              <w:t>0.08%</w:t>
            </w:r>
          </w:p>
        </w:tc>
        <w:tc>
          <w:tcPr>
            <w:vAlign w:val="center"/>
          </w:tcPr>
          <w:p>
            <w:pPr>
              <w:jc w:val="center"/>
            </w:pPr>
            <w:r>
              <w:rPr>
                <w:color w:val="000000"/>
                <w:sz w:val="24"/>
              </w:rPr>
              <w:t>1.85%</w:t>
            </w:r>
          </w:p>
        </w:tc>
        <w:tc>
          <w:tcPr>
            <w:vAlign w:val="center"/>
          </w:tcPr>
          <w:p>
            <w:pPr>
              <w:jc w:val="center"/>
            </w:pPr>
            <w:r>
              <w:rPr>
                <w:color w:val="000000"/>
                <w:sz w:val="24"/>
              </w:rPr>
              <w:t>0.10%</w:t>
            </w:r>
          </w:p>
        </w:tc>
        <w:tc>
          <w:tcPr>
            <w:vAlign w:val="center"/>
          </w:tcPr>
          <w:p>
            <w:pPr>
              <w:jc w:val="center"/>
            </w:pPr>
            <w:r>
              <w:rPr>
                <w:color w:val="000000"/>
                <w:sz w:val="24"/>
              </w:rPr>
              <w:t>0.43%</w:t>
            </w:r>
          </w:p>
        </w:tc>
        <w:tc>
          <w:tcPr>
            <w:vAlign w:val="center"/>
          </w:tcPr>
          <w:p>
            <w:pPr>
              <w:jc w:val="center"/>
            </w:pPr>
            <w:r>
              <w:rPr>
                <w:color w:val="000000"/>
                <w:sz w:val="24"/>
              </w:rPr>
              <w:t>-0.02%</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交银裕隆纯债债券C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2.17%</w:t>
            </w:r>
          </w:p>
        </w:tc>
        <w:tc>
          <w:tcPr>
            <w:vAlign w:val="center"/>
          </w:tcPr>
          <w:p>
            <w:pPr>
              <w:jc w:val="center"/>
            </w:pPr>
            <w:r>
              <w:rPr>
                <w:color w:val="000000"/>
                <w:sz w:val="24"/>
              </w:rPr>
              <w:t>0.07%</w:t>
            </w:r>
          </w:p>
        </w:tc>
        <w:tc>
          <w:tcPr>
            <w:vAlign w:val="center"/>
          </w:tcPr>
          <w:p>
            <w:pPr>
              <w:jc w:val="center"/>
            </w:pPr>
            <w:r>
              <w:rPr>
                <w:color w:val="000000"/>
                <w:sz w:val="24"/>
              </w:rPr>
              <w:t>1.85%</w:t>
            </w:r>
          </w:p>
        </w:tc>
        <w:tc>
          <w:tcPr>
            <w:vAlign w:val="center"/>
          </w:tcPr>
          <w:p>
            <w:pPr>
              <w:jc w:val="center"/>
            </w:pPr>
            <w:r>
              <w:rPr>
                <w:color w:val="000000"/>
                <w:sz w:val="24"/>
              </w:rPr>
              <w:t>0.10%</w:t>
            </w:r>
          </w:p>
        </w:tc>
        <w:tc>
          <w:tcPr>
            <w:vAlign w:val="center"/>
          </w:tcPr>
          <w:p>
            <w:pPr>
              <w:jc w:val="center"/>
            </w:pPr>
            <w:r>
              <w:rPr>
                <w:color w:val="000000"/>
                <w:sz w:val="24"/>
              </w:rPr>
              <w:t>0.32%</w:t>
            </w:r>
          </w:p>
        </w:tc>
        <w:tc>
          <w:tcPr>
            <w:vAlign w:val="center"/>
          </w:tcPr>
          <w:p>
            <w:pPr>
              <w:jc w:val="center"/>
            </w:pPr>
            <w:r>
              <w:rPr>
                <w:color w:val="000000"/>
                <w:sz w:val="24"/>
              </w:rPr>
              <w:t>-0.03%</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交银施罗德裕隆纯债债券型证券投资基金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2016年11月28日</w:t>
      </w:r>
      <w:r w:rsidR="009A045B" w:rsidRPr="007F52FA">
        <w:rPr>
          <w:rFonts w:ascii="Times New Roman" w:hAnsi="Times New Roman"/>
          <w:sz w:val="24"/>
          <w:szCs w:val="24"/>
        </w:rPr>
        <w:t>至</w:t>
      </w:r>
      <w:r w:rsidRPr="007F52FA">
        <w:rPr>
          <w:rFonts w:ascii="Times New Roman" w:hAnsi="Times New Roman"/>
          <w:sz w:val="24"/>
          <w:szCs w:val="24"/>
        </w:rPr>
        <w:t>2020年3月31日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交银裕隆纯债债券A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交银裕隆纯债债券C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交银理财21天债券、交银丰享收益债券、交银活期通货币、交银天利宝货币、交银裕隆纯债债券、交银天益宝货币、交银境尚收益债券、交银稳鑫短债债券、交银稳利中短债债券的基金经理</w:t>
            </w:r>
          </w:p>
        </w:tc>
        <w:tc>
          <w:tcPr>
            <w:vAlign w:val="center"/>
          </w:tcPr>
          <w:p>
            <w:pPr>
              <w:jc w:val="center"/>
            </w:pPr>
            <w:r>
              <w:rPr>
                <w:color w:val="000000"/>
                <w:sz w:val="24"/>
              </w:rPr>
              <w:t>2016-11-28</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收益率呈现震荡下行趋势，货币政策延续宽松，债市的主要行情来自国内新冠病毒疫情爆发和海外疫情扩散两个阶段，收益率曲线呈现牛市陡峭化。截止2020年3月31日，十年国债和十年国开债分别收于2.59%和2.95%，较2019年底分别下行55bp和63bp。</w:t>
      </w:r>
    </w:p>
    <w:p>
      <w:pPr>
        <w:spacing w:before="29" w:line="288" w:lineRule="auto"/>
        <w:ind w:firstLine="480" w:firstLineChars="200"/>
        <w:rPr>
          <w:color w:val="000000"/>
          <w:sz w:val="24"/>
        </w:rPr>
      </w:pPr>
      <w:r>
        <w:rPr>
          <w:color w:val="000000"/>
          <w:sz w:val="24"/>
        </w:rPr>
        <w:t>基金操作方面，本基金仍然是以信用债票息策略为主，以1-3年中高等级信用债为底仓，同时择机配置了部分4-5年的高收益信用债，提高了组合静态收益。由于资金成本处于低位，本基金适度运用杠杆操作增厚组合收益。</w:t>
      </w:r>
    </w:p>
    <w:p>
      <w:pPr>
        <w:spacing w:before="29" w:line="288" w:lineRule="auto"/>
        <w:ind w:firstLine="480" w:firstLineChars="200"/>
        <w:rPr>
          <w:color w:val="000000"/>
          <w:sz w:val="24"/>
        </w:rPr>
      </w:pPr>
      <w:r>
        <w:rPr>
          <w:color w:val="000000"/>
          <w:sz w:val="24"/>
        </w:rPr>
        <w:t>展望2020年二季度，海外疫情的变化和国内政策的应对将成为影响债券市场的主要因素。在全球经济受疫情影响时间拉长、程度加深的背景下，中国经济很难独善其身，在信用扩张和经济拐点出现之前货币政策仍将维持宽松。债券市场短期内或维持震荡偏强的走势。后期利率下行的空间来自海外危机模式下对避险资产的需求，可能的调整信号需观察财政刺激力度和海外疫情拐点，收益率明显上行的概率不大，短端利率仍将维持低位。</w:t>
      </w:r>
    </w:p>
    <w:p w:rsidP="007C14DF" w:rsidR="00952A72" w:rsidRDefault="00323F25" w:rsidRPr="007F52FA">
      <w:pPr>
        <w:spacing w:before="29" w:line="288" w:lineRule="auto"/>
        <w:ind w:firstLine="480" w:firstLineChars="200"/>
        <w:rPr>
          <w:color w:val="000000"/>
          <w:sz w:val="24"/>
        </w:rPr>
      </w:pPr>
      <w:r w:rsidRPr="007F52FA">
        <w:rPr>
          <w:color w:val="000000"/>
          <w:sz w:val="24"/>
        </w:rPr>
        <w:t>组合操作方面，本基金将会控制整体组合久期，辅以合理杠杆水平来增厚组合收益，同时特别关注信用风险。</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1,063,056,140.00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98.41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1,063,056,140.00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98.41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1,580,060.64</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0.15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15,604,328.77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1.44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1,080,240,529.41</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21,803,600.00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2.64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20,828,540.00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2.52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20,828,540.00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2.52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80,392,000.00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9.72</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920,598,000.00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111.26</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19,434,000.00</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2.35</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1,063,056,140.00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128.48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101801315</w:t>
            </w:r>
          </w:p>
        </w:tc>
        <w:tc>
          <w:tcPr>
            <w:vAlign w:val="center"/>
          </w:tcPr>
          <w:p>
            <w:pPr>
              <w:jc w:val="center"/>
            </w:pPr>
            <w:r>
              <w:rPr>
                <w:color w:val="000000"/>
                <w:sz w:val="24"/>
              </w:rPr>
              <w:t>18福建漳州MTN002</w:t>
            </w:r>
          </w:p>
        </w:tc>
        <w:tc>
          <w:tcPr>
            <w:vAlign w:val="center"/>
          </w:tcPr>
          <w:p>
            <w:pPr>
              <w:jc w:val="right"/>
            </w:pPr>
            <w:r>
              <w:rPr>
                <w:color w:val="000000"/>
                <w:sz w:val="24"/>
              </w:rPr>
              <w:t>500,000</w:t>
            </w:r>
          </w:p>
        </w:tc>
        <w:tc>
          <w:tcPr>
            <w:vAlign w:val="center"/>
          </w:tcPr>
          <w:p>
            <w:pPr>
              <w:jc w:val="right"/>
            </w:pPr>
            <w:r>
              <w:rPr>
                <w:color w:val="000000"/>
                <w:sz w:val="24"/>
              </w:rPr>
              <w:t>52,530,000.00</w:t>
            </w:r>
          </w:p>
        </w:tc>
        <w:tc>
          <w:tcPr>
            <w:vAlign w:val="center"/>
          </w:tcPr>
          <w:p>
            <w:pPr>
              <w:jc w:val="right"/>
            </w:pPr>
            <w:r>
              <w:rPr>
                <w:color w:val="000000"/>
                <w:sz w:val="24"/>
              </w:rPr>
              <w:t>6.35</w:t>
            </w:r>
          </w:p>
        </w:tc>
      </w:tr>
      <w:tr>
        <w:tc>
          <w:tcPr>
            <w:vAlign w:val="center"/>
          </w:tcPr>
          <w:p>
            <w:pPr>
              <w:jc w:val="center"/>
            </w:pPr>
            <w:r>
              <w:rPr>
                <w:color w:val="000000"/>
                <w:sz w:val="24"/>
              </w:rPr>
              <w:t>2</w:t>
            </w:r>
          </w:p>
        </w:tc>
        <w:tc>
          <w:tcPr>
            <w:vAlign w:val="center"/>
          </w:tcPr>
          <w:p>
            <w:pPr>
              <w:jc w:val="center"/>
            </w:pPr>
            <w:r>
              <w:rPr>
                <w:color w:val="000000"/>
                <w:sz w:val="24"/>
              </w:rPr>
              <w:t>101901322</w:t>
            </w:r>
          </w:p>
        </w:tc>
        <w:tc>
          <w:tcPr>
            <w:vAlign w:val="center"/>
          </w:tcPr>
          <w:p>
            <w:pPr>
              <w:jc w:val="center"/>
            </w:pPr>
            <w:r>
              <w:rPr>
                <w:color w:val="000000"/>
                <w:sz w:val="24"/>
              </w:rPr>
              <w:t>19宿迁水务MTN001</w:t>
            </w:r>
          </w:p>
        </w:tc>
        <w:tc>
          <w:tcPr>
            <w:vAlign w:val="center"/>
          </w:tcPr>
          <w:p>
            <w:pPr>
              <w:jc w:val="right"/>
            </w:pPr>
            <w:r>
              <w:rPr>
                <w:color w:val="000000"/>
                <w:sz w:val="24"/>
              </w:rPr>
              <w:t>500,000</w:t>
            </w:r>
          </w:p>
        </w:tc>
        <w:tc>
          <w:tcPr>
            <w:vAlign w:val="center"/>
          </w:tcPr>
          <w:p>
            <w:pPr>
              <w:jc w:val="right"/>
            </w:pPr>
            <w:r>
              <w:rPr>
                <w:color w:val="000000"/>
                <w:sz w:val="24"/>
              </w:rPr>
              <w:t>50,705,000.00</w:t>
            </w:r>
          </w:p>
        </w:tc>
        <w:tc>
          <w:tcPr>
            <w:vAlign w:val="center"/>
          </w:tcPr>
          <w:p>
            <w:pPr>
              <w:jc w:val="right"/>
            </w:pPr>
            <w:r>
              <w:rPr>
                <w:color w:val="000000"/>
                <w:sz w:val="24"/>
              </w:rPr>
              <w:t>6.13</w:t>
            </w:r>
          </w:p>
        </w:tc>
      </w:tr>
      <w:tr>
        <w:tc>
          <w:tcPr>
            <w:vAlign w:val="center"/>
          </w:tcPr>
          <w:p>
            <w:pPr>
              <w:jc w:val="center"/>
            </w:pPr>
            <w:r>
              <w:rPr>
                <w:color w:val="000000"/>
                <w:sz w:val="24"/>
              </w:rPr>
              <w:t>3</w:t>
            </w:r>
          </w:p>
        </w:tc>
        <w:tc>
          <w:tcPr>
            <w:vAlign w:val="center"/>
          </w:tcPr>
          <w:p>
            <w:pPr>
              <w:jc w:val="center"/>
            </w:pPr>
            <w:r>
              <w:rPr>
                <w:color w:val="000000"/>
                <w:sz w:val="24"/>
              </w:rPr>
              <w:t>042000013</w:t>
            </w:r>
          </w:p>
        </w:tc>
        <w:tc>
          <w:tcPr>
            <w:vAlign w:val="center"/>
          </w:tcPr>
          <w:p>
            <w:pPr>
              <w:jc w:val="center"/>
            </w:pPr>
            <w:r>
              <w:rPr>
                <w:color w:val="000000"/>
                <w:sz w:val="24"/>
              </w:rPr>
              <w:t>20盐城资产CP001</w:t>
            </w:r>
          </w:p>
        </w:tc>
        <w:tc>
          <w:tcPr>
            <w:vAlign w:val="center"/>
          </w:tcPr>
          <w:p>
            <w:pPr>
              <w:jc w:val="right"/>
            </w:pPr>
            <w:r>
              <w:rPr>
                <w:color w:val="000000"/>
                <w:sz w:val="24"/>
              </w:rPr>
              <w:t>500,000</w:t>
            </w:r>
          </w:p>
        </w:tc>
        <w:tc>
          <w:tcPr>
            <w:vAlign w:val="center"/>
          </w:tcPr>
          <w:p>
            <w:pPr>
              <w:jc w:val="right"/>
            </w:pPr>
            <w:r>
              <w:rPr>
                <w:color w:val="000000"/>
                <w:sz w:val="24"/>
              </w:rPr>
              <w:t>50,215,000.00</w:t>
            </w:r>
          </w:p>
        </w:tc>
        <w:tc>
          <w:tcPr>
            <w:vAlign w:val="center"/>
          </w:tcPr>
          <w:p>
            <w:pPr>
              <w:jc w:val="right"/>
            </w:pPr>
            <w:r>
              <w:rPr>
                <w:color w:val="000000"/>
                <w:sz w:val="24"/>
              </w:rPr>
              <w:t>6.07</w:t>
            </w:r>
          </w:p>
        </w:tc>
      </w:tr>
      <w:tr>
        <w:tc>
          <w:tcPr>
            <w:vAlign w:val="center"/>
          </w:tcPr>
          <w:p>
            <w:pPr>
              <w:jc w:val="center"/>
            </w:pPr>
            <w:r>
              <w:rPr>
                <w:color w:val="000000"/>
                <w:sz w:val="24"/>
              </w:rPr>
              <w:t>4</w:t>
            </w:r>
          </w:p>
        </w:tc>
        <w:tc>
          <w:tcPr>
            <w:vAlign w:val="center"/>
          </w:tcPr>
          <w:p>
            <w:pPr>
              <w:jc w:val="center"/>
            </w:pPr>
            <w:r>
              <w:rPr>
                <w:color w:val="000000"/>
                <w:sz w:val="24"/>
              </w:rPr>
              <w:t>101900444</w:t>
            </w:r>
          </w:p>
        </w:tc>
        <w:tc>
          <w:tcPr>
            <w:vAlign w:val="center"/>
          </w:tcPr>
          <w:p>
            <w:pPr>
              <w:jc w:val="center"/>
            </w:pPr>
            <w:r>
              <w:rPr>
                <w:color w:val="000000"/>
                <w:sz w:val="24"/>
              </w:rPr>
              <w:t>19南京滨江MTN001</w:t>
            </w:r>
          </w:p>
        </w:tc>
        <w:tc>
          <w:tcPr>
            <w:vAlign w:val="center"/>
          </w:tcPr>
          <w:p>
            <w:pPr>
              <w:jc w:val="right"/>
            </w:pPr>
            <w:r>
              <w:rPr>
                <w:color w:val="000000"/>
                <w:sz w:val="24"/>
              </w:rPr>
              <w:t>400,000</w:t>
            </w:r>
          </w:p>
        </w:tc>
        <w:tc>
          <w:tcPr>
            <w:vAlign w:val="center"/>
          </w:tcPr>
          <w:p>
            <w:pPr>
              <w:jc w:val="right"/>
            </w:pPr>
            <w:r>
              <w:rPr>
                <w:color w:val="000000"/>
                <w:sz w:val="24"/>
              </w:rPr>
              <w:t>40,988,000.00</w:t>
            </w:r>
          </w:p>
        </w:tc>
        <w:tc>
          <w:tcPr>
            <w:vAlign w:val="center"/>
          </w:tcPr>
          <w:p>
            <w:pPr>
              <w:jc w:val="right"/>
            </w:pPr>
            <w:r>
              <w:rPr>
                <w:color w:val="000000"/>
                <w:sz w:val="24"/>
              </w:rPr>
              <w:t>4.95</w:t>
            </w:r>
          </w:p>
        </w:tc>
      </w:tr>
      <w:tr>
        <w:tc>
          <w:tcPr>
            <w:vAlign w:val="center"/>
          </w:tcPr>
          <w:p>
            <w:pPr>
              <w:jc w:val="center"/>
            </w:pPr>
            <w:r>
              <w:rPr>
                <w:color w:val="000000"/>
                <w:sz w:val="24"/>
              </w:rPr>
              <w:t>5</w:t>
            </w:r>
          </w:p>
        </w:tc>
        <w:tc>
          <w:tcPr>
            <w:vAlign w:val="center"/>
          </w:tcPr>
          <w:p>
            <w:pPr>
              <w:jc w:val="center"/>
            </w:pPr>
            <w:r>
              <w:rPr>
                <w:color w:val="000000"/>
                <w:sz w:val="24"/>
              </w:rPr>
              <w:t>101900433</w:t>
            </w:r>
          </w:p>
        </w:tc>
        <w:tc>
          <w:tcPr>
            <w:vAlign w:val="center"/>
          </w:tcPr>
          <w:p>
            <w:pPr>
              <w:jc w:val="center"/>
            </w:pPr>
            <w:r>
              <w:rPr>
                <w:color w:val="000000"/>
                <w:sz w:val="24"/>
              </w:rPr>
              <w:t>19淮安国投MTN002</w:t>
            </w:r>
          </w:p>
        </w:tc>
        <w:tc>
          <w:tcPr>
            <w:vAlign w:val="center"/>
          </w:tcPr>
          <w:p>
            <w:pPr>
              <w:jc w:val="right"/>
            </w:pPr>
            <w:r>
              <w:rPr>
                <w:color w:val="000000"/>
                <w:sz w:val="24"/>
              </w:rPr>
              <w:t>400,000</w:t>
            </w:r>
          </w:p>
        </w:tc>
        <w:tc>
          <w:tcPr>
            <w:vAlign w:val="center"/>
          </w:tcPr>
          <w:p>
            <w:pPr>
              <w:jc w:val="right"/>
            </w:pPr>
            <w:r>
              <w:rPr>
                <w:color w:val="000000"/>
                <w:sz w:val="24"/>
              </w:rPr>
              <w:t>40,976,000.00</w:t>
            </w:r>
          </w:p>
        </w:tc>
        <w:tc>
          <w:tcPr>
            <w:vAlign w:val="center"/>
          </w:tcPr>
          <w:p>
            <w:pPr>
              <w:jc w:val="right"/>
            </w:pPr>
            <w:r>
              <w:rPr>
                <w:color w:val="000000"/>
                <w:sz w:val="24"/>
              </w:rPr>
              <w:t>4.95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1,249.24</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15,278,560.50</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324,519.03</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15,604,328.77</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交银裕隆纯债债券A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交银裕隆纯债债券C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559,339,643.57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136,871,277.55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15,660,738.36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12,495,822.53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28,925,182.20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5,741,577.76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546,075,199.73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143,625,522.32</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2020/1/1-2020/3/31</w:t>
            </w:r>
          </w:p>
        </w:tc>
        <w:tc>
          <w:tcPr>
            <w:vAlign w:val="center"/>
          </w:tcPr>
          <w:p>
            <w:pPr>
              <w:jc w:val="center"/>
            </w:pPr>
            <w:r>
              <w:rPr>
                <w:rFonts w:ascii="宋体" w:hAnsi="宋体" w:hint="eastAsia"/>
                <w:color w:val="000000"/>
                <w:kern w:val="0"/>
                <w:szCs w:val="21"/>
              </w:rPr>
              <w:t>464,291,600.21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464,291,600.21</w:t>
            </w:r>
          </w:p>
        </w:tc>
        <w:tc>
          <w:tcPr>
            <w:vAlign w:val="center"/>
          </w:tcPr>
          <w:p>
            <w:pPr>
              <w:jc w:val="center"/>
            </w:pPr>
            <w:r>
              <w:rPr>
                <w:rFonts w:ascii="宋体" w:hAnsi="宋体" w:hint="eastAsia"/>
                <w:color w:val="000000"/>
                <w:kern w:val="0"/>
                <w:szCs w:val="21"/>
              </w:rPr>
              <w:t>67.32%</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1、中国证监会准予交银施罗德裕隆纯债债券型证券投资基金募集注册的文件；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2、《交银施罗德裕隆纯债债券型证券投资基金基金合同》；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3、《交银施罗德裕隆纯债债券型证券投资基金招募说明书》；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4、《交银施罗德裕隆纯债债券型证券投资基金托管协议》；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5、关于申请募集注册交银施罗德裕隆纯债债券型证券投资基金的法律意见书；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8、报告期内交银施罗德裕隆纯债债券型证券投资基金在指定报刊上各项公告的原稿。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交银施罗德裕隆纯债债券型证券投资基金2020年第1季度报告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