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交银施罗德先进制造混合型证券投资基金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2020年第1季度报告</w:t>
      </w:r>
    </w:p>
    <w:p w:rsidP="00C15CAC" w:rsidR="004061AC" w:rsidRDefault="00655CD8" w:rsidRPr="0081286B">
      <w:pPr>
        <w:spacing w:before="29" w:line="288" w:lineRule="auto"/>
        <w:jc w:val="center"/>
        <w:rPr>
          <w:b/>
          <w:sz w:val="36"/>
          <w:szCs w:val="36"/>
        </w:rPr>
      </w:pPr>
      <w:r w:rsidRPr="0081286B">
        <w:rPr>
          <w:b/>
          <w:sz w:val="36"/>
          <w:szCs w:val="36"/>
        </w:rPr>
        <w:t>2020年3月31日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二〇二〇年四月二十二日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交银先进制造混合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2011年6月22日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1,245,684,220.28</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本基金通过重点投资于与先进制造主题相关的优质企业，把握中国产业结构升级的投资机会，在控制风险并保持基金资产良好的流动性的前提下，力争实现基金资产的长期稳定增值。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(2020年1月1日-2020年3月31日)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306,197,543.51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26,520,605.53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0.0217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3,112,179,012.81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2.498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4.21%</w:t>
            </w:r>
          </w:p>
        </w:tc>
        <w:tc>
          <w:tcPr>
            <w:vAlign w:val="center"/>
          </w:tcPr>
          <w:p>
            <w:pPr>
              <w:jc w:val="center"/>
            </w:pPr>
            <w:r>
              <w:rPr>
                <w:color w:val="000000"/>
                <w:sz w:val="24"/>
                <w:szCs w:val="24"/>
              </w:rPr>
              <w:t>2.13%</w:t>
            </w:r>
          </w:p>
        </w:tc>
        <w:tc>
          <w:tcPr>
            <w:vAlign w:val="center"/>
          </w:tcPr>
          <w:p>
            <w:pPr>
              <w:jc w:val="center"/>
            </w:pPr>
            <w:r>
              <w:rPr>
                <w:color w:val="000000"/>
                <w:sz w:val="24"/>
                <w:szCs w:val="24"/>
              </w:rPr>
              <w:t>-4.90%</w:t>
            </w:r>
          </w:p>
        </w:tc>
        <w:tc>
          <w:tcPr>
            <w:vAlign w:val="center"/>
          </w:tcPr>
          <w:p>
            <w:pPr>
              <w:jc w:val="center"/>
            </w:pPr>
            <w:r>
              <w:rPr>
                <w:color w:val="000000"/>
                <w:sz w:val="24"/>
                <w:szCs w:val="24"/>
              </w:rPr>
              <w:t>1.15%</w:t>
            </w:r>
          </w:p>
        </w:tc>
        <w:tc>
          <w:tcPr>
            <w:vAlign w:val="center"/>
          </w:tcPr>
          <w:p>
            <w:pPr>
              <w:jc w:val="center"/>
            </w:pPr>
            <w:r>
              <w:rPr>
                <w:color w:val="000000"/>
                <w:sz w:val="24"/>
                <w:szCs w:val="24"/>
              </w:rPr>
              <w:t>9.11%</w:t>
            </w:r>
          </w:p>
        </w:tc>
        <w:tc>
          <w:tcPr>
            <w:vAlign w:val="center"/>
          </w:tcPr>
          <w:p>
            <w:pPr>
              <w:jc w:val="center"/>
            </w:pPr>
            <w:r>
              <w:rPr>
                <w:color w:val="000000"/>
                <w:sz w:val="24"/>
                <w:szCs w:val="24"/>
              </w:rPr>
              <w:t>0.98%</w:t>
            </w:r>
          </w:p>
        </w:tc>
      </w:tr>
    </w:tbl>
    <w:p>
      <w:pPr>
        <w:autoSpaceDE w:val="0"/>
        <w:autoSpaceDN w:val="0"/>
        <w:adjustRightInd w:val="0"/>
        <w:spacing w:before="29" w:line="288" w:lineRule="auto"/>
        <w:jc w:val="left"/>
        <w:rPr>
          <w:color w:val="000000"/>
          <w:sz w:val="24"/>
          <w:szCs w:val="24"/>
        </w:rPr>
      </w:pPr>
      <w:r>
        <w:rPr>
          <w:color w:val="000000"/>
          <w:sz w:val="24"/>
          <w:szCs w:val="24"/>
        </w:rPr>
        <w:t>注：1、本基金业绩比较基准自2015年10月1日起，由“75%×申银万国装备制造指数收益率+25%×中信标普全债指数收益率”变更为“75%×申银万国装备制造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基金业绩比较基准自2018年3月21日起，由“75%×申银万国装备制造指数收益率+25%×中证综合债券指数收益率”变更为“60%×沪深300指数收益率+40%×中证综合债券指数收益率”，3.2.2同。详情见本基金管理人于2018年3月21日发布的《交银施罗德基金管理有限公司关于交银施罗德先进制造混合型证券投资基金基金份额持有人大会表决结果暨决议生效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交银施罗德先进制造混合型证券投资基金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2011年6月22日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刘鹏</w:t>
            </w:r>
          </w:p>
        </w:tc>
        <w:tc>
          <w:tcPr>
            <w:vAlign w:val="center"/>
          </w:tcPr>
          <w:p>
            <w:pPr>
              <w:jc w:val="center"/>
            </w:pPr>
            <w:r>
              <w:rPr>
                <w:color w:val="000000"/>
                <w:sz w:val="24"/>
                <w:szCs w:val="24"/>
              </w:rPr>
              <w:t>交银先进制造混合的基金经理</w:t>
            </w:r>
          </w:p>
        </w:tc>
        <w:tc>
          <w:tcPr>
            <w:vAlign w:val="center"/>
          </w:tcPr>
          <w:p>
            <w:pPr>
              <w:jc w:val="center"/>
            </w:pPr>
            <w:r>
              <w:rPr>
                <w:color w:val="000000"/>
                <w:sz w:val="24"/>
                <w:szCs w:val="24"/>
              </w:rPr>
              <w:t>2018-05-29</w:t>
            </w:r>
          </w:p>
        </w:tc>
        <w:tc>
          <w:tcPr>
            <w:vAlign w:val="center"/>
          </w:tcPr>
          <w:p>
            <w:pPr>
              <w:jc w:val="center"/>
            </w:pPr>
            <w:r>
              <w:rPr>
                <w:color w:val="000000"/>
                <w:sz w:val="24"/>
                <w:szCs w:val="24"/>
              </w:rPr>
              <w:t>-</w:t>
            </w:r>
          </w:p>
        </w:tc>
        <w:tc>
          <w:tcPr>
            <w:vAlign w:val="center"/>
          </w:tcPr>
          <w:p>
            <w:pPr>
              <w:jc w:val="center"/>
            </w:pPr>
            <w:r>
              <w:rPr>
                <w:color w:val="000000"/>
                <w:sz w:val="24"/>
                <w:szCs w:val="24"/>
              </w:rPr>
              <w:t>6年</w:t>
            </w:r>
          </w:p>
        </w:tc>
        <w:tc>
          <w:tcPr>
            <w:vAlign w:val="center"/>
          </w:tcPr>
          <w:p>
            <w:pPr>
              <w:jc w:val="both"/>
            </w:pPr>
            <w:r>
              <w:rPr>
                <w:color w:val="000000"/>
                <w:sz w:val="24"/>
                <w:szCs w:val="24"/>
              </w:rPr>
              <w:t>刘鹏先生，中国人民大学金融学硕士，北京理工大学经济学学士。2014年6月加入交银施罗德基金管理有限公司，历任行业分析师。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受到疫情影响，2020年一季度全球市场和经济环境波动非常大，VIX指数几乎达到2008年金融危机的顶部区域，海外市场也发生严重下跌。整个一季度看来，创业板指数上涨4.1%，上证综指下跌了-9.8%。外生的冲击也使得组合产生了相对历史偏大的波动，本基金进行了相应的调整，兼顾基本面趋势、中长期价值以及组合流动性。</w:t>
      </w:r>
    </w:p>
    <w:p>
      <w:pPr>
        <w:spacing w:before="29" w:line="288" w:lineRule="auto"/>
        <w:ind w:firstLine="480" w:firstLineChars="200"/>
        <w:rPr>
          <w:color w:val="000000"/>
          <w:sz w:val="24"/>
          <w:szCs w:val="24"/>
        </w:rPr>
      </w:pPr>
      <w:r>
        <w:rPr>
          <w:color w:val="000000"/>
          <w:sz w:val="24"/>
          <w:szCs w:val="24"/>
        </w:rPr>
        <w:t>一季度市场风格可以分成三个阶段。第一阶段在疫情爆发以前，以半导体、消费电子、新能源汽车以及新光伏技术等为代表的成长方向表现优异；第二阶段，国内疫情爆发，市场在短暂的普跌之后，全球需求为背景的成长方向依然保持强势；第三阶段，国内疫情得到控制但海外疫情扩散，市场风格调转，国内的复工主线、逆周期、必选消费、农业有明显超额收益，而全球供需为背景的科技、光伏、新能源汽车出现明显回撤。</w:t>
      </w:r>
    </w:p>
    <w:p>
      <w:pPr>
        <w:spacing w:before="29" w:line="288" w:lineRule="auto"/>
        <w:ind w:firstLine="480" w:firstLineChars="200"/>
        <w:rPr>
          <w:color w:val="000000"/>
          <w:sz w:val="24"/>
          <w:szCs w:val="24"/>
        </w:rPr>
      </w:pPr>
      <w:r>
        <w:rPr>
          <w:color w:val="000000"/>
          <w:sz w:val="24"/>
          <w:szCs w:val="24"/>
        </w:rPr>
        <w:t>目前，第三阶段仍然没有结束，海外经济和国内产业受到疫情影响的深度和广度还没办法明确。在美联储降息并且给全球央行提供美元流动性背书后，全球市场的流动性危机已经暂时解除，但是全球供应链停摆、经济和市场下滑带来的负财富效应等对于企业报表的冲击还没有完全显现。国内复工已经展开，内需逐步修复，但是受到输入性疫情风险约束，需求修复的高度还看不清楚。积极的方面是，包括中国在内的全球主要国家已经联合行动起来，准备积极的财政和货币政策，进行对冲。对于资本市场而言，一旦疫情底部预期探明，那么市场可能进入标准的“衰退+逆周期对冲”模式，各类疫情中受损的优质资产都会领先基本面先行上涨。</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在一季度主动优化了组合结构，降低组合海外风险敞口，转向内需驱动的行业板块，并进一步优化组合流动性。我们认为人类没有被历史上任何一次疫情击溃，以一年左右的维度看，全球的社会生活大概率会完全修复，各类资产的价格预计也会回归正常轨道，本基金将以更大的耐心寻找优质资产配置机会，力求控制好业绩回撤，努力为持有人创造稳健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2,587,871,773.01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82.72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2,587,871,773.01</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82.72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180,513,000.00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5.77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180,513,000.00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5.77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258,000,559.02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102,042,675.26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3.26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3,128,428,007.29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93,253,184.76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3.00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1,444,022,599.73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46.40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15,403,683.00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0.49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19,147.31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293,459,983.56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9.43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109,202,948.00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3.51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199,437,251.28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6.41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402,491,814.40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12.93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17,552.98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30,563,607.99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2,587,871,773.01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83.15</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9,801,603</w:t>
            </w:r>
          </w:p>
        </w:tc>
        <w:tc>
          <w:tcPr>
            <w:vAlign w:val="center"/>
          </w:tcPr>
          <w:p>
            <w:pPr>
              <w:jc w:val="right"/>
            </w:pPr>
            <w:r>
              <w:rPr>
                <w:color w:val="000000"/>
                <w:sz w:val="24"/>
                <w:szCs w:val="24"/>
              </w:rPr>
              <w:t>251,411,116.95</w:t>
            </w:r>
          </w:p>
        </w:tc>
        <w:tc>
          <w:tcPr>
            <w:vAlign w:val="center"/>
          </w:tcPr>
          <w:p>
            <w:pPr>
              <w:jc w:val="right"/>
            </w:pPr>
            <w:r>
              <w:rPr>
                <w:color w:val="000000"/>
                <w:sz w:val="24"/>
                <w:szCs w:val="24"/>
              </w:rPr>
              <w:t>8.08</w:t>
            </w:r>
          </w:p>
        </w:tc>
      </w:tr>
      <w:tr>
        <w:tc>
          <w:tcPr>
            <w:vAlign w:val="center"/>
          </w:tcPr>
          <w:p>
            <w:pPr>
              <w:jc w:val="center"/>
            </w:pPr>
            <w:r>
              <w:rPr>
                <w:color w:val="000000"/>
                <w:sz w:val="24"/>
                <w:szCs w:val="24"/>
              </w:rPr>
              <w:t>2</w:t>
            </w:r>
          </w:p>
        </w:tc>
        <w:tc>
          <w:tcPr>
            <w:vAlign w:val="center"/>
          </w:tcPr>
          <w:p>
            <w:pPr>
              <w:jc w:val="center"/>
            </w:pPr>
            <w:r>
              <w:rPr>
                <w:color w:val="000000"/>
                <w:sz w:val="24"/>
                <w:szCs w:val="24"/>
              </w:rPr>
              <w:t>600967</w:t>
            </w:r>
          </w:p>
        </w:tc>
        <w:tc>
          <w:tcPr>
            <w:vAlign w:val="center"/>
          </w:tcPr>
          <w:p>
            <w:pPr>
              <w:jc w:val="center"/>
            </w:pPr>
            <w:r>
              <w:rPr>
                <w:color w:val="000000"/>
                <w:sz w:val="24"/>
                <w:szCs w:val="24"/>
              </w:rPr>
              <w:t>内蒙一机</w:t>
            </w:r>
          </w:p>
        </w:tc>
        <w:tc>
          <w:tcPr>
            <w:vAlign w:val="center"/>
          </w:tcPr>
          <w:p>
            <w:pPr>
              <w:jc w:val="right"/>
            </w:pPr>
            <w:r>
              <w:rPr>
                <w:color w:val="000000"/>
                <w:sz w:val="24"/>
                <w:szCs w:val="24"/>
              </w:rPr>
              <w:t>16,958,930</w:t>
            </w:r>
          </w:p>
        </w:tc>
        <w:tc>
          <w:tcPr>
            <w:vAlign w:val="center"/>
          </w:tcPr>
          <w:p>
            <w:pPr>
              <w:jc w:val="right"/>
            </w:pPr>
            <w:r>
              <w:rPr>
                <w:color w:val="000000"/>
                <w:sz w:val="24"/>
                <w:szCs w:val="24"/>
              </w:rPr>
              <w:t>154,495,852.30</w:t>
            </w:r>
          </w:p>
        </w:tc>
        <w:tc>
          <w:tcPr>
            <w:vAlign w:val="center"/>
          </w:tcPr>
          <w:p>
            <w:pPr>
              <w:jc w:val="right"/>
            </w:pPr>
            <w:r>
              <w:rPr>
                <w:color w:val="000000"/>
                <w:sz w:val="24"/>
                <w:szCs w:val="24"/>
              </w:rPr>
              <w:t>4.96</w:t>
            </w:r>
          </w:p>
        </w:tc>
      </w:tr>
      <w:tr>
        <w:tc>
          <w:tcPr>
            <w:vAlign w:val="center"/>
          </w:tcPr>
          <w:p>
            <w:pPr>
              <w:jc w:val="center"/>
            </w:pPr>
            <w:r>
              <w:rPr>
                <w:color w:val="000000"/>
                <w:sz w:val="24"/>
                <w:szCs w:val="24"/>
              </w:rPr>
              <w:t>3</w:t>
            </w:r>
          </w:p>
        </w:tc>
        <w:tc>
          <w:tcPr>
            <w:vAlign w:val="center"/>
          </w:tcPr>
          <w:p>
            <w:pPr>
              <w:jc w:val="center"/>
            </w:pPr>
            <w:r>
              <w:rPr>
                <w:color w:val="000000"/>
                <w:sz w:val="24"/>
                <w:szCs w:val="24"/>
              </w:rPr>
              <w:t>600383</w:t>
            </w:r>
          </w:p>
        </w:tc>
        <w:tc>
          <w:tcPr>
            <w:vAlign w:val="center"/>
          </w:tcPr>
          <w:p>
            <w:pPr>
              <w:jc w:val="center"/>
            </w:pPr>
            <w:r>
              <w:rPr>
                <w:color w:val="000000"/>
                <w:sz w:val="24"/>
                <w:szCs w:val="24"/>
              </w:rPr>
              <w:t>金地集团</w:t>
            </w:r>
          </w:p>
        </w:tc>
        <w:tc>
          <w:tcPr>
            <w:vAlign w:val="center"/>
          </w:tcPr>
          <w:p>
            <w:pPr>
              <w:jc w:val="right"/>
            </w:pPr>
            <w:r>
              <w:rPr>
                <w:color w:val="000000"/>
                <w:sz w:val="24"/>
                <w:szCs w:val="24"/>
              </w:rPr>
              <w:t>10,102,188</w:t>
            </w:r>
          </w:p>
        </w:tc>
        <w:tc>
          <w:tcPr>
            <w:vAlign w:val="center"/>
          </w:tcPr>
          <w:p>
            <w:pPr>
              <w:jc w:val="right"/>
            </w:pPr>
            <w:r>
              <w:rPr>
                <w:color w:val="000000"/>
                <w:sz w:val="24"/>
                <w:szCs w:val="24"/>
              </w:rPr>
              <w:t>142,339,828.92</w:t>
            </w:r>
          </w:p>
        </w:tc>
        <w:tc>
          <w:tcPr>
            <w:vAlign w:val="center"/>
          </w:tcPr>
          <w:p>
            <w:pPr>
              <w:jc w:val="right"/>
            </w:pPr>
            <w:r>
              <w:rPr>
                <w:color w:val="000000"/>
                <w:sz w:val="24"/>
                <w:szCs w:val="24"/>
              </w:rPr>
              <w:t>4.57</w:t>
            </w:r>
          </w:p>
        </w:tc>
      </w:tr>
      <w:tr>
        <w:tc>
          <w:tcPr>
            <w:vAlign w:val="center"/>
          </w:tcPr>
          <w:p>
            <w:pPr>
              <w:jc w:val="center"/>
            </w:pPr>
            <w:r>
              <w:rPr>
                <w:color w:val="000000"/>
                <w:sz w:val="24"/>
                <w:szCs w:val="24"/>
              </w:rPr>
              <w:t>4</w:t>
            </w:r>
          </w:p>
        </w:tc>
        <w:tc>
          <w:tcPr>
            <w:vAlign w:val="center"/>
          </w:tcPr>
          <w:p>
            <w:pPr>
              <w:jc w:val="center"/>
            </w:pPr>
            <w:r>
              <w:rPr>
                <w:color w:val="000000"/>
                <w:sz w:val="24"/>
                <w:szCs w:val="24"/>
              </w:rPr>
              <w:t>002928</w:t>
            </w:r>
          </w:p>
        </w:tc>
        <w:tc>
          <w:tcPr>
            <w:vAlign w:val="center"/>
          </w:tcPr>
          <w:p>
            <w:pPr>
              <w:jc w:val="center"/>
            </w:pPr>
            <w:r>
              <w:rPr>
                <w:color w:val="000000"/>
                <w:sz w:val="24"/>
                <w:szCs w:val="24"/>
              </w:rPr>
              <w:t>华夏航空</w:t>
            </w:r>
          </w:p>
        </w:tc>
        <w:tc>
          <w:tcPr>
            <w:vAlign w:val="center"/>
          </w:tcPr>
          <w:p>
            <w:pPr>
              <w:jc w:val="right"/>
            </w:pPr>
            <w:r>
              <w:rPr>
                <w:color w:val="000000"/>
                <w:sz w:val="24"/>
                <w:szCs w:val="24"/>
              </w:rPr>
              <w:t>10,748,352</w:t>
            </w:r>
          </w:p>
        </w:tc>
        <w:tc>
          <w:tcPr>
            <w:vAlign w:val="center"/>
          </w:tcPr>
          <w:p>
            <w:pPr>
              <w:jc w:val="right"/>
            </w:pPr>
            <w:r>
              <w:rPr>
                <w:color w:val="000000"/>
                <w:sz w:val="24"/>
                <w:szCs w:val="24"/>
              </w:rPr>
              <w:t>140,051,026.56</w:t>
            </w:r>
          </w:p>
        </w:tc>
        <w:tc>
          <w:tcPr>
            <w:vAlign w:val="center"/>
          </w:tcPr>
          <w:p>
            <w:pPr>
              <w:jc w:val="right"/>
            </w:pPr>
            <w:r>
              <w:rPr>
                <w:color w:val="000000"/>
                <w:sz w:val="24"/>
                <w:szCs w:val="24"/>
              </w:rPr>
              <w:t>4.50</w:t>
            </w:r>
          </w:p>
        </w:tc>
      </w:tr>
      <w:tr>
        <w:tc>
          <w:tcPr>
            <w:vAlign w:val="center"/>
          </w:tcPr>
          <w:p>
            <w:pPr>
              <w:jc w:val="center"/>
            </w:pPr>
            <w:r>
              <w:rPr>
                <w:color w:val="000000"/>
                <w:sz w:val="24"/>
                <w:szCs w:val="24"/>
              </w:rPr>
              <w:t>5</w:t>
            </w:r>
          </w:p>
        </w:tc>
        <w:tc>
          <w:tcPr>
            <w:vAlign w:val="center"/>
          </w:tcPr>
          <w:p>
            <w:pPr>
              <w:jc w:val="center"/>
            </w:pPr>
            <w:r>
              <w:rPr>
                <w:color w:val="000000"/>
                <w:sz w:val="24"/>
                <w:szCs w:val="24"/>
              </w:rPr>
              <w:t>300601</w:t>
            </w:r>
          </w:p>
        </w:tc>
        <w:tc>
          <w:tcPr>
            <w:vAlign w:val="center"/>
          </w:tcPr>
          <w:p>
            <w:pPr>
              <w:jc w:val="center"/>
            </w:pPr>
            <w:r>
              <w:rPr>
                <w:color w:val="000000"/>
                <w:sz w:val="24"/>
                <w:szCs w:val="24"/>
              </w:rPr>
              <w:t>康泰生物</w:t>
            </w:r>
          </w:p>
        </w:tc>
        <w:tc>
          <w:tcPr>
            <w:vAlign w:val="center"/>
          </w:tcPr>
          <w:p>
            <w:pPr>
              <w:jc w:val="right"/>
            </w:pPr>
            <w:r>
              <w:rPr>
                <w:color w:val="000000"/>
                <w:sz w:val="24"/>
                <w:szCs w:val="24"/>
              </w:rPr>
              <w:t>1,029,559</w:t>
            </w:r>
          </w:p>
        </w:tc>
        <w:tc>
          <w:tcPr>
            <w:vAlign w:val="center"/>
          </w:tcPr>
          <w:p>
            <w:pPr>
              <w:jc w:val="right"/>
            </w:pPr>
            <w:r>
              <w:rPr>
                <w:color w:val="000000"/>
                <w:sz w:val="24"/>
                <w:szCs w:val="24"/>
              </w:rPr>
              <w:t>117,987,461.40</w:t>
            </w:r>
          </w:p>
        </w:tc>
        <w:tc>
          <w:tcPr>
            <w:vAlign w:val="center"/>
          </w:tcPr>
          <w:p>
            <w:pPr>
              <w:jc w:val="right"/>
            </w:pPr>
            <w:r>
              <w:rPr>
                <w:color w:val="000000"/>
                <w:sz w:val="24"/>
                <w:szCs w:val="24"/>
              </w:rPr>
              <w:t>3.79</w:t>
            </w:r>
          </w:p>
        </w:tc>
      </w:tr>
      <w:tr>
        <w:tc>
          <w:tcPr>
            <w:vAlign w:val="center"/>
          </w:tcPr>
          <w:p>
            <w:pPr>
              <w:jc w:val="center"/>
            </w:pPr>
            <w:r>
              <w:rPr>
                <w:color w:val="000000"/>
                <w:sz w:val="24"/>
                <w:szCs w:val="24"/>
              </w:rPr>
              <w:t>6</w:t>
            </w:r>
          </w:p>
        </w:tc>
        <w:tc>
          <w:tcPr>
            <w:vAlign w:val="center"/>
          </w:tcPr>
          <w:p>
            <w:pPr>
              <w:jc w:val="center"/>
            </w:pPr>
            <w:r>
              <w:rPr>
                <w:color w:val="000000"/>
                <w:sz w:val="24"/>
                <w:szCs w:val="24"/>
              </w:rPr>
              <w:t>603416</w:t>
            </w:r>
          </w:p>
        </w:tc>
        <w:tc>
          <w:tcPr>
            <w:vAlign w:val="center"/>
          </w:tcPr>
          <w:p>
            <w:pPr>
              <w:jc w:val="center"/>
            </w:pPr>
            <w:r>
              <w:rPr>
                <w:color w:val="000000"/>
                <w:sz w:val="24"/>
                <w:szCs w:val="24"/>
              </w:rPr>
              <w:t>信捷电气</w:t>
            </w:r>
          </w:p>
        </w:tc>
        <w:tc>
          <w:tcPr>
            <w:vAlign w:val="center"/>
          </w:tcPr>
          <w:p>
            <w:pPr>
              <w:jc w:val="right"/>
            </w:pPr>
            <w:r>
              <w:rPr>
                <w:color w:val="000000"/>
                <w:sz w:val="24"/>
                <w:szCs w:val="24"/>
              </w:rPr>
              <w:t>3,088,705</w:t>
            </w:r>
          </w:p>
        </w:tc>
        <w:tc>
          <w:tcPr>
            <w:vAlign w:val="center"/>
          </w:tcPr>
          <w:p>
            <w:pPr>
              <w:jc w:val="right"/>
            </w:pPr>
            <w:r>
              <w:rPr>
                <w:color w:val="000000"/>
                <w:sz w:val="24"/>
                <w:szCs w:val="24"/>
              </w:rPr>
              <w:t>108,413,545.50</w:t>
            </w:r>
          </w:p>
        </w:tc>
        <w:tc>
          <w:tcPr>
            <w:vAlign w:val="center"/>
          </w:tcPr>
          <w:p>
            <w:pPr>
              <w:jc w:val="right"/>
            </w:pPr>
            <w:r>
              <w:rPr>
                <w:color w:val="000000"/>
                <w:sz w:val="24"/>
                <w:szCs w:val="24"/>
              </w:rPr>
              <w:t>3.48</w:t>
            </w:r>
          </w:p>
        </w:tc>
      </w:tr>
      <w:tr>
        <w:tc>
          <w:tcPr>
            <w:vAlign w:val="center"/>
          </w:tcPr>
          <w:p>
            <w:pPr>
              <w:jc w:val="center"/>
            </w:pPr>
            <w:r>
              <w:rPr>
                <w:color w:val="000000"/>
                <w:sz w:val="24"/>
                <w:szCs w:val="24"/>
              </w:rPr>
              <w:t>7</w:t>
            </w:r>
          </w:p>
        </w:tc>
        <w:tc>
          <w:tcPr>
            <w:vAlign w:val="center"/>
          </w:tcPr>
          <w:p>
            <w:pPr>
              <w:jc w:val="center"/>
            </w:pPr>
            <w:r>
              <w:rPr>
                <w:color w:val="000000"/>
                <w:sz w:val="24"/>
                <w:szCs w:val="24"/>
              </w:rPr>
              <w:t>600036</w:t>
            </w:r>
          </w:p>
        </w:tc>
        <w:tc>
          <w:tcPr>
            <w:vAlign w:val="center"/>
          </w:tcPr>
          <w:p>
            <w:pPr>
              <w:jc w:val="center"/>
            </w:pPr>
            <w:r>
              <w:rPr>
                <w:color w:val="000000"/>
                <w:sz w:val="24"/>
                <w:szCs w:val="24"/>
              </w:rPr>
              <w:t>招商银行</w:t>
            </w:r>
          </w:p>
        </w:tc>
        <w:tc>
          <w:tcPr>
            <w:vAlign w:val="center"/>
          </w:tcPr>
          <w:p>
            <w:pPr>
              <w:jc w:val="right"/>
            </w:pPr>
            <w:r>
              <w:rPr>
                <w:color w:val="000000"/>
                <w:sz w:val="24"/>
                <w:szCs w:val="24"/>
              </w:rPr>
              <w:t>3,235,620</w:t>
            </w:r>
          </w:p>
        </w:tc>
        <w:tc>
          <w:tcPr>
            <w:vAlign w:val="center"/>
          </w:tcPr>
          <w:p>
            <w:pPr>
              <w:jc w:val="right"/>
            </w:pPr>
            <w:r>
              <w:rPr>
                <w:color w:val="000000"/>
                <w:sz w:val="24"/>
                <w:szCs w:val="24"/>
              </w:rPr>
              <w:t>104,445,813.60</w:t>
            </w:r>
          </w:p>
        </w:tc>
        <w:tc>
          <w:tcPr>
            <w:vAlign w:val="center"/>
          </w:tcPr>
          <w:p>
            <w:pPr>
              <w:jc w:val="right"/>
            </w:pPr>
            <w:r>
              <w:rPr>
                <w:color w:val="000000"/>
                <w:sz w:val="24"/>
                <w:szCs w:val="24"/>
              </w:rPr>
              <w:t>3.36</w:t>
            </w:r>
          </w:p>
        </w:tc>
      </w:tr>
      <w:tr>
        <w:tc>
          <w:tcPr>
            <w:vAlign w:val="center"/>
          </w:tcPr>
          <w:p>
            <w:pPr>
              <w:jc w:val="center"/>
            </w:pPr>
            <w:r>
              <w:rPr>
                <w:color w:val="000000"/>
                <w:sz w:val="24"/>
                <w:szCs w:val="24"/>
              </w:rPr>
              <w:t>8</w:t>
            </w:r>
          </w:p>
        </w:tc>
        <w:tc>
          <w:tcPr>
            <w:vAlign w:val="center"/>
          </w:tcPr>
          <w:p>
            <w:pPr>
              <w:jc w:val="center"/>
            </w:pPr>
            <w:r>
              <w:rPr>
                <w:color w:val="000000"/>
                <w:sz w:val="24"/>
                <w:szCs w:val="24"/>
              </w:rPr>
              <w:t>601318</w:t>
            </w:r>
          </w:p>
        </w:tc>
        <w:tc>
          <w:tcPr>
            <w:vAlign w:val="center"/>
          </w:tcPr>
          <w:p>
            <w:pPr>
              <w:jc w:val="center"/>
            </w:pPr>
            <w:r>
              <w:rPr>
                <w:color w:val="000000"/>
                <w:sz w:val="24"/>
                <w:szCs w:val="24"/>
              </w:rPr>
              <w:t>中国平安</w:t>
            </w:r>
          </w:p>
        </w:tc>
        <w:tc>
          <w:tcPr>
            <w:vAlign w:val="center"/>
          </w:tcPr>
          <w:p>
            <w:pPr>
              <w:jc w:val="right"/>
            </w:pPr>
            <w:r>
              <w:rPr>
                <w:color w:val="000000"/>
                <w:sz w:val="24"/>
                <w:szCs w:val="24"/>
              </w:rPr>
              <w:t>1,373,304</w:t>
            </w:r>
          </w:p>
        </w:tc>
        <w:tc>
          <w:tcPr>
            <w:vAlign w:val="center"/>
          </w:tcPr>
          <w:p>
            <w:pPr>
              <w:jc w:val="right"/>
            </w:pPr>
            <w:r>
              <w:rPr>
                <w:color w:val="000000"/>
                <w:sz w:val="24"/>
                <w:szCs w:val="24"/>
              </w:rPr>
              <w:t>94,991,437.68</w:t>
            </w:r>
          </w:p>
        </w:tc>
        <w:tc>
          <w:tcPr>
            <w:vAlign w:val="center"/>
          </w:tcPr>
          <w:p>
            <w:pPr>
              <w:jc w:val="right"/>
            </w:pPr>
            <w:r>
              <w:rPr>
                <w:color w:val="000000"/>
                <w:sz w:val="24"/>
                <w:szCs w:val="24"/>
              </w:rPr>
              <w:t>3.05</w:t>
            </w:r>
          </w:p>
        </w:tc>
      </w:tr>
      <w:tr>
        <w:tc>
          <w:tcPr>
            <w:vAlign w:val="center"/>
          </w:tcPr>
          <w:p>
            <w:pPr>
              <w:jc w:val="center"/>
            </w:pPr>
            <w:r>
              <w:rPr>
                <w:color w:val="000000"/>
                <w:sz w:val="24"/>
                <w:szCs w:val="24"/>
              </w:rPr>
              <w:t>9</w:t>
            </w:r>
          </w:p>
        </w:tc>
        <w:tc>
          <w:tcPr>
            <w:vAlign w:val="center"/>
          </w:tcPr>
          <w:p>
            <w:pPr>
              <w:jc w:val="center"/>
            </w:pPr>
            <w:r>
              <w:rPr>
                <w:color w:val="000000"/>
                <w:sz w:val="24"/>
                <w:szCs w:val="24"/>
              </w:rPr>
              <w:t>000951</w:t>
            </w:r>
          </w:p>
        </w:tc>
        <w:tc>
          <w:tcPr>
            <w:vAlign w:val="center"/>
          </w:tcPr>
          <w:p>
            <w:pPr>
              <w:jc w:val="center"/>
            </w:pPr>
            <w:r>
              <w:rPr>
                <w:color w:val="000000"/>
                <w:sz w:val="24"/>
                <w:szCs w:val="24"/>
              </w:rPr>
              <w:t>中国重汽</w:t>
            </w:r>
          </w:p>
        </w:tc>
        <w:tc>
          <w:tcPr>
            <w:vAlign w:val="center"/>
          </w:tcPr>
          <w:p>
            <w:pPr>
              <w:jc w:val="right"/>
            </w:pPr>
            <w:r>
              <w:rPr>
                <w:color w:val="000000"/>
                <w:sz w:val="24"/>
                <w:szCs w:val="24"/>
              </w:rPr>
              <w:t>4,663,406</w:t>
            </w:r>
          </w:p>
        </w:tc>
        <w:tc>
          <w:tcPr>
            <w:vAlign w:val="center"/>
          </w:tcPr>
          <w:p>
            <w:pPr>
              <w:jc w:val="right"/>
            </w:pPr>
            <w:r>
              <w:rPr>
                <w:color w:val="000000"/>
                <w:sz w:val="24"/>
                <w:szCs w:val="24"/>
              </w:rPr>
              <w:t>94,340,703.38</w:t>
            </w:r>
          </w:p>
        </w:tc>
        <w:tc>
          <w:tcPr>
            <w:vAlign w:val="center"/>
          </w:tcPr>
          <w:p>
            <w:pPr>
              <w:jc w:val="right"/>
            </w:pPr>
            <w:r>
              <w:rPr>
                <w:color w:val="000000"/>
                <w:sz w:val="24"/>
                <w:szCs w:val="24"/>
              </w:rPr>
              <w:t>3.03</w:t>
            </w:r>
          </w:p>
        </w:tc>
      </w:tr>
      <w:tr>
        <w:tc>
          <w:tcPr>
            <w:vAlign w:val="center"/>
          </w:tcPr>
          <w:p>
            <w:pPr>
              <w:jc w:val="center"/>
            </w:pPr>
            <w:r>
              <w:rPr>
                <w:color w:val="000000"/>
                <w:sz w:val="24"/>
                <w:szCs w:val="24"/>
              </w:rPr>
              <w:t>10</w:t>
            </w:r>
          </w:p>
        </w:tc>
        <w:tc>
          <w:tcPr>
            <w:vAlign w:val="center"/>
          </w:tcPr>
          <w:p>
            <w:pPr>
              <w:jc w:val="center"/>
            </w:pPr>
            <w:r>
              <w:rPr>
                <w:color w:val="000000"/>
                <w:sz w:val="24"/>
                <w:szCs w:val="24"/>
              </w:rPr>
              <w:t>000998</w:t>
            </w:r>
          </w:p>
        </w:tc>
        <w:tc>
          <w:tcPr>
            <w:vAlign w:val="center"/>
          </w:tcPr>
          <w:p>
            <w:pPr>
              <w:jc w:val="center"/>
            </w:pPr>
            <w:r>
              <w:rPr>
                <w:color w:val="000000"/>
                <w:sz w:val="24"/>
                <w:szCs w:val="24"/>
              </w:rPr>
              <w:t>隆平高科</w:t>
            </w:r>
          </w:p>
        </w:tc>
        <w:tc>
          <w:tcPr>
            <w:vAlign w:val="center"/>
          </w:tcPr>
          <w:p>
            <w:pPr>
              <w:jc w:val="right"/>
            </w:pPr>
            <w:r>
              <w:rPr>
                <w:color w:val="000000"/>
                <w:sz w:val="24"/>
                <w:szCs w:val="24"/>
              </w:rPr>
              <w:t>5,146,423</w:t>
            </w:r>
          </w:p>
        </w:tc>
        <w:tc>
          <w:tcPr>
            <w:vAlign w:val="center"/>
          </w:tcPr>
          <w:p>
            <w:pPr>
              <w:jc w:val="right"/>
            </w:pPr>
            <w:r>
              <w:rPr>
                <w:color w:val="000000"/>
                <w:sz w:val="24"/>
                <w:szCs w:val="24"/>
              </w:rPr>
              <w:t>93,253,184.76</w:t>
            </w:r>
          </w:p>
        </w:tc>
        <w:tc>
          <w:tcPr>
            <w:vAlign w:val="center"/>
          </w:tcPr>
          <w:p>
            <w:pPr>
              <w:jc w:val="right"/>
            </w:pPr>
            <w:r>
              <w:rPr>
                <w:color w:val="000000"/>
                <w:sz w:val="24"/>
                <w:szCs w:val="24"/>
              </w:rPr>
              <w:t>3.00</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180,513,000.00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5.80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180,513,000.00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5.80</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180,513,000.00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5.80</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190307</w:t>
            </w:r>
          </w:p>
        </w:tc>
        <w:tc>
          <w:tcPr>
            <w:vAlign w:val="center"/>
          </w:tcPr>
          <w:p>
            <w:pPr>
              <w:jc w:val="center"/>
            </w:pPr>
            <w:r>
              <w:rPr>
                <w:color w:val="000000"/>
                <w:sz w:val="24"/>
                <w:szCs w:val="24"/>
              </w:rPr>
              <w:t>19进出07</w:t>
            </w:r>
          </w:p>
        </w:tc>
        <w:tc>
          <w:tcPr>
            <w:vAlign w:val="center"/>
          </w:tcPr>
          <w:p>
            <w:pPr>
              <w:jc w:val="right"/>
            </w:pPr>
            <w:r>
              <w:rPr>
                <w:color w:val="000000"/>
                <w:sz w:val="24"/>
                <w:szCs w:val="24"/>
              </w:rPr>
              <w:t>700,000</w:t>
            </w:r>
          </w:p>
        </w:tc>
        <w:tc>
          <w:tcPr>
            <w:vAlign w:val="center"/>
          </w:tcPr>
          <w:p>
            <w:pPr>
              <w:jc w:val="right"/>
            </w:pPr>
            <w:r>
              <w:rPr>
                <w:color w:val="000000"/>
                <w:sz w:val="24"/>
                <w:szCs w:val="24"/>
              </w:rPr>
              <w:t>70,392,000.00</w:t>
            </w:r>
          </w:p>
        </w:tc>
        <w:tc>
          <w:tcPr>
            <w:vAlign w:val="center"/>
          </w:tcPr>
          <w:p>
            <w:pPr>
              <w:jc w:val="right"/>
            </w:pPr>
            <w:r>
              <w:rPr>
                <w:color w:val="000000"/>
                <w:sz w:val="24"/>
                <w:szCs w:val="24"/>
              </w:rPr>
              <w:t>2.26</w:t>
            </w:r>
          </w:p>
        </w:tc>
      </w:tr>
      <w:tr>
        <w:tc>
          <w:tcPr>
            <w:vAlign w:val="center"/>
          </w:tcPr>
          <w:p>
            <w:pPr>
              <w:jc w:val="center"/>
            </w:pPr>
            <w:r>
              <w:rPr>
                <w:color w:val="000000"/>
                <w:sz w:val="24"/>
                <w:szCs w:val="24"/>
              </w:rPr>
              <w:t>2</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600,000</w:t>
            </w:r>
          </w:p>
        </w:tc>
        <w:tc>
          <w:tcPr>
            <w:vAlign w:val="center"/>
          </w:tcPr>
          <w:p>
            <w:pPr>
              <w:jc w:val="right"/>
            </w:pPr>
            <w:r>
              <w:rPr>
                <w:color w:val="000000"/>
                <w:sz w:val="24"/>
                <w:szCs w:val="24"/>
              </w:rPr>
              <w:t>60,048,000.00</w:t>
            </w:r>
          </w:p>
        </w:tc>
        <w:tc>
          <w:tcPr>
            <w:vAlign w:val="center"/>
          </w:tcPr>
          <w:p>
            <w:pPr>
              <w:jc w:val="right"/>
            </w:pPr>
            <w:r>
              <w:rPr>
                <w:color w:val="000000"/>
                <w:sz w:val="24"/>
                <w:szCs w:val="24"/>
              </w:rPr>
              <w:t>1.93</w:t>
            </w:r>
          </w:p>
        </w:tc>
      </w:tr>
      <w:tr>
        <w:tc>
          <w:tcPr>
            <w:vAlign w:val="center"/>
          </w:tcPr>
          <w:p>
            <w:pPr>
              <w:jc w:val="center"/>
            </w:pPr>
            <w:r>
              <w:rPr>
                <w:color w:val="000000"/>
                <w:sz w:val="24"/>
                <w:szCs w:val="24"/>
              </w:rPr>
              <w:t>3</w:t>
            </w:r>
          </w:p>
        </w:tc>
        <w:tc>
          <w:tcPr>
            <w:vAlign w:val="center"/>
          </w:tcPr>
          <w:p>
            <w:pPr>
              <w:jc w:val="center"/>
            </w:pPr>
            <w:r>
              <w:rPr>
                <w:color w:val="000000"/>
                <w:sz w:val="24"/>
                <w:szCs w:val="24"/>
              </w:rPr>
              <w:t>190304</w:t>
            </w:r>
          </w:p>
        </w:tc>
        <w:tc>
          <w:tcPr>
            <w:vAlign w:val="center"/>
          </w:tcPr>
          <w:p>
            <w:pPr>
              <w:jc w:val="center"/>
            </w:pPr>
            <w:r>
              <w:rPr>
                <w:color w:val="000000"/>
                <w:sz w:val="24"/>
                <w:szCs w:val="24"/>
              </w:rPr>
              <w:t>19进出04</w:t>
            </w:r>
          </w:p>
        </w:tc>
        <w:tc>
          <w:tcPr>
            <w:vAlign w:val="center"/>
          </w:tcPr>
          <w:p>
            <w:pPr>
              <w:jc w:val="right"/>
            </w:pPr>
            <w:r>
              <w:rPr>
                <w:color w:val="000000"/>
                <w:sz w:val="24"/>
                <w:szCs w:val="24"/>
              </w:rPr>
              <w:t>300,000</w:t>
            </w:r>
          </w:p>
        </w:tc>
        <w:tc>
          <w:tcPr>
            <w:vAlign w:val="center"/>
          </w:tcPr>
          <w:p>
            <w:pPr>
              <w:jc w:val="right"/>
            </w:pPr>
            <w:r>
              <w:rPr>
                <w:color w:val="000000"/>
                <w:sz w:val="24"/>
                <w:szCs w:val="24"/>
              </w:rPr>
              <w:t>30,045,000.00</w:t>
            </w:r>
          </w:p>
        </w:tc>
        <w:tc>
          <w:tcPr>
            <w:vAlign w:val="center"/>
          </w:tcPr>
          <w:p>
            <w:pPr>
              <w:jc w:val="right"/>
            </w:pPr>
            <w:r>
              <w:rPr>
                <w:color w:val="000000"/>
                <w:sz w:val="24"/>
                <w:szCs w:val="24"/>
              </w:rPr>
              <w:t>0.97</w:t>
            </w:r>
          </w:p>
        </w:tc>
      </w:tr>
      <w:tr>
        <w:tc>
          <w:tcPr>
            <w:vAlign w:val="center"/>
          </w:tcPr>
          <w:p>
            <w:pPr>
              <w:jc w:val="center"/>
            </w:pPr>
            <w:r>
              <w:rPr>
                <w:color w:val="000000"/>
                <w:sz w:val="24"/>
                <w:szCs w:val="24"/>
              </w:rPr>
              <w:t>4</w:t>
            </w:r>
          </w:p>
        </w:tc>
        <w:tc>
          <w:tcPr>
            <w:vAlign w:val="center"/>
          </w:tcPr>
          <w:p>
            <w:pPr>
              <w:jc w:val="center"/>
            </w:pPr>
            <w:r>
              <w:rPr>
                <w:color w:val="000000"/>
                <w:sz w:val="24"/>
                <w:szCs w:val="24"/>
              </w:rPr>
              <w:t>200304</w:t>
            </w:r>
          </w:p>
        </w:tc>
        <w:tc>
          <w:tcPr>
            <w:vAlign w:val="center"/>
          </w:tcPr>
          <w:p>
            <w:pPr>
              <w:jc w:val="center"/>
            </w:pPr>
            <w:r>
              <w:rPr>
                <w:color w:val="000000"/>
                <w:sz w:val="24"/>
                <w:szCs w:val="24"/>
              </w:rPr>
              <w:t>20进出04</w:t>
            </w:r>
          </w:p>
        </w:tc>
        <w:tc>
          <w:tcPr>
            <w:vAlign w:val="center"/>
          </w:tcPr>
          <w:p>
            <w:pPr>
              <w:jc w:val="right"/>
            </w:pPr>
            <w:r>
              <w:rPr>
                <w:color w:val="000000"/>
                <w:sz w:val="24"/>
                <w:szCs w:val="24"/>
              </w:rPr>
              <w:t>200,000</w:t>
            </w:r>
          </w:p>
        </w:tc>
        <w:tc>
          <w:tcPr>
            <w:vAlign w:val="center"/>
          </w:tcPr>
          <w:p>
            <w:pPr>
              <w:jc w:val="right"/>
            </w:pPr>
            <w:r>
              <w:rPr>
                <w:color w:val="000000"/>
                <w:sz w:val="24"/>
                <w:szCs w:val="24"/>
              </w:rPr>
              <w:t>20,028,000.00</w:t>
            </w:r>
          </w:p>
        </w:tc>
        <w:tc>
          <w:tcPr>
            <w:vAlign w:val="center"/>
          </w:tcPr>
          <w:p>
            <w:pPr>
              <w:jc w:val="right"/>
            </w:pPr>
            <w:r>
              <w:rPr>
                <w:color w:val="000000"/>
                <w:sz w:val="24"/>
                <w:szCs w:val="24"/>
              </w:rPr>
              <w:t>0.64</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1,200,472.01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94,511,190.28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3,086,685.57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3,244,327.40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102,042,675.26</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802,672,986.27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958,759,858.49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515,748,624.48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1,245,684,220.28</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1、中国证监会核准交银施罗德先进制造股票证券投资基金募集的文件；</w:t>
      </w:r>
    </w:p>
    <w:p>
      <w:pPr>
        <w:spacing w:before="29" w:line="288" w:lineRule="auto"/>
        <w:ind w:firstLine="480" w:firstLineChars="200"/>
        <w:rPr>
          <w:color w:val="000000"/>
          <w:sz w:val="24"/>
          <w:szCs w:val="24"/>
        </w:rPr>
      </w:pPr>
      <w:r>
        <w:rPr>
          <w:color w:val="000000"/>
          <w:sz w:val="24"/>
          <w:szCs w:val="24"/>
        </w:rPr>
        <w:t>2、中国证监会准予交银施罗德先进制造混合型证券投资基金变更注册的文件；</w:t>
      </w:r>
    </w:p>
    <w:p>
      <w:pPr>
        <w:spacing w:before="29" w:line="288" w:lineRule="auto"/>
        <w:ind w:firstLine="480" w:firstLineChars="200"/>
        <w:rPr>
          <w:color w:val="000000"/>
          <w:sz w:val="24"/>
          <w:szCs w:val="24"/>
        </w:rPr>
      </w:pPr>
      <w:r>
        <w:rPr>
          <w:color w:val="000000"/>
          <w:sz w:val="24"/>
          <w:szCs w:val="24"/>
        </w:rPr>
        <w:t xml:space="preserve">3、《交银施罗德先进制造混合型证券投资基金基金合同》； </w:t>
      </w:r>
    </w:p>
    <w:p>
      <w:pPr>
        <w:spacing w:before="29" w:line="288" w:lineRule="auto"/>
        <w:ind w:firstLine="480" w:firstLineChars="200"/>
        <w:rPr>
          <w:color w:val="000000"/>
          <w:sz w:val="24"/>
          <w:szCs w:val="24"/>
        </w:rPr>
      </w:pPr>
      <w:r>
        <w:rPr>
          <w:color w:val="000000"/>
          <w:sz w:val="24"/>
          <w:szCs w:val="24"/>
        </w:rPr>
        <w:t>4、《交银施罗德先进制造混合型证券投资基金招募说明书》；</w:t>
      </w:r>
    </w:p>
    <w:p>
      <w:pPr>
        <w:spacing w:before="29" w:line="288" w:lineRule="auto"/>
        <w:ind w:firstLine="480" w:firstLineChars="200"/>
        <w:rPr>
          <w:color w:val="000000"/>
          <w:sz w:val="24"/>
          <w:szCs w:val="24"/>
        </w:rPr>
      </w:pPr>
      <w:r>
        <w:rPr>
          <w:color w:val="000000"/>
          <w:sz w:val="24"/>
          <w:szCs w:val="24"/>
        </w:rPr>
        <w:t xml:space="preserve">5、《交银施罗德先进制造混合型证券投资基金托管协议》； </w:t>
      </w:r>
    </w:p>
    <w:p>
      <w:pPr>
        <w:spacing w:before="29" w:line="288" w:lineRule="auto"/>
        <w:ind w:firstLine="480" w:firstLineChars="200"/>
        <w:rPr>
          <w:color w:val="000000"/>
          <w:sz w:val="24"/>
          <w:szCs w:val="24"/>
        </w:rPr>
      </w:pPr>
      <w:r>
        <w:rPr>
          <w:color w:val="000000"/>
          <w:sz w:val="24"/>
          <w:szCs w:val="24"/>
        </w:rPr>
        <w:t>6、关于申请募集交银施罗德先进制造股票证券投资基金之法律意见书；</w:t>
      </w:r>
    </w:p>
    <w:p>
      <w:pPr>
        <w:spacing w:before="29" w:line="288" w:lineRule="auto"/>
        <w:ind w:firstLine="480" w:firstLineChars="200"/>
        <w:rPr>
          <w:color w:val="000000"/>
          <w:sz w:val="24"/>
          <w:szCs w:val="24"/>
        </w:rPr>
      </w:pPr>
      <w:r>
        <w:rPr>
          <w:color w:val="000000"/>
          <w:sz w:val="24"/>
          <w:szCs w:val="24"/>
        </w:rPr>
        <w:t>7、关于申请变更注册交银施罗德先进制造混合型证券投资基金的法律意见书；</w:t>
      </w:r>
    </w:p>
    <w:p>
      <w:pPr>
        <w:spacing w:before="29" w:line="288" w:lineRule="auto"/>
        <w:ind w:firstLine="480" w:firstLineChars="200"/>
        <w:rPr>
          <w:color w:val="000000"/>
          <w:sz w:val="24"/>
          <w:szCs w:val="24"/>
        </w:rPr>
      </w:pPr>
      <w:r>
        <w:rPr>
          <w:color w:val="000000"/>
          <w:sz w:val="24"/>
          <w:szCs w:val="24"/>
        </w:rPr>
        <w:t>8、基金管理人业务资格批件、营业执照；</w:t>
      </w:r>
    </w:p>
    <w:p>
      <w:pPr>
        <w:spacing w:before="29" w:line="288" w:lineRule="auto"/>
        <w:ind w:firstLine="480" w:firstLineChars="200"/>
        <w:rPr>
          <w:color w:val="000000"/>
          <w:sz w:val="24"/>
          <w:szCs w:val="24"/>
        </w:rPr>
      </w:pPr>
      <w:r>
        <w:rPr>
          <w:color w:val="000000"/>
          <w:sz w:val="24"/>
          <w:szCs w:val="24"/>
        </w:rPr>
        <w:t>9、基金托管人业务资格批件、营业执照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10、报告期内交银施罗德先进制造混合型证券投资基金在指定报刊上各项公告的原稿。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交银施罗德先进制造混合型证券投资基金2020年第1季度报告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