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15,112,635.19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514,302.12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391,566.15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21,392,596.19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1.87%</w:t>
            </w:r>
          </w:p>
        </w:tc>
        <w:tc>
          <w:tcPr>
            <w:vAlign w:val="center"/>
          </w:tcPr>
          <w:p>
            <w:pPr>
              <w:jc w:val="center"/>
            </w:pPr>
            <w:r>
              <w:rPr>
                <w:color w:val="000000"/>
                <w:sz w:val="24"/>
                <w:szCs w:val="24"/>
              </w:rPr>
              <w:t>0.28%</w:t>
            </w:r>
          </w:p>
        </w:tc>
        <w:tc>
          <w:tcPr>
            <w:vAlign w:val="center"/>
          </w:tcPr>
          <w:p>
            <w:pPr>
              <w:jc w:val="center"/>
            </w:pPr>
            <w:r>
              <w:rPr>
                <w:color w:val="000000"/>
                <w:sz w:val="24"/>
                <w:szCs w:val="24"/>
              </w:rPr>
              <w:t>1.36%</w:t>
            </w:r>
          </w:p>
        </w:tc>
        <w:tc>
          <w:tcPr>
            <w:vAlign w:val="center"/>
          </w:tcPr>
          <w:p>
            <w:pPr>
              <w:jc w:val="center"/>
            </w:pPr>
            <w:r>
              <w:rPr>
                <w:color w:val="000000"/>
                <w:sz w:val="24"/>
                <w:szCs w:val="24"/>
              </w:rPr>
              <w:t>0.16%</w:t>
            </w:r>
          </w:p>
        </w:tc>
        <w:tc>
          <w:tcPr>
            <w:vAlign w:val="center"/>
          </w:tcPr>
          <w:p>
            <w:pPr>
              <w:jc w:val="center"/>
            </w:pPr>
            <w:r>
              <w:rPr>
                <w:color w:val="000000"/>
                <w:sz w:val="24"/>
                <w:szCs w:val="24"/>
              </w:rPr>
              <w:t>0.51%</w:t>
            </w:r>
          </w:p>
        </w:tc>
        <w:tc>
          <w:tcPr>
            <w:vAlign w:val="center"/>
          </w:tcPr>
          <w:p>
            <w:pPr>
              <w:jc w:val="center"/>
            </w:pPr>
            <w:r>
              <w:rPr>
                <w:color w:val="000000"/>
                <w:sz w:val="24"/>
                <w:szCs w:val="24"/>
              </w:rPr>
              <w:t>0.12%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szCs w:val="24"/>
        </w:rPr>
      </w:pPr>
      <w:r>
        <w:rPr>
          <w:color w:val="000000"/>
          <w:sz w:val="24"/>
          <w:szCs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szCs w:val="24"/>
        </w:rPr>
      </w:pPr>
      <w:r>
        <w:rPr>
          <w:color w:val="000000"/>
          <w:sz w:val="24"/>
          <w:szCs w:val="24"/>
        </w:rPr>
        <w:t>在基金操作中，债券部分我们利率债底仓久期有所提高，但总体依然维持中短久期。权益方面，保持仓位的灵活，一至二月参与科技类等主流板块的投资机会，三月随着市场波动率加剧，迅速将仓位降低至较低水平。此外，组合积极参与权益及转债的一级市场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依然维持中短久期利率债底仓配置，并根据市场变化动态调整组合久期。权益方面，我们持续关注新冠疫情对各行业的冲击影响，及其受冲击程度和后期逐步恢复的情况，同时也积极关注逆周期调控政策发力背景下可能受益板块的相关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924,711.00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924,711.00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18,044,098.10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18,044,098.10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4.28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2,989,561.84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417,559.68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23,375,930.62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924,711.00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924,711.00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002507</w:t>
            </w:r>
          </w:p>
        </w:tc>
        <w:tc>
          <w:tcPr>
            <w:vAlign w:val="center"/>
          </w:tcPr>
          <w:p>
            <w:pPr>
              <w:jc w:val="center"/>
            </w:pPr>
            <w:r>
              <w:rPr>
                <w:color w:val="000000"/>
                <w:sz w:val="24"/>
                <w:szCs w:val="24"/>
              </w:rPr>
              <w:t>涪陵榨菜</w:t>
            </w:r>
          </w:p>
        </w:tc>
        <w:tc>
          <w:tcPr>
            <w:vAlign w:val="center"/>
          </w:tcPr>
          <w:p>
            <w:pPr>
              <w:jc w:val="right"/>
            </w:pPr>
            <w:r>
              <w:rPr>
                <w:color w:val="000000"/>
                <w:sz w:val="24"/>
                <w:szCs w:val="24"/>
              </w:rPr>
              <w:t>7,000</w:t>
            </w:r>
          </w:p>
        </w:tc>
        <w:tc>
          <w:tcPr>
            <w:vAlign w:val="center"/>
          </w:tcPr>
          <w:p>
            <w:pPr>
              <w:jc w:val="right"/>
            </w:pPr>
            <w:r>
              <w:rPr>
                <w:color w:val="000000"/>
                <w:sz w:val="24"/>
                <w:szCs w:val="24"/>
              </w:rPr>
              <w:t>220,780.00</w:t>
            </w:r>
          </w:p>
        </w:tc>
        <w:tc>
          <w:tcPr>
            <w:vAlign w:val="center"/>
          </w:tcPr>
          <w:p>
            <w:pPr>
              <w:jc w:val="right"/>
            </w:pPr>
            <w:r>
              <w:rPr>
                <w:color w:val="000000"/>
                <w:sz w:val="24"/>
                <w:szCs w:val="24"/>
              </w:rPr>
              <w:t>1.03</w:t>
            </w:r>
          </w:p>
        </w:tc>
      </w:tr>
      <w:tr>
        <w:tc>
          <w:tcPr>
            <w:vAlign w:val="center"/>
          </w:tcPr>
          <w:p>
            <w:pPr>
              <w:jc w:val="center"/>
            </w:pPr>
            <w:r>
              <w:rPr>
                <w:color w:val="000000"/>
                <w:sz w:val="24"/>
                <w:szCs w:val="24"/>
              </w:rPr>
              <w:t>2</w:t>
            </w:r>
          </w:p>
        </w:tc>
        <w:tc>
          <w:tcPr>
            <w:vAlign w:val="center"/>
          </w:tcPr>
          <w:p>
            <w:pPr>
              <w:jc w:val="center"/>
            </w:pPr>
            <w:r>
              <w:rPr>
                <w:color w:val="000000"/>
                <w:sz w:val="24"/>
                <w:szCs w:val="24"/>
              </w:rPr>
              <w:t>603866</w:t>
            </w:r>
          </w:p>
        </w:tc>
        <w:tc>
          <w:tcPr>
            <w:vAlign w:val="center"/>
          </w:tcPr>
          <w:p>
            <w:pPr>
              <w:jc w:val="center"/>
            </w:pPr>
            <w:r>
              <w:rPr>
                <w:color w:val="000000"/>
                <w:sz w:val="24"/>
                <w:szCs w:val="24"/>
              </w:rPr>
              <w:t>桃李面包</w:t>
            </w:r>
          </w:p>
        </w:tc>
        <w:tc>
          <w:tcPr>
            <w:vAlign w:val="center"/>
          </w:tcPr>
          <w:p>
            <w:pPr>
              <w:jc w:val="right"/>
            </w:pPr>
            <w:r>
              <w:rPr>
                <w:color w:val="000000"/>
                <w:sz w:val="24"/>
                <w:szCs w:val="24"/>
              </w:rPr>
              <w:t>4,400</w:t>
            </w:r>
          </w:p>
        </w:tc>
        <w:tc>
          <w:tcPr>
            <w:vAlign w:val="center"/>
          </w:tcPr>
          <w:p>
            <w:pPr>
              <w:jc w:val="right"/>
            </w:pPr>
            <w:r>
              <w:rPr>
                <w:color w:val="000000"/>
                <w:sz w:val="24"/>
                <w:szCs w:val="24"/>
              </w:rPr>
              <w:t>217,712.00</w:t>
            </w:r>
          </w:p>
        </w:tc>
        <w:tc>
          <w:tcPr>
            <w:vAlign w:val="center"/>
          </w:tcPr>
          <w:p>
            <w:pPr>
              <w:jc w:val="right"/>
            </w:pPr>
            <w:r>
              <w:rPr>
                <w:color w:val="000000"/>
                <w:sz w:val="24"/>
                <w:szCs w:val="24"/>
              </w:rPr>
              <w:t>1.02</w:t>
            </w:r>
          </w:p>
        </w:tc>
      </w:tr>
      <w:tr>
        <w:tc>
          <w:tcPr>
            <w:vAlign w:val="center"/>
          </w:tcPr>
          <w:p>
            <w:pPr>
              <w:jc w:val="center"/>
            </w:pPr>
            <w:r>
              <w:rPr>
                <w:color w:val="000000"/>
                <w:sz w:val="24"/>
                <w:szCs w:val="24"/>
              </w:rPr>
              <w:t>3</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10,700</w:t>
            </w:r>
          </w:p>
        </w:tc>
        <w:tc>
          <w:tcPr>
            <w:vAlign w:val="center"/>
          </w:tcPr>
          <w:p>
            <w:pPr>
              <w:jc w:val="right"/>
            </w:pPr>
            <w:r>
              <w:rPr>
                <w:color w:val="000000"/>
                <w:sz w:val="24"/>
                <w:szCs w:val="24"/>
              </w:rPr>
              <w:t>216,033.00</w:t>
            </w:r>
          </w:p>
        </w:tc>
        <w:tc>
          <w:tcPr>
            <w:vAlign w:val="center"/>
          </w:tcPr>
          <w:p>
            <w:pPr>
              <w:jc w:val="right"/>
            </w:pPr>
            <w:r>
              <w:rPr>
                <w:color w:val="000000"/>
                <w:sz w:val="24"/>
                <w:szCs w:val="24"/>
              </w:rPr>
              <w:t>1.01</w:t>
            </w:r>
          </w:p>
        </w:tc>
      </w:tr>
      <w:tr>
        <w:tc>
          <w:tcPr>
            <w:vAlign w:val="center"/>
          </w:tcPr>
          <w:p>
            <w:pPr>
              <w:jc w:val="center"/>
            </w:pPr>
            <w:r>
              <w:rPr>
                <w:color w:val="000000"/>
                <w:sz w:val="24"/>
                <w:szCs w:val="24"/>
              </w:rPr>
              <w:t>4</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300</w:t>
            </w:r>
          </w:p>
        </w:tc>
        <w:tc>
          <w:tcPr>
            <w:vAlign w:val="center"/>
          </w:tcPr>
          <w:p>
            <w:pPr>
              <w:jc w:val="right"/>
            </w:pPr>
            <w:r>
              <w:rPr>
                <w:color w:val="000000"/>
                <w:sz w:val="24"/>
                <w:szCs w:val="24"/>
              </w:rPr>
              <w:t>164,400.00</w:t>
            </w:r>
          </w:p>
        </w:tc>
        <w:tc>
          <w:tcPr>
            <w:vAlign w:val="center"/>
          </w:tcPr>
          <w:p>
            <w:pPr>
              <w:jc w:val="right"/>
            </w:pPr>
            <w:r>
              <w:rPr>
                <w:color w:val="000000"/>
                <w:sz w:val="24"/>
                <w:szCs w:val="24"/>
              </w:rPr>
              <w:t>0.77</w:t>
            </w:r>
          </w:p>
        </w:tc>
      </w:tr>
      <w:tr>
        <w:tc>
          <w:tcPr>
            <w:vAlign w:val="center"/>
          </w:tcPr>
          <w:p>
            <w:pPr>
              <w:jc w:val="center"/>
            </w:pPr>
            <w:r>
              <w:rPr>
                <w:color w:val="000000"/>
                <w:sz w:val="24"/>
                <w:szCs w:val="24"/>
              </w:rPr>
              <w:t>5</w:t>
            </w:r>
          </w:p>
        </w:tc>
        <w:tc>
          <w:tcPr>
            <w:vAlign w:val="center"/>
          </w:tcPr>
          <w:p>
            <w:pPr>
              <w:jc w:val="center"/>
            </w:pPr>
            <w:r>
              <w:rPr>
                <w:color w:val="000000"/>
                <w:sz w:val="24"/>
                <w:szCs w:val="24"/>
              </w:rPr>
              <w:t>600305</w:t>
            </w:r>
          </w:p>
        </w:tc>
        <w:tc>
          <w:tcPr>
            <w:vAlign w:val="center"/>
          </w:tcPr>
          <w:p>
            <w:pPr>
              <w:jc w:val="center"/>
            </w:pPr>
            <w:r>
              <w:rPr>
                <w:color w:val="000000"/>
                <w:sz w:val="24"/>
                <w:szCs w:val="24"/>
              </w:rPr>
              <w:t>恒顺醋业</w:t>
            </w:r>
          </w:p>
        </w:tc>
        <w:tc>
          <w:tcPr>
            <w:vAlign w:val="center"/>
          </w:tcPr>
          <w:p>
            <w:pPr>
              <w:jc w:val="right"/>
            </w:pPr>
            <w:r>
              <w:rPr>
                <w:color w:val="000000"/>
                <w:sz w:val="24"/>
                <w:szCs w:val="24"/>
              </w:rPr>
              <w:t>5,400</w:t>
            </w:r>
          </w:p>
        </w:tc>
        <w:tc>
          <w:tcPr>
            <w:vAlign w:val="center"/>
          </w:tcPr>
          <w:p>
            <w:pPr>
              <w:jc w:val="right"/>
            </w:pPr>
            <w:r>
              <w:rPr>
                <w:color w:val="000000"/>
                <w:sz w:val="24"/>
                <w:szCs w:val="24"/>
              </w:rPr>
              <w:t>105,786.00</w:t>
            </w:r>
          </w:p>
        </w:tc>
        <w:tc>
          <w:tcPr>
            <w:vAlign w:val="center"/>
          </w:tcPr>
          <w:p>
            <w:pPr>
              <w:jc w:val="right"/>
            </w:pPr>
            <w:r>
              <w:rPr>
                <w:color w:val="000000"/>
                <w:sz w:val="24"/>
                <w:szCs w:val="24"/>
              </w:rPr>
              <w:t>0.49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8,321,241.60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38.90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9,614,120.50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44.94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9,614,120.50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44.94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108,736.00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0.51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18,044,098.10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84.35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80,640</w:t>
            </w:r>
          </w:p>
        </w:tc>
        <w:tc>
          <w:tcPr>
            <w:vAlign w:val="center"/>
          </w:tcPr>
          <w:p>
            <w:pPr>
              <w:jc w:val="right"/>
            </w:pPr>
            <w:r>
              <w:rPr>
                <w:color w:val="000000"/>
                <w:sz w:val="24"/>
                <w:szCs w:val="24"/>
              </w:rPr>
              <w:t>8,321,241.60</w:t>
            </w:r>
          </w:p>
        </w:tc>
        <w:tc>
          <w:tcPr>
            <w:vAlign w:val="center"/>
          </w:tcPr>
          <w:p>
            <w:pPr>
              <w:jc w:val="right"/>
            </w:pPr>
            <w:r>
              <w:rPr>
                <w:color w:val="000000"/>
                <w:sz w:val="24"/>
                <w:szCs w:val="24"/>
              </w:rPr>
              <w:t>38.90</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77,560</w:t>
            </w:r>
          </w:p>
        </w:tc>
        <w:tc>
          <w:tcPr>
            <w:vAlign w:val="center"/>
          </w:tcPr>
          <w:p>
            <w:pPr>
              <w:jc w:val="right"/>
            </w:pPr>
            <w:r>
              <w:rPr>
                <w:color w:val="000000"/>
                <w:sz w:val="24"/>
                <w:szCs w:val="24"/>
              </w:rPr>
              <w:t>8,031,338.00</w:t>
            </w:r>
          </w:p>
        </w:tc>
        <w:tc>
          <w:tcPr>
            <w:vAlign w:val="center"/>
          </w:tcPr>
          <w:p>
            <w:pPr>
              <w:jc w:val="right"/>
            </w:pPr>
            <w:r>
              <w:rPr>
                <w:color w:val="000000"/>
                <w:sz w:val="24"/>
                <w:szCs w:val="24"/>
              </w:rPr>
              <w:t>37.54</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15,710</w:t>
            </w:r>
          </w:p>
        </w:tc>
        <w:tc>
          <w:tcPr>
            <w:vAlign w:val="center"/>
          </w:tcPr>
          <w:p>
            <w:pPr>
              <w:jc w:val="right"/>
            </w:pPr>
            <w:r>
              <w:rPr>
                <w:color w:val="000000"/>
                <w:sz w:val="24"/>
                <w:szCs w:val="24"/>
              </w:rPr>
              <w:t>1,582,782.50</w:t>
            </w:r>
          </w:p>
        </w:tc>
        <w:tc>
          <w:tcPr>
            <w:vAlign w:val="center"/>
          </w:tcPr>
          <w:p>
            <w:pPr>
              <w:jc w:val="right"/>
            </w:pPr>
            <w:r>
              <w:rPr>
                <w:color w:val="000000"/>
                <w:sz w:val="24"/>
                <w:szCs w:val="24"/>
              </w:rPr>
              <w:t>7.40</w:t>
            </w:r>
          </w:p>
        </w:tc>
      </w:tr>
      <w:tr>
        <w:tc>
          <w:tcPr>
            <w:vAlign w:val="center"/>
          </w:tcPr>
          <w:p>
            <w:pPr>
              <w:jc w:val="center"/>
            </w:pPr>
            <w:r>
              <w:rPr>
                <w:color w:val="000000"/>
                <w:sz w:val="24"/>
                <w:szCs w:val="24"/>
              </w:rPr>
              <w:t>4</w:t>
            </w:r>
          </w:p>
        </w:tc>
        <w:tc>
          <w:tcPr>
            <w:vAlign w:val="center"/>
          </w:tcPr>
          <w:p>
            <w:pPr>
              <w:jc w:val="center"/>
            </w:pPr>
            <w:r>
              <w:rPr>
                <w:color w:val="000000"/>
                <w:sz w:val="24"/>
                <w:szCs w:val="24"/>
              </w:rPr>
              <w:t>128098</w:t>
            </w:r>
          </w:p>
        </w:tc>
        <w:tc>
          <w:tcPr>
            <w:vAlign w:val="center"/>
          </w:tcPr>
          <w:p>
            <w:pPr>
              <w:jc w:val="center"/>
            </w:pPr>
            <w:r>
              <w:rPr>
                <w:color w:val="000000"/>
                <w:sz w:val="24"/>
                <w:szCs w:val="24"/>
              </w:rPr>
              <w:t>康弘转债</w:t>
            </w:r>
          </w:p>
        </w:tc>
        <w:tc>
          <w:tcPr>
            <w:vAlign w:val="center"/>
          </w:tcPr>
          <w:p>
            <w:pPr>
              <w:jc w:val="right"/>
            </w:pPr>
            <w:r>
              <w:rPr>
                <w:color w:val="000000"/>
                <w:sz w:val="24"/>
                <w:szCs w:val="24"/>
              </w:rPr>
              <w:t>840</w:t>
            </w:r>
          </w:p>
        </w:tc>
        <w:tc>
          <w:tcPr>
            <w:vAlign w:val="center"/>
          </w:tcPr>
          <w:p>
            <w:pPr>
              <w:jc w:val="right"/>
            </w:pPr>
            <w:r>
              <w:rPr>
                <w:color w:val="000000"/>
                <w:sz w:val="24"/>
                <w:szCs w:val="24"/>
              </w:rPr>
              <w:t>107,494.80</w:t>
            </w:r>
          </w:p>
        </w:tc>
        <w:tc>
          <w:tcPr>
            <w:vAlign w:val="center"/>
          </w:tcPr>
          <w:p>
            <w:pPr>
              <w:jc w:val="right"/>
            </w:pPr>
            <w:r>
              <w:rPr>
                <w:color w:val="000000"/>
                <w:sz w:val="24"/>
                <w:szCs w:val="24"/>
              </w:rPr>
              <w:t>0.50</w:t>
            </w:r>
          </w:p>
        </w:tc>
      </w:tr>
      <w:tr>
        <w:tc>
          <w:tcPr>
            <w:vAlign w:val="center"/>
          </w:tcPr>
          <w:p>
            <w:pPr>
              <w:jc w:val="center"/>
            </w:pPr>
            <w:r>
              <w:rPr>
                <w:color w:val="000000"/>
                <w:sz w:val="24"/>
                <w:szCs w:val="24"/>
              </w:rPr>
              <w:t>5</w:t>
            </w:r>
          </w:p>
        </w:tc>
        <w:tc>
          <w:tcPr>
            <w:vAlign w:val="center"/>
          </w:tcPr>
          <w:p>
            <w:pPr>
              <w:jc w:val="center"/>
            </w:pPr>
            <w:r>
              <w:rPr>
                <w:color w:val="000000"/>
                <w:sz w:val="24"/>
                <w:szCs w:val="24"/>
              </w:rPr>
              <w:t>113564</w:t>
            </w:r>
          </w:p>
        </w:tc>
        <w:tc>
          <w:tcPr>
            <w:vAlign w:val="center"/>
          </w:tcPr>
          <w:p>
            <w:pPr>
              <w:jc w:val="center"/>
            </w:pPr>
            <w:r>
              <w:rPr>
                <w:color w:val="000000"/>
                <w:sz w:val="24"/>
                <w:szCs w:val="24"/>
              </w:rPr>
              <w:t>天目转债</w:t>
            </w:r>
          </w:p>
        </w:tc>
        <w:tc>
          <w:tcPr>
            <w:vAlign w:val="center"/>
          </w:tcPr>
          <w:p>
            <w:pPr>
              <w:jc w:val="right"/>
            </w:pPr>
            <w:r>
              <w:rPr>
                <w:color w:val="000000"/>
                <w:sz w:val="24"/>
                <w:szCs w:val="24"/>
              </w:rPr>
              <w:t>10</w:t>
            </w:r>
          </w:p>
        </w:tc>
        <w:tc>
          <w:tcPr>
            <w:vAlign w:val="center"/>
          </w:tcPr>
          <w:p>
            <w:pPr>
              <w:jc w:val="right"/>
            </w:pPr>
            <w:r>
              <w:rPr>
                <w:color w:val="000000"/>
                <w:sz w:val="24"/>
                <w:szCs w:val="24"/>
              </w:rPr>
              <w:t>1,241.20</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24,731.81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392,682.99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144.88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417,559.68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16,126,709.06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684,660.92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1,698,734.79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15,112,635.19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2020/1/1-2020/3/31</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33.09%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