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交银施罗德稳鑫短债债券型证券投资基金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2020年第1季度报告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2020年3月31日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招商银行股份有限公司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二〇二〇年四月二十二日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基金托管人招商银行股份有限公司根据本基金合同规定，于2020年4月21日复核了本报告中的财务指标、净值表现和投资组合报告等内容，保证复核内容不存在虚假记载、误导性陈述或者重大遗漏。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本报告期自2020年1月1日起至3月31日止。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交银稳鑫短债债券</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006793</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2019年1月24日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2,529,186,745.98</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在严格控制风险和保持较高流动性的前提下,力求获得高于业绩比较基准的投资收益。</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中债综合财富（1年以下）指数收益率</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本基金是一只债券型基金，其预期风险与预期收益高于货币市场基金，低于混合型基金和股票型基金。</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招商银行股份有限公司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交银稳鑫短债债券A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交银稳鑫短债债券C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006793</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006794</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2,447,102,435.07</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82,084,310.91</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(2020年1月1日-2020年3月31日)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交银稳鑫短债债券A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交银稳鑫短债债券C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18,676,582.26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295,871.96</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23,526,876.72</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301,468.74</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0.0124</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0.0094</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2,532,788,752.87</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84,558,529.50</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1.0350</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1.0301</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注：1、上述基金业绩指标不包括持有人认购或交易基金的各项费用，计入费用后的实际收益水平要低于所列数字；</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IsROCDate" w:val="False"/>
          <w:attr w:name="IsLunarDate" w:val="False"/>
          <w:attr w:name="Day" w:val="30"/>
          <w:attr w:name="Month" w:val="12"/>
          <w:attr w:name="Year" w:val="1899"/>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交银稳鑫短债债券A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1.26%</w:t>
            </w:r>
          </w:p>
        </w:tc>
        <w:tc>
          <w:tcPr>
            <w:vAlign w:val="center"/>
          </w:tcPr>
          <w:p>
            <w:pPr>
              <w:jc w:val="center"/>
            </w:pPr>
            <w:r>
              <w:rPr>
                <w:color w:val="000000"/>
                <w:sz w:val="24"/>
              </w:rPr>
              <w:t>0.03%</w:t>
            </w:r>
          </w:p>
        </w:tc>
        <w:tc>
          <w:tcPr>
            <w:vAlign w:val="center"/>
          </w:tcPr>
          <w:p>
            <w:pPr>
              <w:jc w:val="center"/>
            </w:pPr>
            <w:r>
              <w:rPr>
                <w:color w:val="000000"/>
                <w:sz w:val="24"/>
              </w:rPr>
              <w:t>0.93%</w:t>
            </w:r>
          </w:p>
        </w:tc>
        <w:tc>
          <w:tcPr>
            <w:vAlign w:val="center"/>
          </w:tcPr>
          <w:p>
            <w:pPr>
              <w:jc w:val="center"/>
            </w:pPr>
            <w:r>
              <w:rPr>
                <w:color w:val="000000"/>
                <w:sz w:val="24"/>
              </w:rPr>
              <w:t>0.02%</w:t>
            </w:r>
          </w:p>
        </w:tc>
        <w:tc>
          <w:tcPr>
            <w:vAlign w:val="center"/>
          </w:tcPr>
          <w:p>
            <w:pPr>
              <w:jc w:val="center"/>
            </w:pPr>
            <w:r>
              <w:rPr>
                <w:color w:val="000000"/>
                <w:sz w:val="24"/>
              </w:rPr>
              <w:t>0.33%</w:t>
            </w:r>
          </w:p>
        </w:tc>
        <w:tc>
          <w:tcPr>
            <w:vAlign w:val="center"/>
          </w:tcPr>
          <w:p>
            <w:pPr>
              <w:jc w:val="center"/>
            </w:pPr>
            <w:r>
              <w:rPr>
                <w:color w:val="000000"/>
                <w:sz w:val="24"/>
              </w:rPr>
              <w:t>0.01%</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交银稳鑫短债债券C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1.15%</w:t>
            </w:r>
          </w:p>
        </w:tc>
        <w:tc>
          <w:tcPr>
            <w:vAlign w:val="center"/>
          </w:tcPr>
          <w:p>
            <w:pPr>
              <w:jc w:val="center"/>
            </w:pPr>
            <w:r>
              <w:rPr>
                <w:color w:val="000000"/>
                <w:sz w:val="24"/>
              </w:rPr>
              <w:t>0.02%</w:t>
            </w:r>
          </w:p>
        </w:tc>
        <w:tc>
          <w:tcPr>
            <w:vAlign w:val="center"/>
          </w:tcPr>
          <w:p>
            <w:pPr>
              <w:jc w:val="center"/>
            </w:pPr>
            <w:r>
              <w:rPr>
                <w:color w:val="000000"/>
                <w:sz w:val="24"/>
              </w:rPr>
              <w:t>0.93%</w:t>
            </w:r>
          </w:p>
        </w:tc>
        <w:tc>
          <w:tcPr>
            <w:vAlign w:val="center"/>
          </w:tcPr>
          <w:p>
            <w:pPr>
              <w:jc w:val="center"/>
            </w:pPr>
            <w:r>
              <w:rPr>
                <w:color w:val="000000"/>
                <w:sz w:val="24"/>
              </w:rPr>
              <w:t>0.02%</w:t>
            </w:r>
          </w:p>
        </w:tc>
        <w:tc>
          <w:tcPr>
            <w:vAlign w:val="center"/>
          </w:tcPr>
          <w:p>
            <w:pPr>
              <w:jc w:val="center"/>
            </w:pPr>
            <w:r>
              <w:rPr>
                <w:color w:val="000000"/>
                <w:sz w:val="24"/>
              </w:rPr>
              <w:t>0.22%</w:t>
            </w:r>
          </w:p>
        </w:tc>
        <w:tc>
          <w:tcPr>
            <w:vAlign w:val="center"/>
          </w:tcPr>
          <w:p>
            <w:pPr>
              <w:jc w:val="center"/>
            </w:pPr>
            <w:r>
              <w:rPr>
                <w:color w:val="000000"/>
                <w:sz w:val="24"/>
              </w:rPr>
              <w:t>0.00%</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交银施罗德稳鑫短债债券型证券投资基金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2019年1月24日</w:t>
      </w:r>
      <w:r w:rsidR="009A045B" w:rsidRPr="007F52FA">
        <w:rPr>
          <w:rFonts w:ascii="Times New Roman" w:hAnsi="Times New Roman"/>
          <w:sz w:val="24"/>
          <w:szCs w:val="24"/>
        </w:rPr>
        <w:t>至</w:t>
      </w:r>
      <w:r w:rsidRPr="007F52FA">
        <w:rPr>
          <w:rFonts w:ascii="Times New Roman" w:hAnsi="Times New Roman"/>
          <w:sz w:val="24"/>
          <w:szCs w:val="24"/>
        </w:rPr>
        <w:t>2020年3月31日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交银稳鑫短债债券A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基金合同生效日为2019年1月24日，截至报告期期末，本基金已完成建仓但报告期期末距建仓结束未满一年。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交银稳鑫短债债券C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基金合同生效日为2019年1月24日，截至报告期期末，本基金已完成建仓但报告期期末距建仓结束未满一年。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黄莹洁</w:t>
            </w:r>
          </w:p>
        </w:tc>
        <w:tc>
          <w:tcPr>
            <w:vAlign w:val="center"/>
          </w:tcPr>
          <w:p>
            <w:pPr>
              <w:jc w:val="center"/>
            </w:pPr>
            <w:r>
              <w:rPr>
                <w:color w:val="000000"/>
                <w:sz w:val="24"/>
              </w:rPr>
              <w:t>交银理财21天债券、交银丰享收益债券、交银活期通货币、交银天利宝货币、交银裕隆纯债债券、交银天益宝货币、交银境尚收益债券、交银稳鑫短债债券、交银稳利中短债债券的基金经理</w:t>
            </w:r>
          </w:p>
        </w:tc>
        <w:tc>
          <w:tcPr>
            <w:vAlign w:val="center"/>
          </w:tcPr>
          <w:p>
            <w:pPr>
              <w:jc w:val="center"/>
            </w:pPr>
            <w:r>
              <w:rPr>
                <w:color w:val="000000"/>
                <w:sz w:val="24"/>
              </w:rPr>
              <w:t>2019-01-24</w:t>
            </w:r>
          </w:p>
        </w:tc>
        <w:tc>
          <w:tcPr>
            <w:vAlign w:val="center"/>
          </w:tcPr>
          <w:p>
            <w:pPr>
              <w:jc w:val="center"/>
            </w:pPr>
            <w:r>
              <w:rPr>
                <w:color w:val="000000"/>
                <w:sz w:val="24"/>
              </w:rPr>
              <w:t>-</w:t>
            </w:r>
          </w:p>
        </w:tc>
        <w:tc>
          <w:tcPr>
            <w:vAlign w:val="center"/>
          </w:tcPr>
          <w:p>
            <w:pPr>
              <w:jc w:val="center"/>
            </w:pPr>
            <w:r>
              <w:rPr>
                <w:color w:val="000000"/>
                <w:sz w:val="24"/>
              </w:rPr>
              <w:t>12年</w:t>
            </w:r>
          </w:p>
        </w:tc>
        <w:tc>
          <w:tcPr>
            <w:vAlign w:val="center"/>
          </w:tcPr>
          <w:p>
            <w:pPr>
              <w:jc w:val="both"/>
            </w:pPr>
            <w:r>
              <w:rPr>
                <w:color w:val="000000"/>
                <w:sz w:val="24"/>
              </w:rPr>
              <w:t>黄莹洁女士，香港大学工商管理硕士、北京大学经济学、管理学双学士。历任中海基金管理有限公司交易员。2012年加入交银施罗德基金管理有限公司，历任中央交易室交易员。2015年7月25日至2018年3月18日担任交银施罗德丰泽收益债券型证券投资基金的基金经理。2015年5月27日至2019年8月2日担任交银施罗德货币市场证券投资基金、交银施罗德现金宝货币市场基金的基金经理。2016年12月7日至2019年8月2日担任交银施罗德天鑫宝货币市场基金的基金经理。2015年12月29日至2019年10月23日担任交银施罗德裕通纯债债券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Year" w:val="1899"/>
          <w:attr w:name="Month" w:val="12"/>
          <w:attr w:name="Day" w:val="30"/>
          <w:attr w:name="IsLunarDate" w:val="False"/>
          <w:attr w:name="IsROCDate" w:val="False"/>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收益率呈现震荡下行趋势，货币政策延续宽松，债市的主要行情来自国内新冠病毒疫情爆发和海外疫情扩散两个阶段，收益率曲线呈现牛市陡峭化。截止2020年3月31日，十年国债和十年国开债分别收于2.59%和2.95%，较2019年底分别下行55bp和63bp。</w:t>
      </w:r>
    </w:p>
    <w:p>
      <w:pPr>
        <w:spacing w:before="29" w:line="288" w:lineRule="auto"/>
        <w:ind w:firstLine="480" w:firstLineChars="200"/>
        <w:rPr>
          <w:color w:val="000000"/>
          <w:sz w:val="24"/>
        </w:rPr>
      </w:pPr>
      <w:r>
        <w:rPr>
          <w:color w:val="000000"/>
          <w:sz w:val="24"/>
        </w:rPr>
        <w:t>基金操作方面，本基金以配置397天内的短久期中高等级信用债为主，适当增配部分1-2年的资产增厚组合收益，同时辅以合理杠杆水平来提高收益。</w:t>
      </w:r>
    </w:p>
    <w:p>
      <w:pPr>
        <w:spacing w:before="29" w:line="288" w:lineRule="auto"/>
        <w:ind w:firstLine="480" w:firstLineChars="200"/>
        <w:rPr>
          <w:color w:val="000000"/>
          <w:sz w:val="24"/>
        </w:rPr>
      </w:pPr>
      <w:r>
        <w:rPr>
          <w:color w:val="000000"/>
          <w:sz w:val="24"/>
        </w:rPr>
        <w:t>展望2020年二季度，海外疫情的变化和国内政策的应对将成为影响债券市场的主要因素。在全球经济受疫情影响时间拉长、程度加深的背景下，中国经济很难独善其身，在信用扩张和经济拐点出现之前货币政策仍将维持宽松。债券市场短期内或维持震荡偏强的走势。后期利率下行的空间来自海外危机模式下对避险资产的需求，可能的调整信号需观察财政刺激力度和海外疫情拐点，收益率明显上行的概率不大，短端利率仍将维持低位。</w:t>
      </w:r>
    </w:p>
    <w:p w:rsidP="007C14DF" w:rsidR="00952A72" w:rsidRDefault="00323F25" w:rsidRPr="007F52FA">
      <w:pPr>
        <w:spacing w:before="29" w:line="288" w:lineRule="auto"/>
        <w:ind w:firstLine="480" w:firstLineChars="200"/>
        <w:rPr>
          <w:color w:val="000000"/>
          <w:sz w:val="24"/>
        </w:rPr>
      </w:pPr>
      <w:r w:rsidRPr="007F52FA">
        <w:rPr>
          <w:color w:val="000000"/>
          <w:sz w:val="24"/>
        </w:rPr>
        <w:t>组合操作方面，本基金将会控制整体组合久期，辅以合理杠杆水平来增厚组合收益，同时特别关注信用风险。</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2,688,632,648.00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98.40</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2,571,000,648.00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94.09</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117,632,000.00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4.30</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690,263.50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0.03</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43,143,791.83</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1.58</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2,732,466,703.33</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p w:rsidP="007C14DF" w:rsidR="009238DB" w:rsidRDefault="000871DB" w:rsidRPr="007F52FA">
      <w:pPr>
        <w:autoSpaceDE w:val="0"/>
        <w:autoSpaceDN w:val="0"/>
        <w:adjustRightInd w:val="0"/>
        <w:spacing w:before="29" w:line="288" w:lineRule="auto"/>
        <w:jc w:val="left"/>
        <w:rPr>
          <w:color w:val="000000"/>
          <w:sz w:val="24"/>
        </w:rPr>
      </w:pPr>
      <w:r w:rsidRPr="007F52FA">
        <w:rPr>
          <w:color w:val="000000"/>
          <w:sz w:val="24"/>
        </w:rPr>
        <w:t>本基金本报告期末未持有股票。</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1,502,700.00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0.06</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185,107,980.00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7.07</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185,107,980.00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7.07</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40,906,968.00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1.56</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1,080,721,500.00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41.29</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1,136,080,500.00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43.41</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126,681,000.00</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4.84</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2,571,000,648.00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98.23</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101756042</w:t>
            </w:r>
          </w:p>
        </w:tc>
        <w:tc>
          <w:tcPr>
            <w:vAlign w:val="center"/>
          </w:tcPr>
          <w:p>
            <w:pPr>
              <w:jc w:val="center"/>
            </w:pPr>
            <w:r>
              <w:rPr>
                <w:color w:val="000000"/>
                <w:sz w:val="24"/>
              </w:rPr>
              <w:t>17港兴港投MTN001</w:t>
            </w:r>
          </w:p>
        </w:tc>
        <w:tc>
          <w:tcPr>
            <w:vAlign w:val="center"/>
          </w:tcPr>
          <w:p>
            <w:pPr>
              <w:jc w:val="right"/>
            </w:pPr>
            <w:r>
              <w:rPr>
                <w:color w:val="000000"/>
                <w:sz w:val="24"/>
              </w:rPr>
              <w:t>1,000,000</w:t>
            </w:r>
          </w:p>
        </w:tc>
        <w:tc>
          <w:tcPr>
            <w:vAlign w:val="center"/>
          </w:tcPr>
          <w:p>
            <w:pPr>
              <w:jc w:val="right"/>
            </w:pPr>
            <w:r>
              <w:rPr>
                <w:color w:val="000000"/>
                <w:sz w:val="24"/>
              </w:rPr>
              <w:t>102,140,000.00</w:t>
            </w:r>
          </w:p>
        </w:tc>
        <w:tc>
          <w:tcPr>
            <w:vAlign w:val="center"/>
          </w:tcPr>
          <w:p>
            <w:pPr>
              <w:jc w:val="right"/>
            </w:pPr>
            <w:r>
              <w:rPr>
                <w:color w:val="000000"/>
                <w:sz w:val="24"/>
              </w:rPr>
              <w:t>3.90</w:t>
            </w:r>
          </w:p>
        </w:tc>
      </w:tr>
      <w:tr>
        <w:tc>
          <w:tcPr>
            <w:vAlign w:val="center"/>
          </w:tcPr>
          <w:p>
            <w:pPr>
              <w:jc w:val="center"/>
            </w:pPr>
            <w:r>
              <w:rPr>
                <w:color w:val="000000"/>
                <w:sz w:val="24"/>
              </w:rPr>
              <w:t>2</w:t>
            </w:r>
          </w:p>
        </w:tc>
        <w:tc>
          <w:tcPr>
            <w:vAlign w:val="center"/>
          </w:tcPr>
          <w:p>
            <w:pPr>
              <w:jc w:val="center"/>
            </w:pPr>
            <w:r>
              <w:rPr>
                <w:color w:val="000000"/>
                <w:sz w:val="24"/>
              </w:rPr>
              <w:t>011902632</w:t>
            </w:r>
          </w:p>
        </w:tc>
        <w:tc>
          <w:tcPr>
            <w:vAlign w:val="center"/>
          </w:tcPr>
          <w:p>
            <w:pPr>
              <w:jc w:val="center"/>
            </w:pPr>
            <w:r>
              <w:rPr>
                <w:color w:val="000000"/>
                <w:sz w:val="24"/>
              </w:rPr>
              <w:t>19融和融资SCP014</w:t>
            </w:r>
          </w:p>
        </w:tc>
        <w:tc>
          <w:tcPr>
            <w:vAlign w:val="center"/>
          </w:tcPr>
          <w:p>
            <w:pPr>
              <w:jc w:val="right"/>
            </w:pPr>
            <w:r>
              <w:rPr>
                <w:color w:val="000000"/>
                <w:sz w:val="24"/>
              </w:rPr>
              <w:t>1,000,000</w:t>
            </w:r>
          </w:p>
        </w:tc>
        <w:tc>
          <w:tcPr>
            <w:vAlign w:val="center"/>
          </w:tcPr>
          <w:p>
            <w:pPr>
              <w:jc w:val="right"/>
            </w:pPr>
            <w:r>
              <w:rPr>
                <w:color w:val="000000"/>
                <w:sz w:val="24"/>
              </w:rPr>
              <w:t>100,500,000.00</w:t>
            </w:r>
          </w:p>
        </w:tc>
        <w:tc>
          <w:tcPr>
            <w:vAlign w:val="center"/>
          </w:tcPr>
          <w:p>
            <w:pPr>
              <w:jc w:val="right"/>
            </w:pPr>
            <w:r>
              <w:rPr>
                <w:color w:val="000000"/>
                <w:sz w:val="24"/>
              </w:rPr>
              <w:t>3.84</w:t>
            </w:r>
          </w:p>
        </w:tc>
      </w:tr>
      <w:tr>
        <w:tc>
          <w:tcPr>
            <w:vAlign w:val="center"/>
          </w:tcPr>
          <w:p>
            <w:pPr>
              <w:jc w:val="center"/>
            </w:pPr>
            <w:r>
              <w:rPr>
                <w:color w:val="000000"/>
                <w:sz w:val="24"/>
              </w:rPr>
              <w:t>3</w:t>
            </w:r>
          </w:p>
        </w:tc>
        <w:tc>
          <w:tcPr>
            <w:vAlign w:val="center"/>
          </w:tcPr>
          <w:p>
            <w:pPr>
              <w:jc w:val="center"/>
            </w:pPr>
            <w:r>
              <w:rPr>
                <w:color w:val="000000"/>
                <w:sz w:val="24"/>
              </w:rPr>
              <w:t>011902487</w:t>
            </w:r>
          </w:p>
        </w:tc>
        <w:tc>
          <w:tcPr>
            <w:vAlign w:val="center"/>
          </w:tcPr>
          <w:p>
            <w:pPr>
              <w:jc w:val="center"/>
            </w:pPr>
            <w:r>
              <w:rPr>
                <w:color w:val="000000"/>
                <w:sz w:val="24"/>
              </w:rPr>
              <w:t>19海通恒信SCP006</w:t>
            </w:r>
          </w:p>
        </w:tc>
        <w:tc>
          <w:tcPr>
            <w:vAlign w:val="center"/>
          </w:tcPr>
          <w:p>
            <w:pPr>
              <w:jc w:val="right"/>
            </w:pPr>
            <w:r>
              <w:rPr>
                <w:color w:val="000000"/>
                <w:sz w:val="24"/>
              </w:rPr>
              <w:t>900,000</w:t>
            </w:r>
          </w:p>
        </w:tc>
        <w:tc>
          <w:tcPr>
            <w:vAlign w:val="center"/>
          </w:tcPr>
          <w:p>
            <w:pPr>
              <w:jc w:val="right"/>
            </w:pPr>
            <w:r>
              <w:rPr>
                <w:color w:val="000000"/>
                <w:sz w:val="24"/>
              </w:rPr>
              <w:t>90,315,000.00</w:t>
            </w:r>
          </w:p>
        </w:tc>
        <w:tc>
          <w:tcPr>
            <w:vAlign w:val="center"/>
          </w:tcPr>
          <w:p>
            <w:pPr>
              <w:jc w:val="right"/>
            </w:pPr>
            <w:r>
              <w:rPr>
                <w:color w:val="000000"/>
                <w:sz w:val="24"/>
              </w:rPr>
              <w:t>3.45</w:t>
            </w:r>
          </w:p>
        </w:tc>
      </w:tr>
      <w:tr>
        <w:tc>
          <w:tcPr>
            <w:vAlign w:val="center"/>
          </w:tcPr>
          <w:p>
            <w:pPr>
              <w:jc w:val="center"/>
            </w:pPr>
            <w:r>
              <w:rPr>
                <w:color w:val="000000"/>
                <w:sz w:val="24"/>
              </w:rPr>
              <w:t>4</w:t>
            </w:r>
          </w:p>
        </w:tc>
        <w:tc>
          <w:tcPr>
            <w:vAlign w:val="center"/>
          </w:tcPr>
          <w:p>
            <w:pPr>
              <w:jc w:val="center"/>
            </w:pPr>
            <w:r>
              <w:rPr>
                <w:color w:val="000000"/>
                <w:sz w:val="24"/>
              </w:rPr>
              <w:t>101764041</w:t>
            </w:r>
          </w:p>
        </w:tc>
        <w:tc>
          <w:tcPr>
            <w:vAlign w:val="center"/>
          </w:tcPr>
          <w:p>
            <w:pPr>
              <w:jc w:val="center"/>
            </w:pPr>
            <w:r>
              <w:rPr>
                <w:color w:val="000000"/>
                <w:sz w:val="24"/>
              </w:rPr>
              <w:t>17浦口城乡MTN001</w:t>
            </w:r>
          </w:p>
        </w:tc>
        <w:tc>
          <w:tcPr>
            <w:vAlign w:val="center"/>
          </w:tcPr>
          <w:p>
            <w:pPr>
              <w:jc w:val="right"/>
            </w:pPr>
            <w:r>
              <w:rPr>
                <w:color w:val="000000"/>
                <w:sz w:val="24"/>
              </w:rPr>
              <w:t>800,000</w:t>
            </w:r>
          </w:p>
        </w:tc>
        <w:tc>
          <w:tcPr>
            <w:vAlign w:val="center"/>
          </w:tcPr>
          <w:p>
            <w:pPr>
              <w:jc w:val="right"/>
            </w:pPr>
            <w:r>
              <w:rPr>
                <w:color w:val="000000"/>
                <w:sz w:val="24"/>
              </w:rPr>
              <w:t>81,296,000.00</w:t>
            </w:r>
          </w:p>
        </w:tc>
        <w:tc>
          <w:tcPr>
            <w:vAlign w:val="center"/>
          </w:tcPr>
          <w:p>
            <w:pPr>
              <w:jc w:val="right"/>
            </w:pPr>
            <w:r>
              <w:rPr>
                <w:color w:val="000000"/>
                <w:sz w:val="24"/>
              </w:rPr>
              <w:t>3.11</w:t>
            </w:r>
          </w:p>
        </w:tc>
      </w:tr>
      <w:tr>
        <w:tc>
          <w:tcPr>
            <w:vAlign w:val="center"/>
          </w:tcPr>
          <w:p>
            <w:pPr>
              <w:jc w:val="center"/>
            </w:pPr>
            <w:r>
              <w:rPr>
                <w:color w:val="000000"/>
                <w:sz w:val="24"/>
              </w:rPr>
              <w:t>5</w:t>
            </w:r>
          </w:p>
        </w:tc>
        <w:tc>
          <w:tcPr>
            <w:vAlign w:val="center"/>
          </w:tcPr>
          <w:p>
            <w:pPr>
              <w:jc w:val="center"/>
            </w:pPr>
            <w:r>
              <w:rPr>
                <w:color w:val="000000"/>
                <w:sz w:val="24"/>
              </w:rPr>
              <w:t>011902510</w:t>
            </w:r>
          </w:p>
        </w:tc>
        <w:tc>
          <w:tcPr>
            <w:vAlign w:val="center"/>
          </w:tcPr>
          <w:p>
            <w:pPr>
              <w:jc w:val="center"/>
            </w:pPr>
            <w:r>
              <w:rPr>
                <w:color w:val="000000"/>
                <w:sz w:val="24"/>
              </w:rPr>
              <w:t>19闽漳龙SCP006</w:t>
            </w:r>
          </w:p>
        </w:tc>
        <w:tc>
          <w:tcPr>
            <w:vAlign w:val="center"/>
          </w:tcPr>
          <w:p>
            <w:pPr>
              <w:jc w:val="right"/>
            </w:pPr>
            <w:r>
              <w:rPr>
                <w:color w:val="000000"/>
                <w:sz w:val="24"/>
              </w:rPr>
              <w:t>800,000</w:t>
            </w:r>
          </w:p>
        </w:tc>
        <w:tc>
          <w:tcPr>
            <w:vAlign w:val="center"/>
          </w:tcPr>
          <w:p>
            <w:pPr>
              <w:jc w:val="right"/>
            </w:pPr>
            <w:r>
              <w:rPr>
                <w:color w:val="000000"/>
                <w:sz w:val="24"/>
              </w:rPr>
              <w:t>80,512,000.00</w:t>
            </w:r>
          </w:p>
        </w:tc>
        <w:tc>
          <w:tcPr>
            <w:vAlign w:val="center"/>
          </w:tcPr>
          <w:p>
            <w:pPr>
              <w:jc w:val="right"/>
            </w:pPr>
            <w:r>
              <w:rPr>
                <w:color w:val="000000"/>
                <w:sz w:val="24"/>
              </w:rPr>
              <w:t>3.08</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085115" w:rsidR="00085115" w:rsidRDefault="00085115" w:rsidRPr="00085115">
      <w:pPr>
        <w:autoSpaceDE w:val="0"/>
        <w:autoSpaceDN w:val="0"/>
        <w:adjustRightInd w:val="0"/>
        <w:spacing w:before="29" w:line="288" w:lineRule="auto"/>
        <w:jc w:val="right"/>
        <w:rPr>
          <w:color w:val="000000"/>
          <w:kern w:val="0"/>
          <w:sz w:val="24"/>
        </w:rPr>
      </w:pPr>
      <w:r w:rsidRPr="00085115">
        <w:rPr>
          <w:rFonts w:hint="eastAsia"/>
          <w:color w:val="000000"/>
          <w:kern w:val="0"/>
          <w:sz w:val="24"/>
        </w:rPr>
        <w:t/>
      </w:r>
      <w:r w:rsidRPr="00085115">
        <w:rPr>
          <w:rFonts w:hint="eastAsia"/>
          <w:color w:val="000000"/>
          <w:kern w:val="0"/>
          <w:sz w:val="24"/>
        </w:rPr>
        <w:t>金额单位：人民币元</w:t>
      </w:r>
    </w:p>
    <w:tbl>
      <w:tblPr>
        <w:tblStyle w:val="af2"/>
        <w:tblW w:type="dxa" w:w="8868"/>
        <w:jc w:val="center"/>
        <w:tblCellMar>
          <w:top w:type="dxa" w:w="57"/>
          <w:bottom w:type="dxa" w:w="57"/>
        </w:tblCellMar>
        <w:tblLook w:firstColumn="1" w:firstRow="1" w:lastColumn="0" w:lastRow="0" w:noHBand="0" w:noVBand="1" w:val="04A0"/>
      </w:tblPr>
      <w:tblGrid>
        <w:gridCol w:w="1491"/>
        <w:gridCol w:w="1491"/>
        <w:gridCol w:w="1491"/>
        <w:gridCol w:w="1599"/>
        <w:gridCol w:w="1599"/>
        <w:gridCol w:w="1571"/>
      </w:tblGrid>
      <w:tr w:rsidR="009A0513" w:rsidRPr="007F52FA" w:rsidTr="00B236A5">
        <w:trPr>
          <w:jc w:val="center"/>
        </w:trPr>
        <w:tc>
          <w:tcPr>
            <w:tcW w:type="dxa" w:w="1504"/>
            <w:vAlign w:val="center"/>
          </w:tcPr>
          <w:p w:rsidP="007C14DF" w:rsidR="009A0513" w:rsidRDefault="009A0513"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04"/>
            <w:vAlign w:val="center"/>
          </w:tcPr>
          <w:p w:rsidP="007C14DF" w:rsidR="009A0513" w:rsidRDefault="009A0513"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证券代码</w:t>
            </w:r>
          </w:p>
        </w:tc>
        <w:tc>
          <w:tcPr>
            <w:tcW w:type="dxa" w:w="1504"/>
            <w:vAlign w:val="center"/>
          </w:tcPr>
          <w:p w:rsidP="007C14DF" w:rsidR="009A0513" w:rsidRDefault="009A0513"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证券名称</w:t>
            </w:r>
          </w:p>
        </w:tc>
        <w:tc>
          <w:tcPr>
            <w:tcW w:type="dxa" w:w="1503"/>
            <w:vAlign w:val="center"/>
          </w:tcPr>
          <w:p w:rsidP="005324E6" w:rsidR="009A0513" w:rsidRDefault="009A0513"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1315E1">
              <w:rPr>
                <w:rFonts w:hint="eastAsia"/>
                <w:color w:val="000000"/>
                <w:kern w:val="0"/>
                <w:sz w:val="24"/>
              </w:rPr>
              <w:t>(</w:t>
            </w:r>
            <w:r w:rsidR="001315E1">
              <w:rPr>
                <w:rFonts w:hint="eastAsia"/>
                <w:color w:val="000000"/>
                <w:kern w:val="0"/>
                <w:sz w:val="24"/>
              </w:rPr>
              <w:t>份</w:t>
            </w:r>
            <w:r w:rsidR="001315E1">
              <w:rPr>
                <w:rFonts w:hint="eastAsia"/>
                <w:color w:val="000000"/>
                <w:kern w:val="0"/>
                <w:sz w:val="24"/>
              </w:rPr>
              <w:t>)</w:t>
            </w:r>
          </w:p>
        </w:tc>
        <w:tc>
          <w:tcPr>
            <w:tcW w:type="dxa" w:w="1503"/>
            <w:vAlign w:val="center"/>
          </w:tcPr>
          <w:p w:rsidP="00430A5C" w:rsidR="009A0513" w:rsidRDefault="009A0513"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r w:rsidR="00430A5C">
              <w:rPr>
                <w:rFonts w:hint="eastAsia"/>
                <w:color w:val="000000"/>
                <w:kern w:val="0"/>
                <w:sz w:val="24"/>
              </w:rPr>
              <w:t>(</w:t>
            </w:r>
            <w:r w:rsidR="00430A5C">
              <w:rPr>
                <w:rFonts w:hint="eastAsia"/>
                <w:color w:val="000000"/>
                <w:kern w:val="0"/>
                <w:sz w:val="24"/>
              </w:rPr>
              <w:t>元</w:t>
            </w:r>
            <w:r w:rsidR="00430A5C">
              <w:rPr>
                <w:color w:val="000000"/>
                <w:kern w:val="0"/>
                <w:sz w:val="24"/>
              </w:rPr>
              <w:t>)</w:t>
            </w:r>
          </w:p>
        </w:tc>
        <w:tc>
          <w:tcPr>
            <w:tcW w:type="dxa" w:w="1503"/>
            <w:vAlign w:val="center"/>
          </w:tcPr>
          <w:p w:rsidP="007C14DF" w:rsidR="009A0513" w:rsidRDefault="009A0513"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w:t>
            </w:r>
            <w:r w:rsidR="00E412F2">
              <w:rPr>
                <w:rFonts w:hint="eastAsia"/>
                <w:color w:val="000000"/>
                <w:kern w:val="0"/>
                <w:sz w:val="24"/>
              </w:rPr>
              <w:t>比例</w:t>
            </w:r>
            <w:r w:rsidR="00187122">
              <w:rPr>
                <w:rFonts w:hint="eastAsia"/>
                <w:color w:val="000000"/>
                <w:kern w:val="0"/>
                <w:sz w:val="24"/>
              </w:rPr>
              <w:t>(</w:t>
            </w:r>
            <w:r w:rsidR="00187122">
              <w:rPr>
                <w:color w:val="000000"/>
                <w:kern w:val="0"/>
                <w:sz w:val="24"/>
              </w:rPr>
              <w:t>%</w:t>
            </w:r>
            <w:r w:rsidR="00187122">
              <w:rPr>
                <w:rFonts w:hint="eastAsia"/>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156500</w:t>
            </w:r>
          </w:p>
        </w:tc>
        <w:tc>
          <w:tcPr>
            <w:vAlign w:val="center"/>
          </w:tcPr>
          <w:p>
            <w:pPr>
              <w:jc w:val="center"/>
            </w:pPr>
            <w:r>
              <w:rPr>
                <w:color w:val="000000"/>
                <w:sz w:val="24"/>
              </w:rPr>
              <w:t>珠华发05</w:t>
            </w:r>
          </w:p>
        </w:tc>
        <w:tc>
          <w:tcPr>
            <w:vAlign w:val="center"/>
          </w:tcPr>
          <w:p>
            <w:pPr>
              <w:jc w:val="right"/>
            </w:pPr>
            <w:r>
              <w:rPr>
                <w:color w:val="000000"/>
                <w:sz w:val="24"/>
              </w:rPr>
              <w:t>700,000</w:t>
            </w:r>
          </w:p>
        </w:tc>
        <w:tc>
          <w:tcPr>
            <w:vAlign w:val="center"/>
          </w:tcPr>
          <w:p>
            <w:pPr>
              <w:jc w:val="right"/>
            </w:pPr>
            <w:r>
              <w:rPr>
                <w:color w:val="000000"/>
                <w:sz w:val="24"/>
              </w:rPr>
              <w:t>70,000,000.00</w:t>
            </w:r>
          </w:p>
        </w:tc>
        <w:tc>
          <w:tcPr>
            <w:vAlign w:val="center"/>
          </w:tcPr>
          <w:p>
            <w:pPr>
              <w:jc w:val="right"/>
            </w:pPr>
            <w:r>
              <w:rPr>
                <w:color w:val="000000"/>
                <w:sz w:val="24"/>
              </w:rPr>
              <w:t>2.67</w:t>
            </w:r>
          </w:p>
        </w:tc>
      </w:tr>
      <w:tr>
        <w:tc>
          <w:tcPr>
            <w:vAlign w:val="center"/>
          </w:tcPr>
          <w:p>
            <w:pPr>
              <w:jc w:val="center"/>
            </w:pPr>
            <w:r>
              <w:rPr>
                <w:color w:val="000000"/>
                <w:sz w:val="24"/>
              </w:rPr>
              <w:t>2</w:t>
            </w:r>
          </w:p>
        </w:tc>
        <w:tc>
          <w:tcPr>
            <w:vAlign w:val="center"/>
          </w:tcPr>
          <w:p>
            <w:pPr>
              <w:jc w:val="center"/>
            </w:pPr>
            <w:r>
              <w:rPr>
                <w:color w:val="000000"/>
                <w:sz w:val="24"/>
              </w:rPr>
              <w:t>165209</w:t>
            </w:r>
          </w:p>
        </w:tc>
        <w:tc>
          <w:tcPr>
            <w:vAlign w:val="center"/>
          </w:tcPr>
          <w:p>
            <w:pPr>
              <w:jc w:val="center"/>
            </w:pPr>
            <w:r>
              <w:rPr>
                <w:color w:val="000000"/>
                <w:sz w:val="24"/>
              </w:rPr>
              <w:t>19安吉3A</w:t>
            </w:r>
          </w:p>
        </w:tc>
        <w:tc>
          <w:tcPr>
            <w:vAlign w:val="center"/>
          </w:tcPr>
          <w:p>
            <w:pPr>
              <w:jc w:val="right"/>
            </w:pPr>
            <w:r>
              <w:rPr>
                <w:color w:val="000000"/>
                <w:sz w:val="24"/>
              </w:rPr>
              <w:t>500,000</w:t>
            </w:r>
          </w:p>
        </w:tc>
        <w:tc>
          <w:tcPr>
            <w:vAlign w:val="center"/>
          </w:tcPr>
          <w:p>
            <w:pPr>
              <w:jc w:val="right"/>
            </w:pPr>
            <w:r>
              <w:rPr>
                <w:color w:val="000000"/>
                <w:sz w:val="24"/>
              </w:rPr>
              <w:t>37,590,000.00</w:t>
            </w:r>
          </w:p>
        </w:tc>
        <w:tc>
          <w:tcPr>
            <w:vAlign w:val="center"/>
          </w:tcPr>
          <w:p>
            <w:pPr>
              <w:jc w:val="right"/>
            </w:pPr>
            <w:r>
              <w:rPr>
                <w:color w:val="000000"/>
                <w:sz w:val="24"/>
              </w:rPr>
              <w:t>1.44</w:t>
            </w:r>
          </w:p>
        </w:tc>
      </w:tr>
      <w:tr>
        <w:tc>
          <w:tcPr>
            <w:vAlign w:val="center"/>
          </w:tcPr>
          <w:p>
            <w:pPr>
              <w:jc w:val="center"/>
            </w:pPr>
            <w:r>
              <w:rPr>
                <w:color w:val="000000"/>
                <w:sz w:val="24"/>
              </w:rPr>
              <w:t>3</w:t>
            </w:r>
          </w:p>
        </w:tc>
        <w:tc>
          <w:tcPr>
            <w:vAlign w:val="center"/>
          </w:tcPr>
          <w:p>
            <w:pPr>
              <w:jc w:val="center"/>
            </w:pPr>
            <w:r>
              <w:rPr>
                <w:color w:val="000000"/>
                <w:sz w:val="24"/>
              </w:rPr>
              <w:t>165334</w:t>
            </w:r>
          </w:p>
        </w:tc>
        <w:tc>
          <w:tcPr>
            <w:vAlign w:val="center"/>
          </w:tcPr>
          <w:p>
            <w:pPr>
              <w:jc w:val="center"/>
            </w:pPr>
            <w:r>
              <w:rPr>
                <w:color w:val="000000"/>
                <w:sz w:val="24"/>
              </w:rPr>
              <w:t>信泽06A1</w:t>
            </w:r>
          </w:p>
        </w:tc>
        <w:tc>
          <w:tcPr>
            <w:vAlign w:val="center"/>
          </w:tcPr>
          <w:p>
            <w:pPr>
              <w:jc w:val="right"/>
            </w:pPr>
            <w:r>
              <w:rPr>
                <w:color w:val="000000"/>
                <w:sz w:val="24"/>
              </w:rPr>
              <w:t>100,000</w:t>
            </w:r>
          </w:p>
        </w:tc>
        <w:tc>
          <w:tcPr>
            <w:vAlign w:val="center"/>
          </w:tcPr>
          <w:p>
            <w:pPr>
              <w:jc w:val="right"/>
            </w:pPr>
            <w:r>
              <w:rPr>
                <w:color w:val="000000"/>
                <w:sz w:val="24"/>
              </w:rPr>
              <w:t>10,042,000.00</w:t>
            </w:r>
          </w:p>
        </w:tc>
        <w:tc>
          <w:tcPr>
            <w:vAlign w:val="center"/>
          </w:tcPr>
          <w:p>
            <w:pPr>
              <w:jc w:val="right"/>
            </w:pPr>
            <w:r>
              <w:rPr>
                <w:color w:val="000000"/>
                <w:sz w:val="24"/>
              </w:rPr>
              <w:t>0.38</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885AD9">
        <w:rPr>
          <w:b/>
          <w:kern w:val="0"/>
          <w:sz w:val="24"/>
        </w:rPr>
        <w:t>5.11.2</w:t>
      </w:r>
      <w:r w:rsidRPr="00384E65">
        <w:rPr>
          <w:kern w:val="0"/>
          <w:sz w:val="24"/>
        </w:rPr>
        <w:t>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bookmarkStart w:id="2" w:name="_GoBack"/>
      <w:r w:rsidRPr="00885AD9">
        <w:rPr>
          <w:b/>
          <w:kern w:val="0"/>
          <w:sz w:val="24"/>
        </w:rPr>
        <w:t>5.11.3</w:t>
      </w:r>
      <w:bookmarkEnd w:id="2"/>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538.20</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38,285,948.13</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4,857,305.50</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43,143,791.83</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本基金本报告期末未持有股票。</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交银稳鑫短债债券A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交银稳鑫短债债券C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1,741,797,297.01</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13,804,625.71</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1,200,460,810.60</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72,940,606.68</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495,155,672.54</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4,660,921.48</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2,447,102,435.07</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82,084,310.91</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注：1、如果本报告期间发生转换入、红利再投业务，则总申购份额中包含该业务；</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8</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8.</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1、中国证监会准予交银施罗德稳鑫短债债券型证券投资基金募集注册的文件；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 xml:space="preserve">2、《交银施罗德稳鑫短债债券型证券投资基金基金合同》； </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3、《交银施罗德稳鑫短债债券型证券投资基金招募说明书》；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4、《交银施罗德稳鑫短债债券型证券投资基金托管协议》；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 xml:space="preserve">5、关于申请募集注册交银施罗德稳鑫短债债券型证券投资基金的法律意见书； </w:t>
      </w:r>
    </w:p>
    <w:p>
      <w:pPr>
        <w:spacing w:before="29" w:line="288" w:lineRule="auto"/>
        <w:ind w:firstLine="480" w:firstLineChars="200"/>
        <w:rPr>
          <w:rFonts w:eastAsiaTheme="minorEastAsia"/>
          <w:color w:val="000000"/>
          <w:sz w:val="24"/>
        </w:rPr>
      </w:pPr>
      <w:r>
        <w:rPr>
          <w:rFonts w:eastAsiaTheme="minorEastAsia"/>
          <w:color w:val="000000"/>
          <w:sz w:val="24"/>
        </w:rPr>
        <w:t xml:space="preserve">6、基金管理人业务资格批件、营业执照； </w:t>
      </w:r>
    </w:p>
    <w:p>
      <w:pPr>
        <w:spacing w:before="29" w:line="288" w:lineRule="auto"/>
        <w:ind w:firstLine="480" w:firstLineChars="200"/>
        <w:rPr>
          <w:rFonts w:eastAsiaTheme="minorEastAsia"/>
          <w:color w:val="000000"/>
          <w:sz w:val="24"/>
        </w:rPr>
      </w:pPr>
      <w:r>
        <w:rPr>
          <w:rFonts w:eastAsiaTheme="minorEastAsia"/>
          <w:color w:val="000000"/>
          <w:sz w:val="24"/>
        </w:rPr>
        <w:t xml:space="preserve">7、基金托管人业务资格批件、营业执照； </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8、报告期内交银施罗德稳鑫短债债券型证券投资基金在指定报刊上各项公告的原稿。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8.2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8.3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AD1" w:rsidRDefault="00685AD1">
      <w:r>
        <w:separator/>
      </w:r>
    </w:p>
  </w:endnote>
  <w:endnote w:type="continuationSeparator" w:id="0">
    <w:p w:rsidR="00685AD1" w:rsidRDefault="0068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885AD9">
      <w:rPr>
        <w:noProof/>
        <w:kern w:val="0"/>
        <w:szCs w:val="21"/>
      </w:rPr>
      <w:t>19</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885AD9">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85AD1" w:rsidRDefault="00685AD1">
      <w:r>
        <w:separator/>
      </w:r>
    </w:p>
  </w:footnote>
  <w:footnote w:id="0" w:type="continuationSeparator">
    <w:p w:rsidR="00685AD1" w:rsidRDefault="00685AD1">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交银施罗德稳鑫短债债券型证券投资基金2020年第1季度报告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AD1"/>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5AD9"/>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82FB8-C167-4963-8B27-9929FDC0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254</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2020-03-05T08:23:00Z</dcterms:modified>
  <cp:revision>404</cp:revision>
</cp:coreProperties>
</file>