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交银施罗德稳鑫短债债券型证券投资基金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招商银行股份有限公司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基金托管人招商银行股份有限公司根据本基金合同规定，于2020年4月21日复核了本报告中的财务指标、净值表现和投资组合报告等内容，保证复核内容不存在虚假记载、误导性陈述或者重大遗漏。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交银稳鑫短债债券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006793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2019年1月24日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2,529,186,745.98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在严格控制风险和保持较高流动性的前提下,力求获得高于业绩比较基准的投资收益。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中债综合财富（1年以下）指数收益率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交银稳鑫短债债券A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交银稳鑫短债债券C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006793</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006794</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2,447,102,435.07</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82,084,310.91</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(2020年1月1日-2020年3月31日)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交银稳鑫短债债券A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交银稳鑫短债债券C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18,676,582.26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295,871.96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23,526,876.72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301,468.74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0.0124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0.0094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2,532,788,752.87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84,558,529.50</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1.0350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1.0301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交银稳鑫短债债券A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1.26%</w:t>
            </w:r>
          </w:p>
        </w:tc>
        <w:tc>
          <w:tcPr>
            <w:vAlign w:val="center"/>
          </w:tcPr>
          <w:p>
            <w:pPr>
              <w:jc w:val="center"/>
            </w:pPr>
            <w:r>
              <w:rPr>
                <w:color w:val="000000"/>
                <w:sz w:val="24"/>
              </w:rPr>
              <w:t>0.03%</w:t>
            </w:r>
          </w:p>
        </w:tc>
        <w:tc>
          <w:tcPr>
            <w:vAlign w:val="center"/>
          </w:tcPr>
          <w:p>
            <w:pPr>
              <w:jc w:val="center"/>
            </w:pPr>
            <w:r>
              <w:rPr>
                <w:color w:val="000000"/>
                <w:sz w:val="24"/>
              </w:rPr>
              <w:t>0.93%</w:t>
            </w:r>
          </w:p>
        </w:tc>
        <w:tc>
          <w:tcPr>
            <w:vAlign w:val="center"/>
          </w:tcPr>
          <w:p>
            <w:pPr>
              <w:jc w:val="center"/>
            </w:pPr>
            <w:r>
              <w:rPr>
                <w:color w:val="000000"/>
                <w:sz w:val="24"/>
              </w:rPr>
              <w:t>0.02%</w:t>
            </w:r>
          </w:p>
        </w:tc>
        <w:tc>
          <w:tcPr>
            <w:vAlign w:val="center"/>
          </w:tcPr>
          <w:p>
            <w:pPr>
              <w:jc w:val="center"/>
            </w:pPr>
            <w:r>
              <w:rPr>
                <w:color w:val="000000"/>
                <w:sz w:val="24"/>
              </w:rPr>
              <w:t>0.33%</w:t>
            </w:r>
          </w:p>
        </w:tc>
        <w:tc>
          <w:tcPr>
            <w:vAlign w:val="center"/>
          </w:tcPr>
          <w:p>
            <w:pPr>
              <w:jc w:val="center"/>
            </w:pPr>
            <w:r>
              <w:rPr>
                <w:color w:val="000000"/>
                <w:sz w:val="24"/>
              </w:rPr>
              <w:t>0.01%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交银稳鑫短债债券C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1.15%</w:t>
            </w:r>
          </w:p>
        </w:tc>
        <w:tc>
          <w:tcPr>
            <w:vAlign w:val="center"/>
          </w:tcPr>
          <w:p>
            <w:pPr>
              <w:jc w:val="center"/>
            </w:pPr>
            <w:r>
              <w:rPr>
                <w:color w:val="000000"/>
                <w:sz w:val="24"/>
              </w:rPr>
              <w:t>0.02%</w:t>
            </w:r>
          </w:p>
        </w:tc>
        <w:tc>
          <w:tcPr>
            <w:vAlign w:val="center"/>
          </w:tcPr>
          <w:p>
            <w:pPr>
              <w:jc w:val="center"/>
            </w:pPr>
            <w:r>
              <w:rPr>
                <w:color w:val="000000"/>
                <w:sz w:val="24"/>
              </w:rPr>
              <w:t>0.93%</w:t>
            </w:r>
          </w:p>
        </w:tc>
        <w:tc>
          <w:tcPr>
            <w:vAlign w:val="center"/>
          </w:tcPr>
          <w:p>
            <w:pPr>
              <w:jc w:val="center"/>
            </w:pPr>
            <w:r>
              <w:rPr>
                <w:color w:val="000000"/>
                <w:sz w:val="24"/>
              </w:rPr>
              <w:t>0.02%</w:t>
            </w:r>
          </w:p>
        </w:tc>
        <w:tc>
          <w:tcPr>
            <w:vAlign w:val="center"/>
          </w:tcPr>
          <w:p>
            <w:pPr>
              <w:jc w:val="center"/>
            </w:pPr>
            <w:r>
              <w:rPr>
                <w:color w:val="000000"/>
                <w:sz w:val="24"/>
              </w:rPr>
              <w:t>0.22%</w:t>
            </w:r>
          </w:p>
        </w:tc>
        <w:tc>
          <w:tcPr>
            <w:vAlign w:val="center"/>
          </w:tcPr>
          <w:p>
            <w:pPr>
              <w:jc w:val="center"/>
            </w:pPr>
            <w:r>
              <w:rPr>
                <w:color w:val="000000"/>
                <w:sz w:val="24"/>
              </w:rPr>
              <w:t>0.00%</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交银施罗德稳鑫短债债券型证券投资基金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2019年1月24日</w:t>
      </w:r>
      <w:r w:rsidR="009A045B" w:rsidRPr="007F52FA">
        <w:rPr>
          <w:rFonts w:ascii="Times New Roman" w:hAnsi="Times New Roman"/>
          <w:sz w:val="24"/>
          <w:szCs w:val="24"/>
        </w:rPr>
        <w:t>至</w:t>
      </w:r>
      <w:r w:rsidRPr="007F52FA">
        <w:rPr>
          <w:rFonts w:ascii="Times New Roman" w:hAnsi="Times New Roman"/>
          <w:sz w:val="24"/>
          <w:szCs w:val="24"/>
        </w:rPr>
        <w:t>2020年3月31日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交银稳鑫短债债券A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基金合同生效日为2019年1月24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交银稳鑫短债债券C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基金合同生效日为2019年1月24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2019-01-24</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收益率呈现震荡下行趋势，货币政策延续宽松，债市的主要行情来自国内新冠病毒疫情爆发和海外疫情扩散两个阶段，收益率曲线呈现牛市陡峭化。截止2020年3月31日，十年国债和十年国开债分别收于2.59%和2.95%，较2019年底分别下行55bp和63bp。</w:t>
      </w:r>
    </w:p>
    <w:p>
      <w:pPr>
        <w:spacing w:before="29" w:line="288" w:lineRule="auto"/>
        <w:ind w:firstLine="480" w:firstLineChars="200"/>
        <w:rPr>
          <w:color w:val="000000"/>
          <w:sz w:val="24"/>
        </w:rPr>
      </w:pPr>
      <w:r>
        <w:rPr>
          <w:color w:val="000000"/>
          <w:sz w:val="24"/>
        </w:rPr>
        <w:t>基金操作方面，本基金以配置397天内的短久期中高等级信用债为主，适当增配部分1-2年的资产增厚组合收益，同时辅以合理杠杆水平来提高收益。</w:t>
      </w:r>
    </w:p>
    <w:p>
      <w:pPr>
        <w:spacing w:before="29" w:line="288" w:lineRule="auto"/>
        <w:ind w:firstLine="480" w:firstLineChars="200"/>
        <w:rPr>
          <w:color w:val="000000"/>
          <w:sz w:val="24"/>
        </w:rPr>
      </w:pPr>
      <w:r>
        <w:rPr>
          <w:color w:val="000000"/>
          <w:sz w:val="24"/>
        </w:rPr>
        <w:t>展望2020年二季度，海外疫情的变化和国内政策的应对将成为影响债券市场的主要因素。在全球经济受疫情影响时间拉长、程度加深的背景下，中国经济很难独善其身，在信用扩张和经济拐点出现之前货币政策仍将维持宽松。债券市场短期内或维持震荡偏强的走势。后期利率下行的空间来自海外危机模式下对避险资产的需求，可能的调整信号需观察财政刺激力度和海外疫情拐点，收益率明显上行的概率不大，短端利率仍将维持低位。</w:t>
      </w:r>
    </w:p>
    <w:p w:rsidP="007C14DF" w:rsidR="00952A72" w:rsidRDefault="00323F25" w:rsidRPr="007F52FA">
      <w:pPr>
        <w:spacing w:before="29" w:line="288" w:lineRule="auto"/>
        <w:ind w:firstLine="480" w:firstLineChars="200"/>
        <w:rPr>
          <w:color w:val="000000"/>
          <w:sz w:val="24"/>
        </w:rPr>
      </w:pPr>
      <w:r w:rsidRPr="007F52FA">
        <w:rPr>
          <w:color w:val="000000"/>
          <w:sz w:val="24"/>
        </w:rPr>
        <w:t>组合操作方面，本基金将会控制整体组合久期，辅以合理杠杆水平来增厚组合收益，同时特别关注信用风险。</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2,688,632,648.00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98.40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2,571,000,648.00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94.09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117,632,000.00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4.30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690,263.50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43,143,791.83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2,732,466,703.33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1,502,700.00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0.06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185,107,980.00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7.07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185,107,980.00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7.07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40,906,968.00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1.56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1,080,721,500.00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41.29</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1,136,080,500.00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43.41</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126,681,000.00</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4.84</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2,571,000,648.00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98.23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101756042</w:t>
            </w:r>
          </w:p>
        </w:tc>
        <w:tc>
          <w:tcPr>
            <w:vAlign w:val="center"/>
          </w:tcPr>
          <w:p>
            <w:pPr>
              <w:jc w:val="center"/>
            </w:pPr>
            <w:r>
              <w:rPr>
                <w:color w:val="000000"/>
                <w:sz w:val="24"/>
              </w:rPr>
              <w:t>17港兴港投MTN001</w:t>
            </w:r>
          </w:p>
        </w:tc>
        <w:tc>
          <w:tcPr>
            <w:vAlign w:val="center"/>
          </w:tcPr>
          <w:p>
            <w:pPr>
              <w:jc w:val="right"/>
            </w:pPr>
            <w:r>
              <w:rPr>
                <w:color w:val="000000"/>
                <w:sz w:val="24"/>
              </w:rPr>
              <w:t>1,000,000</w:t>
            </w:r>
          </w:p>
        </w:tc>
        <w:tc>
          <w:tcPr>
            <w:vAlign w:val="center"/>
          </w:tcPr>
          <w:p>
            <w:pPr>
              <w:jc w:val="right"/>
            </w:pPr>
            <w:r>
              <w:rPr>
                <w:color w:val="000000"/>
                <w:sz w:val="24"/>
              </w:rPr>
              <w:t>102,140,000.00</w:t>
            </w:r>
          </w:p>
        </w:tc>
        <w:tc>
          <w:tcPr>
            <w:vAlign w:val="center"/>
          </w:tcPr>
          <w:p>
            <w:pPr>
              <w:jc w:val="right"/>
            </w:pPr>
            <w:r>
              <w:rPr>
                <w:color w:val="000000"/>
                <w:sz w:val="24"/>
              </w:rPr>
              <w:t>3.90</w:t>
            </w:r>
          </w:p>
        </w:tc>
      </w:tr>
      <w:tr>
        <w:tc>
          <w:tcPr>
            <w:vAlign w:val="center"/>
          </w:tcPr>
          <w:p>
            <w:pPr>
              <w:jc w:val="center"/>
            </w:pPr>
            <w:r>
              <w:rPr>
                <w:color w:val="000000"/>
                <w:sz w:val="24"/>
              </w:rPr>
              <w:t>2</w:t>
            </w:r>
          </w:p>
        </w:tc>
        <w:tc>
          <w:tcPr>
            <w:vAlign w:val="center"/>
          </w:tcPr>
          <w:p>
            <w:pPr>
              <w:jc w:val="center"/>
            </w:pPr>
            <w:r>
              <w:rPr>
                <w:color w:val="000000"/>
                <w:sz w:val="24"/>
              </w:rPr>
              <w:t>011902632</w:t>
            </w:r>
          </w:p>
        </w:tc>
        <w:tc>
          <w:tcPr>
            <w:vAlign w:val="center"/>
          </w:tcPr>
          <w:p>
            <w:pPr>
              <w:jc w:val="center"/>
            </w:pPr>
            <w:r>
              <w:rPr>
                <w:color w:val="000000"/>
                <w:sz w:val="24"/>
              </w:rPr>
              <w:t>19融和融资SCP014</w:t>
            </w:r>
          </w:p>
        </w:tc>
        <w:tc>
          <w:tcPr>
            <w:vAlign w:val="center"/>
          </w:tcPr>
          <w:p>
            <w:pPr>
              <w:jc w:val="right"/>
            </w:pPr>
            <w:r>
              <w:rPr>
                <w:color w:val="000000"/>
                <w:sz w:val="24"/>
              </w:rPr>
              <w:t>1,000,000</w:t>
            </w:r>
          </w:p>
        </w:tc>
        <w:tc>
          <w:tcPr>
            <w:vAlign w:val="center"/>
          </w:tcPr>
          <w:p>
            <w:pPr>
              <w:jc w:val="right"/>
            </w:pPr>
            <w:r>
              <w:rPr>
                <w:color w:val="000000"/>
                <w:sz w:val="24"/>
              </w:rPr>
              <w:t>100,500,000.00</w:t>
            </w:r>
          </w:p>
        </w:tc>
        <w:tc>
          <w:tcPr>
            <w:vAlign w:val="center"/>
          </w:tcPr>
          <w:p>
            <w:pPr>
              <w:jc w:val="right"/>
            </w:pPr>
            <w:r>
              <w:rPr>
                <w:color w:val="000000"/>
                <w:sz w:val="24"/>
              </w:rPr>
              <w:t>3.84</w:t>
            </w:r>
          </w:p>
        </w:tc>
      </w:tr>
      <w:tr>
        <w:tc>
          <w:tcPr>
            <w:vAlign w:val="center"/>
          </w:tcPr>
          <w:p>
            <w:pPr>
              <w:jc w:val="center"/>
            </w:pPr>
            <w:r>
              <w:rPr>
                <w:color w:val="000000"/>
                <w:sz w:val="24"/>
              </w:rPr>
              <w:t>3</w:t>
            </w:r>
          </w:p>
        </w:tc>
        <w:tc>
          <w:tcPr>
            <w:vAlign w:val="center"/>
          </w:tcPr>
          <w:p>
            <w:pPr>
              <w:jc w:val="center"/>
            </w:pPr>
            <w:r>
              <w:rPr>
                <w:color w:val="000000"/>
                <w:sz w:val="24"/>
              </w:rPr>
              <w:t>011902487</w:t>
            </w:r>
          </w:p>
        </w:tc>
        <w:tc>
          <w:tcPr>
            <w:vAlign w:val="center"/>
          </w:tcPr>
          <w:p>
            <w:pPr>
              <w:jc w:val="center"/>
            </w:pPr>
            <w:r>
              <w:rPr>
                <w:color w:val="000000"/>
                <w:sz w:val="24"/>
              </w:rPr>
              <w:t>19海通恒信SCP006</w:t>
            </w:r>
          </w:p>
        </w:tc>
        <w:tc>
          <w:tcPr>
            <w:vAlign w:val="center"/>
          </w:tcPr>
          <w:p>
            <w:pPr>
              <w:jc w:val="right"/>
            </w:pPr>
            <w:r>
              <w:rPr>
                <w:color w:val="000000"/>
                <w:sz w:val="24"/>
              </w:rPr>
              <w:t>900,000</w:t>
            </w:r>
          </w:p>
        </w:tc>
        <w:tc>
          <w:tcPr>
            <w:vAlign w:val="center"/>
          </w:tcPr>
          <w:p>
            <w:pPr>
              <w:jc w:val="right"/>
            </w:pPr>
            <w:r>
              <w:rPr>
                <w:color w:val="000000"/>
                <w:sz w:val="24"/>
              </w:rPr>
              <w:t>90,315,000.00</w:t>
            </w:r>
          </w:p>
        </w:tc>
        <w:tc>
          <w:tcPr>
            <w:vAlign w:val="center"/>
          </w:tcPr>
          <w:p>
            <w:pPr>
              <w:jc w:val="right"/>
            </w:pPr>
            <w:r>
              <w:rPr>
                <w:color w:val="000000"/>
                <w:sz w:val="24"/>
              </w:rPr>
              <w:t>3.45</w:t>
            </w:r>
          </w:p>
        </w:tc>
      </w:tr>
      <w:tr>
        <w:tc>
          <w:tcPr>
            <w:vAlign w:val="center"/>
          </w:tcPr>
          <w:p>
            <w:pPr>
              <w:jc w:val="center"/>
            </w:pPr>
            <w:r>
              <w:rPr>
                <w:color w:val="000000"/>
                <w:sz w:val="24"/>
              </w:rPr>
              <w:t>4</w:t>
            </w:r>
          </w:p>
        </w:tc>
        <w:tc>
          <w:tcPr>
            <w:vAlign w:val="center"/>
          </w:tcPr>
          <w:p>
            <w:pPr>
              <w:jc w:val="center"/>
            </w:pPr>
            <w:r>
              <w:rPr>
                <w:color w:val="000000"/>
                <w:sz w:val="24"/>
              </w:rPr>
              <w:t>101764041</w:t>
            </w:r>
          </w:p>
        </w:tc>
        <w:tc>
          <w:tcPr>
            <w:vAlign w:val="center"/>
          </w:tcPr>
          <w:p>
            <w:pPr>
              <w:jc w:val="center"/>
            </w:pPr>
            <w:r>
              <w:rPr>
                <w:color w:val="000000"/>
                <w:sz w:val="24"/>
              </w:rPr>
              <w:t>17浦口城乡MTN001</w:t>
            </w:r>
          </w:p>
        </w:tc>
        <w:tc>
          <w:tcPr>
            <w:vAlign w:val="center"/>
          </w:tcPr>
          <w:p>
            <w:pPr>
              <w:jc w:val="right"/>
            </w:pPr>
            <w:r>
              <w:rPr>
                <w:color w:val="000000"/>
                <w:sz w:val="24"/>
              </w:rPr>
              <w:t>800,000</w:t>
            </w:r>
          </w:p>
        </w:tc>
        <w:tc>
          <w:tcPr>
            <w:vAlign w:val="center"/>
          </w:tcPr>
          <w:p>
            <w:pPr>
              <w:jc w:val="right"/>
            </w:pPr>
            <w:r>
              <w:rPr>
                <w:color w:val="000000"/>
                <w:sz w:val="24"/>
              </w:rPr>
              <w:t>81,296,000.00</w:t>
            </w:r>
          </w:p>
        </w:tc>
        <w:tc>
          <w:tcPr>
            <w:vAlign w:val="center"/>
          </w:tcPr>
          <w:p>
            <w:pPr>
              <w:jc w:val="right"/>
            </w:pPr>
            <w:r>
              <w:rPr>
                <w:color w:val="000000"/>
                <w:sz w:val="24"/>
              </w:rPr>
              <w:t>3.11</w:t>
            </w:r>
          </w:p>
        </w:tc>
      </w:tr>
      <w:tr>
        <w:tc>
          <w:tcPr>
            <w:vAlign w:val="center"/>
          </w:tcPr>
          <w:p>
            <w:pPr>
              <w:jc w:val="center"/>
            </w:pPr>
            <w:r>
              <w:rPr>
                <w:color w:val="000000"/>
                <w:sz w:val="24"/>
              </w:rPr>
              <w:t>5</w:t>
            </w:r>
          </w:p>
        </w:tc>
        <w:tc>
          <w:tcPr>
            <w:vAlign w:val="center"/>
          </w:tcPr>
          <w:p>
            <w:pPr>
              <w:jc w:val="center"/>
            </w:pPr>
            <w:r>
              <w:rPr>
                <w:color w:val="000000"/>
                <w:sz w:val="24"/>
              </w:rPr>
              <w:t>011902510</w:t>
            </w:r>
          </w:p>
        </w:tc>
        <w:tc>
          <w:tcPr>
            <w:vAlign w:val="center"/>
          </w:tcPr>
          <w:p>
            <w:pPr>
              <w:jc w:val="center"/>
            </w:pPr>
            <w:r>
              <w:rPr>
                <w:color w:val="000000"/>
                <w:sz w:val="24"/>
              </w:rPr>
              <w:t>19闽漳龙SCP006</w:t>
            </w:r>
          </w:p>
        </w:tc>
        <w:tc>
          <w:tcPr>
            <w:vAlign w:val="center"/>
          </w:tcPr>
          <w:p>
            <w:pPr>
              <w:jc w:val="right"/>
            </w:pPr>
            <w:r>
              <w:rPr>
                <w:color w:val="000000"/>
                <w:sz w:val="24"/>
              </w:rPr>
              <w:t>800,000</w:t>
            </w:r>
          </w:p>
        </w:tc>
        <w:tc>
          <w:tcPr>
            <w:vAlign w:val="center"/>
          </w:tcPr>
          <w:p>
            <w:pPr>
              <w:jc w:val="right"/>
            </w:pPr>
            <w:r>
              <w:rPr>
                <w:color w:val="000000"/>
                <w:sz w:val="24"/>
              </w:rPr>
              <w:t>80,512,000.00</w:t>
            </w:r>
          </w:p>
        </w:tc>
        <w:tc>
          <w:tcPr>
            <w:vAlign w:val="center"/>
          </w:tcPr>
          <w:p>
            <w:pPr>
              <w:jc w:val="right"/>
            </w:pPr>
            <w:r>
              <w:rPr>
                <w:color w:val="000000"/>
                <w:sz w:val="24"/>
              </w:rPr>
              <w:t>3.08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085115" w:rsidR="00085115" w:rsidRDefault="00085115" w:rsidRPr="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
      </w:r>
      <w:r w:rsidRPr="00085115">
        <w:rPr>
          <w:rFonts w:hint="eastAsia"/>
          <w:color w:val="000000"/>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491"/>
        <w:gridCol w:w="1491"/>
        <w:gridCol w:w="1491"/>
        <w:gridCol w:w="1599"/>
        <w:gridCol w:w="1599"/>
        <w:gridCol w:w="1571"/>
      </w:tblGrid>
      <w:tr w:rsidR="009A0513" w:rsidRPr="007F52FA" w:rsidTr="00B236A5">
        <w:trPr>
          <w:jc w:val="center"/>
        </w:trPr>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type="dxa" w:w="1503"/>
            <w:vAlign w:val="center"/>
          </w:tcPr>
          <w:p w:rsidP="005324E6"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type="dxa" w:w="1503"/>
            <w:vAlign w:val="center"/>
          </w:tcPr>
          <w:p w:rsidP="00430A5C"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type="dxa" w:w="1503"/>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156500</w:t>
            </w:r>
          </w:p>
        </w:tc>
        <w:tc>
          <w:tcPr>
            <w:vAlign w:val="center"/>
          </w:tcPr>
          <w:p>
            <w:pPr>
              <w:jc w:val="center"/>
            </w:pPr>
            <w:r>
              <w:rPr>
                <w:color w:val="000000"/>
                <w:sz w:val="24"/>
              </w:rPr>
              <w:t>珠华发05</w:t>
            </w:r>
          </w:p>
        </w:tc>
        <w:tc>
          <w:tcPr>
            <w:vAlign w:val="center"/>
          </w:tcPr>
          <w:p>
            <w:pPr>
              <w:jc w:val="right"/>
            </w:pPr>
            <w:r>
              <w:rPr>
                <w:color w:val="000000"/>
                <w:sz w:val="24"/>
              </w:rPr>
              <w:t>700,000</w:t>
            </w:r>
          </w:p>
        </w:tc>
        <w:tc>
          <w:tcPr>
            <w:vAlign w:val="center"/>
          </w:tcPr>
          <w:p>
            <w:pPr>
              <w:jc w:val="right"/>
            </w:pPr>
            <w:r>
              <w:rPr>
                <w:color w:val="000000"/>
                <w:sz w:val="24"/>
              </w:rPr>
              <w:t>70,000,000.00</w:t>
            </w:r>
          </w:p>
        </w:tc>
        <w:tc>
          <w:tcPr>
            <w:vAlign w:val="center"/>
          </w:tcPr>
          <w:p>
            <w:pPr>
              <w:jc w:val="right"/>
            </w:pPr>
            <w:r>
              <w:rPr>
                <w:color w:val="000000"/>
                <w:sz w:val="24"/>
              </w:rPr>
              <w:t>2.67</w:t>
            </w:r>
          </w:p>
        </w:tc>
      </w:tr>
      <w:tr>
        <w:tc>
          <w:tcPr>
            <w:vAlign w:val="center"/>
          </w:tcPr>
          <w:p>
            <w:pPr>
              <w:jc w:val="center"/>
            </w:pPr>
            <w:r>
              <w:rPr>
                <w:color w:val="000000"/>
                <w:sz w:val="24"/>
              </w:rPr>
              <w:t>2</w:t>
            </w:r>
          </w:p>
        </w:tc>
        <w:tc>
          <w:tcPr>
            <w:vAlign w:val="center"/>
          </w:tcPr>
          <w:p>
            <w:pPr>
              <w:jc w:val="center"/>
            </w:pPr>
            <w:r>
              <w:rPr>
                <w:color w:val="000000"/>
                <w:sz w:val="24"/>
              </w:rPr>
              <w:t>165209</w:t>
            </w:r>
          </w:p>
        </w:tc>
        <w:tc>
          <w:tcPr>
            <w:vAlign w:val="center"/>
          </w:tcPr>
          <w:p>
            <w:pPr>
              <w:jc w:val="center"/>
            </w:pPr>
            <w:r>
              <w:rPr>
                <w:color w:val="000000"/>
                <w:sz w:val="24"/>
              </w:rPr>
              <w:t>19安吉3A</w:t>
            </w:r>
          </w:p>
        </w:tc>
        <w:tc>
          <w:tcPr>
            <w:vAlign w:val="center"/>
          </w:tcPr>
          <w:p>
            <w:pPr>
              <w:jc w:val="right"/>
            </w:pPr>
            <w:r>
              <w:rPr>
                <w:color w:val="000000"/>
                <w:sz w:val="24"/>
              </w:rPr>
              <w:t>500,000</w:t>
            </w:r>
          </w:p>
        </w:tc>
        <w:tc>
          <w:tcPr>
            <w:vAlign w:val="center"/>
          </w:tcPr>
          <w:p>
            <w:pPr>
              <w:jc w:val="right"/>
            </w:pPr>
            <w:r>
              <w:rPr>
                <w:color w:val="000000"/>
                <w:sz w:val="24"/>
              </w:rPr>
              <w:t>37,590,000.00</w:t>
            </w:r>
          </w:p>
        </w:tc>
        <w:tc>
          <w:tcPr>
            <w:vAlign w:val="center"/>
          </w:tcPr>
          <w:p>
            <w:pPr>
              <w:jc w:val="right"/>
            </w:pPr>
            <w:r>
              <w:rPr>
                <w:color w:val="000000"/>
                <w:sz w:val="24"/>
              </w:rPr>
              <w:t>1.44</w:t>
            </w:r>
          </w:p>
        </w:tc>
      </w:tr>
      <w:tr>
        <w:tc>
          <w:tcPr>
            <w:vAlign w:val="center"/>
          </w:tcPr>
          <w:p>
            <w:pPr>
              <w:jc w:val="center"/>
            </w:pPr>
            <w:r>
              <w:rPr>
                <w:color w:val="000000"/>
                <w:sz w:val="24"/>
              </w:rPr>
              <w:t>3</w:t>
            </w:r>
          </w:p>
        </w:tc>
        <w:tc>
          <w:tcPr>
            <w:vAlign w:val="center"/>
          </w:tcPr>
          <w:p>
            <w:pPr>
              <w:jc w:val="center"/>
            </w:pPr>
            <w:r>
              <w:rPr>
                <w:color w:val="000000"/>
                <w:sz w:val="24"/>
              </w:rPr>
              <w:t>165334</w:t>
            </w:r>
          </w:p>
        </w:tc>
        <w:tc>
          <w:tcPr>
            <w:vAlign w:val="center"/>
          </w:tcPr>
          <w:p>
            <w:pPr>
              <w:jc w:val="center"/>
            </w:pPr>
            <w:r>
              <w:rPr>
                <w:color w:val="000000"/>
                <w:sz w:val="24"/>
              </w:rPr>
              <w:t>信泽06A1</w:t>
            </w:r>
          </w:p>
        </w:tc>
        <w:tc>
          <w:tcPr>
            <w:vAlign w:val="center"/>
          </w:tcPr>
          <w:p>
            <w:pPr>
              <w:jc w:val="right"/>
            </w:pPr>
            <w:r>
              <w:rPr>
                <w:color w:val="000000"/>
                <w:sz w:val="24"/>
              </w:rPr>
              <w:t>100,000</w:t>
            </w:r>
          </w:p>
        </w:tc>
        <w:tc>
          <w:tcPr>
            <w:vAlign w:val="center"/>
          </w:tcPr>
          <w:p>
            <w:pPr>
              <w:jc w:val="right"/>
            </w:pPr>
            <w:r>
              <w:rPr>
                <w:color w:val="000000"/>
                <w:sz w:val="24"/>
              </w:rPr>
              <w:t>10,042,000.00</w:t>
            </w:r>
          </w:p>
        </w:tc>
        <w:tc>
          <w:tcPr>
            <w:vAlign w:val="center"/>
          </w:tcPr>
          <w:p>
            <w:pPr>
              <w:jc w:val="right"/>
            </w:pPr>
            <w:r>
              <w:rPr>
                <w:color w:val="000000"/>
                <w:sz w:val="24"/>
              </w:rPr>
              <w:t>0.38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538.20</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38,285,948.13</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4,857,305.50</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43,143,791.83</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交银稳鑫短债债券A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交银稳鑫短债债券C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1,741,797,297.01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13,804,625.71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1,200,460,810.60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72,940,606.68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495,155,672.54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4,660,921.48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2,447,102,435.07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82,084,310.91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1、中国证监会准予交银施罗德稳鑫短债债券型证券投资基金募集注册的文件；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2、《交银施罗德稳鑫短债债券型证券投资基金基金合同》；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3、《交银施罗德稳鑫短债债券型证券投资基金招募说明书》；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4、《交银施罗德稳鑫短债债券型证券投资基金托管协议》；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5、关于申请募集注册交银施罗德稳鑫短债债券型证券投资基金的法律意见书；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8、报告期内交银施罗德稳鑫短债债券型证券投资基金在指定报刊上各项公告的原稿。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交银施罗德稳鑫短债债券型证券投资基金2020年第1季度报告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