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5546D" w:rsidRDefault="004E5E3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219,563,679.60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E5E35" w:rsidRPr="00414345" w:rsidTr="004E5E3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E5E35" w:rsidRPr="00414345" w:rsidTr="004E5E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4,729,760.54</w:t>
            </w:r>
          </w:p>
        </w:tc>
      </w:tr>
      <w:tr w:rsidR="004E5E35" w:rsidRPr="00414345" w:rsidTr="004E5E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-20,312,043.44</w:t>
            </w:r>
          </w:p>
        </w:tc>
      </w:tr>
      <w:tr w:rsidR="004E5E35" w:rsidRPr="00414345" w:rsidTr="004E5E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-0.0883</w:t>
            </w:r>
          </w:p>
        </w:tc>
      </w:tr>
      <w:tr w:rsidR="004E5E35" w:rsidRPr="00414345" w:rsidTr="004E5E3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344,604,296.80</w:t>
            </w:r>
          </w:p>
        </w:tc>
      </w:tr>
      <w:tr w:rsidR="004E5E35" w:rsidRPr="00414345" w:rsidTr="004E5E3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1.569</w:t>
            </w:r>
          </w:p>
        </w:tc>
      </w:tr>
    </w:tbl>
    <w:p w:rsidR="0095546D" w:rsidRDefault="004E5E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5546D">
        <w:trPr>
          <w:jc w:val="center"/>
        </w:trPr>
        <w:tc>
          <w:tcPr>
            <w:tcW w:w="1701" w:type="dxa"/>
            <w:vAlign w:val="center"/>
          </w:tcPr>
          <w:p w:rsidR="0095546D" w:rsidRDefault="004E5E35">
            <w:pPr>
              <w:jc w:val="left"/>
            </w:pPr>
            <w:r>
              <w:rPr>
                <w:color w:val="000000"/>
                <w:sz w:val="24"/>
                <w:szCs w:val="24"/>
              </w:rPr>
              <w:t>过去三个月</w:t>
            </w:r>
          </w:p>
        </w:tc>
        <w:tc>
          <w:tcPr>
            <w:tcW w:w="1045" w:type="dxa"/>
            <w:vAlign w:val="center"/>
          </w:tcPr>
          <w:p w:rsidR="0095546D" w:rsidRDefault="004E5E35">
            <w:pPr>
              <w:jc w:val="center"/>
            </w:pPr>
            <w:r>
              <w:rPr>
                <w:color w:val="000000"/>
                <w:sz w:val="24"/>
                <w:szCs w:val="24"/>
              </w:rPr>
              <w:t>-5.25%</w:t>
            </w:r>
          </w:p>
        </w:tc>
        <w:tc>
          <w:tcPr>
            <w:tcW w:w="1344" w:type="dxa"/>
            <w:vAlign w:val="center"/>
          </w:tcPr>
          <w:p w:rsidR="0095546D" w:rsidRDefault="004E5E35">
            <w:pPr>
              <w:jc w:val="center"/>
            </w:pPr>
            <w:r>
              <w:rPr>
                <w:color w:val="000000"/>
                <w:sz w:val="24"/>
                <w:szCs w:val="24"/>
              </w:rPr>
              <w:t>2.01%</w:t>
            </w:r>
          </w:p>
        </w:tc>
        <w:tc>
          <w:tcPr>
            <w:tcW w:w="1194" w:type="dxa"/>
            <w:vAlign w:val="center"/>
          </w:tcPr>
          <w:p w:rsidR="0095546D" w:rsidRDefault="004E5E35">
            <w:pPr>
              <w:jc w:val="center"/>
            </w:pPr>
            <w:r>
              <w:rPr>
                <w:color w:val="000000"/>
                <w:sz w:val="24"/>
                <w:szCs w:val="24"/>
              </w:rPr>
              <w:t>-6.81%</w:t>
            </w:r>
          </w:p>
        </w:tc>
        <w:tc>
          <w:tcPr>
            <w:tcW w:w="1492" w:type="dxa"/>
            <w:vAlign w:val="center"/>
          </w:tcPr>
          <w:p w:rsidR="0095546D" w:rsidRDefault="004E5E35">
            <w:pPr>
              <w:jc w:val="center"/>
            </w:pPr>
            <w:r>
              <w:rPr>
                <w:color w:val="000000"/>
                <w:sz w:val="24"/>
                <w:szCs w:val="24"/>
              </w:rPr>
              <w:t>1.45%</w:t>
            </w:r>
          </w:p>
        </w:tc>
        <w:tc>
          <w:tcPr>
            <w:tcW w:w="1194" w:type="dxa"/>
            <w:vAlign w:val="center"/>
          </w:tcPr>
          <w:p w:rsidR="0095546D" w:rsidRDefault="004E5E35">
            <w:pPr>
              <w:jc w:val="center"/>
            </w:pPr>
            <w:r>
              <w:rPr>
                <w:color w:val="000000"/>
                <w:sz w:val="24"/>
                <w:szCs w:val="24"/>
              </w:rPr>
              <w:t>1.56%</w:t>
            </w:r>
          </w:p>
        </w:tc>
        <w:tc>
          <w:tcPr>
            <w:tcW w:w="898" w:type="dxa"/>
            <w:vAlign w:val="center"/>
          </w:tcPr>
          <w:p w:rsidR="0095546D" w:rsidRDefault="004E5E35">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5546D">
        <w:trPr>
          <w:jc w:val="center"/>
        </w:trPr>
        <w:tc>
          <w:tcPr>
            <w:tcW w:w="846" w:type="dxa"/>
            <w:vAlign w:val="center"/>
          </w:tcPr>
          <w:p w:rsidR="0095546D" w:rsidRDefault="004E5E35">
            <w:pPr>
              <w:jc w:val="center"/>
            </w:pPr>
            <w:r>
              <w:rPr>
                <w:color w:val="000000"/>
                <w:sz w:val="24"/>
                <w:szCs w:val="24"/>
              </w:rPr>
              <w:t>韩威俊</w:t>
            </w:r>
          </w:p>
        </w:tc>
        <w:tc>
          <w:tcPr>
            <w:tcW w:w="845" w:type="dxa"/>
            <w:vAlign w:val="center"/>
          </w:tcPr>
          <w:p w:rsidR="0095546D" w:rsidRDefault="004E5E35">
            <w:pPr>
              <w:jc w:val="center"/>
            </w:pPr>
            <w:r>
              <w:rPr>
                <w:color w:val="000000"/>
                <w:sz w:val="24"/>
                <w:szCs w:val="24"/>
              </w:rPr>
              <w:t>交银趋势混合、交银策略回报灵活配置混合、交银消费新驱动股票、交银股息优化混合、交银品质升级混合的基金经理</w:t>
            </w:r>
          </w:p>
        </w:tc>
        <w:tc>
          <w:tcPr>
            <w:tcW w:w="1549" w:type="dxa"/>
            <w:vAlign w:val="center"/>
          </w:tcPr>
          <w:p w:rsidR="0095546D" w:rsidRDefault="004E5E35">
            <w:pPr>
              <w:jc w:val="center"/>
            </w:pPr>
            <w:r>
              <w:rPr>
                <w:color w:val="000000"/>
                <w:sz w:val="24"/>
                <w:szCs w:val="24"/>
              </w:rPr>
              <w:t>2017-06-03</w:t>
            </w:r>
          </w:p>
        </w:tc>
        <w:tc>
          <w:tcPr>
            <w:tcW w:w="1548" w:type="dxa"/>
            <w:vAlign w:val="center"/>
          </w:tcPr>
          <w:p w:rsidR="0095546D" w:rsidRDefault="004E5E35">
            <w:pPr>
              <w:jc w:val="center"/>
            </w:pPr>
            <w:r>
              <w:rPr>
                <w:color w:val="000000"/>
                <w:sz w:val="24"/>
                <w:szCs w:val="24"/>
              </w:rPr>
              <w:t>-</w:t>
            </w:r>
          </w:p>
        </w:tc>
        <w:tc>
          <w:tcPr>
            <w:tcW w:w="1407" w:type="dxa"/>
            <w:vAlign w:val="center"/>
          </w:tcPr>
          <w:p w:rsidR="0095546D" w:rsidRDefault="004E5E35">
            <w:pPr>
              <w:jc w:val="center"/>
            </w:pPr>
            <w:r>
              <w:rPr>
                <w:color w:val="000000"/>
                <w:sz w:val="24"/>
                <w:szCs w:val="24"/>
              </w:rPr>
              <w:t>14</w:t>
            </w:r>
            <w:r>
              <w:rPr>
                <w:color w:val="000000"/>
                <w:sz w:val="24"/>
                <w:szCs w:val="24"/>
              </w:rPr>
              <w:t>年</w:t>
            </w:r>
          </w:p>
        </w:tc>
        <w:tc>
          <w:tcPr>
            <w:tcW w:w="2673" w:type="dxa"/>
            <w:vAlign w:val="center"/>
          </w:tcPr>
          <w:p w:rsidR="0095546D" w:rsidRDefault="004E5E35">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5546D" w:rsidRDefault="004E5E3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5546D" w:rsidRDefault="004E5E3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5546D" w:rsidRDefault="004E5E3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5546D" w:rsidRDefault="004E5E35">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年一季度，新冠肺炎对国内国外的资本市场和经济造成了较大影响。尽管全球采取了各种货币政策、财政政策等救市措施，短期也无法弥补海外、特别是美国市场的流动性风险。</w:t>
      </w:r>
      <w:r>
        <w:rPr>
          <w:color w:val="000000"/>
          <w:sz w:val="24"/>
          <w:szCs w:val="24"/>
        </w:rPr>
        <w:t>A</w:t>
      </w:r>
      <w:r>
        <w:rPr>
          <w:color w:val="000000"/>
          <w:sz w:val="24"/>
          <w:szCs w:val="24"/>
        </w:rPr>
        <w:t>股市场在二月大幅波动后，三月的风险偏好开始大幅下降，整个市场陷入了风险偏好下降带动盈利预期下调再带动风险偏好下调的恶性循环中。从目前情况来看，海外流动性风险基本上解除，美国无限制</w:t>
      </w:r>
      <w:r>
        <w:rPr>
          <w:color w:val="000000"/>
          <w:sz w:val="24"/>
          <w:szCs w:val="24"/>
        </w:rPr>
        <w:t>QE</w:t>
      </w:r>
      <w:r>
        <w:rPr>
          <w:color w:val="000000"/>
          <w:sz w:val="24"/>
          <w:szCs w:val="24"/>
        </w:rPr>
        <w:t>政策也会导致美元指数在避险情绪消失后逐步回落，中国资产（包括货币、债券、股票）在全球市场的吸引力大幅提升。如果后续海外疫情逐步得到控制，海外资本市场稳定以后，海</w:t>
      </w:r>
      <w:r>
        <w:rPr>
          <w:color w:val="000000"/>
          <w:sz w:val="24"/>
          <w:szCs w:val="24"/>
        </w:rPr>
        <w:t>外资金或将继续快速流入中国，带动国内利率水平进一步回落以及债券价格和股票价格上升。</w:t>
      </w:r>
    </w:p>
    <w:p w:rsidR="0095546D" w:rsidRDefault="004E5E35">
      <w:pPr>
        <w:spacing w:before="29" w:line="288" w:lineRule="auto"/>
        <w:ind w:firstLineChars="200" w:firstLine="480"/>
        <w:rPr>
          <w:color w:val="000000"/>
          <w:sz w:val="24"/>
          <w:szCs w:val="24"/>
        </w:rPr>
      </w:pPr>
      <w:r>
        <w:rPr>
          <w:color w:val="000000"/>
          <w:sz w:val="24"/>
          <w:szCs w:val="24"/>
        </w:rPr>
        <w:t>本基金在</w:t>
      </w:r>
      <w:r>
        <w:rPr>
          <w:color w:val="000000"/>
          <w:sz w:val="24"/>
          <w:szCs w:val="24"/>
        </w:rPr>
        <w:t>2020</w:t>
      </w:r>
      <w:r>
        <w:rPr>
          <w:color w:val="000000"/>
          <w:sz w:val="24"/>
          <w:szCs w:val="24"/>
        </w:rPr>
        <w:t>年一季度主要以消费白马龙头作为底仓的配置思路，个股集中度依然维持在较高水平，持仓并没有发生太大变化。一季度由于疫情对消费的冲击，春节后表现相对较弱，整体落后市场。但是我们认为，随着国内疫情的逐步恢复，内需消费信心的恢复，整个消费白马全年的盈利水平整体影响不会太大，全年绝对收益仍然值得期待。</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w:t>
      </w:r>
      <w:r w:rsidRPr="00414345">
        <w:rPr>
          <w:color w:val="000000"/>
          <w:sz w:val="24"/>
          <w:szCs w:val="24"/>
        </w:rPr>
        <w:t>1</w:t>
      </w:r>
      <w:r w:rsidRPr="00414345">
        <w:rPr>
          <w:color w:val="000000"/>
          <w:sz w:val="24"/>
          <w:szCs w:val="24"/>
        </w:rPr>
        <w:t>）国内在二月按下暂停键以后，有效地控制了疫情的发展，三月已经开始复工复产。整个一季度宏观和各行业都面临较大压力，但随着国内疫情后续逐步恢复，国内正常经济活动展开和消费需求的复苏，整个内需有望出现比较明显的反弹。本基金仍然聚焦内需消费为主，结合疫情后消费复苏的节奏，适当做一些重仓股的结构调整。在追求全年绝对收益的前提下，二季度开始逐步布局市值相对低估，长期空间巨大的消费服务类龙头公司；（</w:t>
      </w:r>
      <w:r w:rsidRPr="00414345">
        <w:rPr>
          <w:color w:val="000000"/>
          <w:sz w:val="24"/>
          <w:szCs w:val="24"/>
        </w:rPr>
        <w:t>2</w:t>
      </w:r>
      <w:r w:rsidRPr="00414345">
        <w:rPr>
          <w:color w:val="000000"/>
          <w:sz w:val="24"/>
          <w:szCs w:val="24"/>
        </w:rPr>
        <w:t>）海外疫情于三月开始爆发，从欧洲到美国，对全球流动性和经济预期造成重大波动。从欧美目前情况来看，二季度整体经济影响巨大，三季度也很难出现比较明显的复苏。与海外需求高度相关的制造业等龙头企业，可能在二季度末或三季度初存在预期特别低的机会，特别是目前渗透率较低的新能源汽车和光伏等产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320,234,083.28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320,234,083.28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25,472,362.83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3,716,578.55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349,423,024.66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285,971,081.86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4,555,049.05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6,370,104.90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10,043,844.98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545,772.32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12,729,082.86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320,234,083.28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92.93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5546D">
        <w:trPr>
          <w:jc w:val="center"/>
        </w:trPr>
        <w:tc>
          <w:tcPr>
            <w:tcW w:w="855" w:type="dxa"/>
            <w:vAlign w:val="center"/>
          </w:tcPr>
          <w:p w:rsidR="0095546D" w:rsidRDefault="004E5E35">
            <w:pPr>
              <w:jc w:val="center"/>
            </w:pPr>
            <w:r>
              <w:rPr>
                <w:color w:val="000000"/>
                <w:sz w:val="24"/>
                <w:szCs w:val="24"/>
              </w:rPr>
              <w:t>1</w:t>
            </w:r>
          </w:p>
        </w:tc>
        <w:tc>
          <w:tcPr>
            <w:tcW w:w="1334" w:type="dxa"/>
            <w:vAlign w:val="center"/>
          </w:tcPr>
          <w:p w:rsidR="0095546D" w:rsidRDefault="004E5E35">
            <w:pPr>
              <w:jc w:val="center"/>
            </w:pPr>
            <w:r>
              <w:rPr>
                <w:color w:val="000000"/>
                <w:sz w:val="24"/>
                <w:szCs w:val="24"/>
              </w:rPr>
              <w:t>600519</w:t>
            </w:r>
          </w:p>
        </w:tc>
        <w:tc>
          <w:tcPr>
            <w:tcW w:w="1777" w:type="dxa"/>
            <w:vAlign w:val="center"/>
          </w:tcPr>
          <w:p w:rsidR="0095546D" w:rsidRDefault="004E5E35">
            <w:pPr>
              <w:jc w:val="center"/>
            </w:pPr>
            <w:r>
              <w:rPr>
                <w:color w:val="000000"/>
                <w:sz w:val="24"/>
                <w:szCs w:val="24"/>
              </w:rPr>
              <w:t>贵州茅台</w:t>
            </w:r>
          </w:p>
        </w:tc>
        <w:tc>
          <w:tcPr>
            <w:tcW w:w="1334" w:type="dxa"/>
            <w:vAlign w:val="center"/>
          </w:tcPr>
          <w:p w:rsidR="0095546D" w:rsidRDefault="004E5E35">
            <w:pPr>
              <w:jc w:val="right"/>
            </w:pPr>
            <w:r>
              <w:rPr>
                <w:color w:val="000000"/>
                <w:sz w:val="24"/>
                <w:szCs w:val="24"/>
              </w:rPr>
              <w:t>29,841</w:t>
            </w:r>
          </w:p>
        </w:tc>
        <w:tc>
          <w:tcPr>
            <w:tcW w:w="1924" w:type="dxa"/>
            <w:vAlign w:val="center"/>
          </w:tcPr>
          <w:p w:rsidR="0095546D" w:rsidRDefault="004E5E35">
            <w:pPr>
              <w:jc w:val="right"/>
            </w:pPr>
            <w:r>
              <w:rPr>
                <w:color w:val="000000"/>
                <w:sz w:val="24"/>
                <w:szCs w:val="24"/>
              </w:rPr>
              <w:t>33,153,351.00</w:t>
            </w:r>
          </w:p>
        </w:tc>
        <w:tc>
          <w:tcPr>
            <w:tcW w:w="1644" w:type="dxa"/>
            <w:vAlign w:val="center"/>
          </w:tcPr>
          <w:p w:rsidR="0095546D" w:rsidRDefault="004E5E35">
            <w:pPr>
              <w:jc w:val="right"/>
            </w:pPr>
            <w:r>
              <w:rPr>
                <w:color w:val="000000"/>
                <w:sz w:val="24"/>
                <w:szCs w:val="24"/>
              </w:rPr>
              <w:t>9.62</w:t>
            </w:r>
          </w:p>
        </w:tc>
      </w:tr>
      <w:tr w:rsidR="0095546D">
        <w:trPr>
          <w:jc w:val="center"/>
        </w:trPr>
        <w:tc>
          <w:tcPr>
            <w:tcW w:w="855" w:type="dxa"/>
            <w:vAlign w:val="center"/>
          </w:tcPr>
          <w:p w:rsidR="0095546D" w:rsidRDefault="004E5E35">
            <w:pPr>
              <w:jc w:val="center"/>
            </w:pPr>
            <w:r>
              <w:rPr>
                <w:color w:val="000000"/>
                <w:sz w:val="24"/>
                <w:szCs w:val="24"/>
              </w:rPr>
              <w:t>2</w:t>
            </w:r>
          </w:p>
        </w:tc>
        <w:tc>
          <w:tcPr>
            <w:tcW w:w="1334" w:type="dxa"/>
            <w:vAlign w:val="center"/>
          </w:tcPr>
          <w:p w:rsidR="0095546D" w:rsidRDefault="004E5E35">
            <w:pPr>
              <w:jc w:val="center"/>
            </w:pPr>
            <w:r>
              <w:rPr>
                <w:color w:val="000000"/>
                <w:sz w:val="24"/>
                <w:szCs w:val="24"/>
              </w:rPr>
              <w:t>000858</w:t>
            </w:r>
          </w:p>
        </w:tc>
        <w:tc>
          <w:tcPr>
            <w:tcW w:w="1777" w:type="dxa"/>
            <w:vAlign w:val="center"/>
          </w:tcPr>
          <w:p w:rsidR="0095546D" w:rsidRDefault="004E5E35">
            <w:pPr>
              <w:jc w:val="center"/>
            </w:pPr>
            <w:r>
              <w:rPr>
                <w:color w:val="000000"/>
                <w:sz w:val="24"/>
                <w:szCs w:val="24"/>
              </w:rPr>
              <w:t>五粮液</w:t>
            </w:r>
          </w:p>
        </w:tc>
        <w:tc>
          <w:tcPr>
            <w:tcW w:w="1334" w:type="dxa"/>
            <w:vAlign w:val="center"/>
          </w:tcPr>
          <w:p w:rsidR="0095546D" w:rsidRDefault="004E5E35">
            <w:pPr>
              <w:jc w:val="right"/>
            </w:pPr>
            <w:r>
              <w:rPr>
                <w:color w:val="000000"/>
                <w:sz w:val="24"/>
                <w:szCs w:val="24"/>
              </w:rPr>
              <w:t>281,978</w:t>
            </w:r>
          </w:p>
        </w:tc>
        <w:tc>
          <w:tcPr>
            <w:tcW w:w="1924" w:type="dxa"/>
            <w:vAlign w:val="center"/>
          </w:tcPr>
          <w:p w:rsidR="0095546D" w:rsidRDefault="004E5E35">
            <w:pPr>
              <w:jc w:val="right"/>
            </w:pPr>
            <w:r>
              <w:rPr>
                <w:color w:val="000000"/>
                <w:sz w:val="24"/>
                <w:szCs w:val="24"/>
              </w:rPr>
              <w:t>32,483,865.60</w:t>
            </w:r>
          </w:p>
        </w:tc>
        <w:tc>
          <w:tcPr>
            <w:tcW w:w="1644" w:type="dxa"/>
            <w:vAlign w:val="center"/>
          </w:tcPr>
          <w:p w:rsidR="0095546D" w:rsidRDefault="004E5E35">
            <w:pPr>
              <w:jc w:val="right"/>
            </w:pPr>
            <w:r>
              <w:rPr>
                <w:color w:val="000000"/>
                <w:sz w:val="24"/>
                <w:szCs w:val="24"/>
              </w:rPr>
              <w:t>9.43</w:t>
            </w:r>
          </w:p>
        </w:tc>
      </w:tr>
      <w:tr w:rsidR="0095546D">
        <w:trPr>
          <w:jc w:val="center"/>
        </w:trPr>
        <w:tc>
          <w:tcPr>
            <w:tcW w:w="855" w:type="dxa"/>
            <w:vAlign w:val="center"/>
          </w:tcPr>
          <w:p w:rsidR="0095546D" w:rsidRDefault="004E5E35">
            <w:pPr>
              <w:jc w:val="center"/>
            </w:pPr>
            <w:r>
              <w:rPr>
                <w:color w:val="000000"/>
                <w:sz w:val="24"/>
                <w:szCs w:val="24"/>
              </w:rPr>
              <w:t>3</w:t>
            </w:r>
          </w:p>
        </w:tc>
        <w:tc>
          <w:tcPr>
            <w:tcW w:w="1334" w:type="dxa"/>
            <w:vAlign w:val="center"/>
          </w:tcPr>
          <w:p w:rsidR="0095546D" w:rsidRDefault="004E5E35">
            <w:pPr>
              <w:jc w:val="center"/>
            </w:pPr>
            <w:r>
              <w:rPr>
                <w:color w:val="000000"/>
                <w:sz w:val="24"/>
                <w:szCs w:val="24"/>
              </w:rPr>
              <w:t>300146</w:t>
            </w:r>
          </w:p>
        </w:tc>
        <w:tc>
          <w:tcPr>
            <w:tcW w:w="1777" w:type="dxa"/>
            <w:vAlign w:val="center"/>
          </w:tcPr>
          <w:p w:rsidR="0095546D" w:rsidRDefault="004E5E35">
            <w:pPr>
              <w:jc w:val="center"/>
            </w:pPr>
            <w:r>
              <w:rPr>
                <w:color w:val="000000"/>
                <w:sz w:val="24"/>
                <w:szCs w:val="24"/>
              </w:rPr>
              <w:t>汤臣倍健</w:t>
            </w:r>
          </w:p>
        </w:tc>
        <w:tc>
          <w:tcPr>
            <w:tcW w:w="1334" w:type="dxa"/>
            <w:vAlign w:val="center"/>
          </w:tcPr>
          <w:p w:rsidR="0095546D" w:rsidRDefault="004E5E35">
            <w:pPr>
              <w:jc w:val="right"/>
            </w:pPr>
            <w:r>
              <w:rPr>
                <w:color w:val="000000"/>
                <w:sz w:val="24"/>
                <w:szCs w:val="24"/>
              </w:rPr>
              <w:t>1,884,836</w:t>
            </w:r>
          </w:p>
        </w:tc>
        <w:tc>
          <w:tcPr>
            <w:tcW w:w="1924" w:type="dxa"/>
            <w:vAlign w:val="center"/>
          </w:tcPr>
          <w:p w:rsidR="0095546D" w:rsidRDefault="004E5E35">
            <w:pPr>
              <w:jc w:val="right"/>
            </w:pPr>
            <w:r>
              <w:rPr>
                <w:color w:val="000000"/>
                <w:sz w:val="24"/>
                <w:szCs w:val="24"/>
              </w:rPr>
              <w:t>31,646,396.44</w:t>
            </w:r>
          </w:p>
        </w:tc>
        <w:tc>
          <w:tcPr>
            <w:tcW w:w="1644" w:type="dxa"/>
            <w:vAlign w:val="center"/>
          </w:tcPr>
          <w:p w:rsidR="0095546D" w:rsidRDefault="004E5E35">
            <w:pPr>
              <w:jc w:val="right"/>
            </w:pPr>
            <w:r>
              <w:rPr>
                <w:color w:val="000000"/>
                <w:sz w:val="24"/>
                <w:szCs w:val="24"/>
              </w:rPr>
              <w:t>9.18</w:t>
            </w:r>
          </w:p>
        </w:tc>
      </w:tr>
      <w:tr w:rsidR="0095546D">
        <w:trPr>
          <w:jc w:val="center"/>
        </w:trPr>
        <w:tc>
          <w:tcPr>
            <w:tcW w:w="855" w:type="dxa"/>
            <w:vAlign w:val="center"/>
          </w:tcPr>
          <w:p w:rsidR="0095546D" w:rsidRDefault="004E5E35">
            <w:pPr>
              <w:jc w:val="center"/>
            </w:pPr>
            <w:r>
              <w:rPr>
                <w:color w:val="000000"/>
                <w:sz w:val="24"/>
                <w:szCs w:val="24"/>
              </w:rPr>
              <w:t>4</w:t>
            </w:r>
          </w:p>
        </w:tc>
        <w:tc>
          <w:tcPr>
            <w:tcW w:w="1334" w:type="dxa"/>
            <w:vAlign w:val="center"/>
          </w:tcPr>
          <w:p w:rsidR="0095546D" w:rsidRDefault="004E5E35">
            <w:pPr>
              <w:jc w:val="center"/>
            </w:pPr>
            <w:r>
              <w:rPr>
                <w:color w:val="000000"/>
                <w:sz w:val="24"/>
                <w:szCs w:val="24"/>
              </w:rPr>
              <w:t>603369</w:t>
            </w:r>
          </w:p>
        </w:tc>
        <w:tc>
          <w:tcPr>
            <w:tcW w:w="1777" w:type="dxa"/>
            <w:vAlign w:val="center"/>
          </w:tcPr>
          <w:p w:rsidR="0095546D" w:rsidRDefault="004E5E35">
            <w:pPr>
              <w:jc w:val="center"/>
            </w:pPr>
            <w:r>
              <w:rPr>
                <w:color w:val="000000"/>
                <w:sz w:val="24"/>
                <w:szCs w:val="24"/>
              </w:rPr>
              <w:t>今世缘</w:t>
            </w:r>
          </w:p>
        </w:tc>
        <w:tc>
          <w:tcPr>
            <w:tcW w:w="1334" w:type="dxa"/>
            <w:vAlign w:val="center"/>
          </w:tcPr>
          <w:p w:rsidR="0095546D" w:rsidRDefault="004E5E35">
            <w:pPr>
              <w:jc w:val="right"/>
            </w:pPr>
            <w:r>
              <w:rPr>
                <w:color w:val="000000"/>
                <w:sz w:val="24"/>
                <w:szCs w:val="24"/>
              </w:rPr>
              <w:t>1,097,902</w:t>
            </w:r>
          </w:p>
        </w:tc>
        <w:tc>
          <w:tcPr>
            <w:tcW w:w="1924" w:type="dxa"/>
            <w:vAlign w:val="center"/>
          </w:tcPr>
          <w:p w:rsidR="0095546D" w:rsidRDefault="004E5E35">
            <w:pPr>
              <w:jc w:val="right"/>
            </w:pPr>
            <w:r>
              <w:rPr>
                <w:color w:val="000000"/>
                <w:sz w:val="24"/>
                <w:szCs w:val="24"/>
              </w:rPr>
              <w:t>30,905,941.30</w:t>
            </w:r>
          </w:p>
        </w:tc>
        <w:tc>
          <w:tcPr>
            <w:tcW w:w="1644" w:type="dxa"/>
            <w:vAlign w:val="center"/>
          </w:tcPr>
          <w:p w:rsidR="0095546D" w:rsidRDefault="004E5E35">
            <w:pPr>
              <w:jc w:val="right"/>
            </w:pPr>
            <w:r>
              <w:rPr>
                <w:color w:val="000000"/>
                <w:sz w:val="24"/>
                <w:szCs w:val="24"/>
              </w:rPr>
              <w:t>8.97</w:t>
            </w:r>
          </w:p>
        </w:tc>
      </w:tr>
      <w:tr w:rsidR="0095546D">
        <w:trPr>
          <w:jc w:val="center"/>
        </w:trPr>
        <w:tc>
          <w:tcPr>
            <w:tcW w:w="855" w:type="dxa"/>
            <w:vAlign w:val="center"/>
          </w:tcPr>
          <w:p w:rsidR="0095546D" w:rsidRDefault="004E5E35">
            <w:pPr>
              <w:jc w:val="center"/>
            </w:pPr>
            <w:r>
              <w:rPr>
                <w:color w:val="000000"/>
                <w:sz w:val="24"/>
                <w:szCs w:val="24"/>
              </w:rPr>
              <w:t>5</w:t>
            </w:r>
          </w:p>
        </w:tc>
        <w:tc>
          <w:tcPr>
            <w:tcW w:w="1334" w:type="dxa"/>
            <w:vAlign w:val="center"/>
          </w:tcPr>
          <w:p w:rsidR="0095546D" w:rsidRDefault="004E5E35">
            <w:pPr>
              <w:jc w:val="center"/>
            </w:pPr>
            <w:r>
              <w:rPr>
                <w:color w:val="000000"/>
                <w:sz w:val="24"/>
                <w:szCs w:val="24"/>
              </w:rPr>
              <w:t>600132</w:t>
            </w:r>
          </w:p>
        </w:tc>
        <w:tc>
          <w:tcPr>
            <w:tcW w:w="1777" w:type="dxa"/>
            <w:vAlign w:val="center"/>
          </w:tcPr>
          <w:p w:rsidR="0095546D" w:rsidRDefault="004E5E35">
            <w:pPr>
              <w:jc w:val="center"/>
            </w:pPr>
            <w:r>
              <w:rPr>
                <w:color w:val="000000"/>
                <w:sz w:val="24"/>
                <w:szCs w:val="24"/>
              </w:rPr>
              <w:t>重庆啤酒</w:t>
            </w:r>
          </w:p>
        </w:tc>
        <w:tc>
          <w:tcPr>
            <w:tcW w:w="1334" w:type="dxa"/>
            <w:vAlign w:val="center"/>
          </w:tcPr>
          <w:p w:rsidR="0095546D" w:rsidRDefault="004E5E35">
            <w:pPr>
              <w:jc w:val="right"/>
            </w:pPr>
            <w:r>
              <w:rPr>
                <w:color w:val="000000"/>
                <w:sz w:val="24"/>
                <w:szCs w:val="24"/>
              </w:rPr>
              <w:t>672,709</w:t>
            </w:r>
          </w:p>
        </w:tc>
        <w:tc>
          <w:tcPr>
            <w:tcW w:w="1924" w:type="dxa"/>
            <w:vAlign w:val="center"/>
          </w:tcPr>
          <w:p w:rsidR="0095546D" w:rsidRDefault="004E5E35">
            <w:pPr>
              <w:jc w:val="right"/>
            </w:pPr>
            <w:r>
              <w:rPr>
                <w:color w:val="000000"/>
                <w:sz w:val="24"/>
                <w:szCs w:val="24"/>
              </w:rPr>
              <w:t>30,614,986.59</w:t>
            </w:r>
          </w:p>
        </w:tc>
        <w:tc>
          <w:tcPr>
            <w:tcW w:w="1644" w:type="dxa"/>
            <w:vAlign w:val="center"/>
          </w:tcPr>
          <w:p w:rsidR="0095546D" w:rsidRDefault="004E5E35">
            <w:pPr>
              <w:jc w:val="right"/>
            </w:pPr>
            <w:r>
              <w:rPr>
                <w:color w:val="000000"/>
                <w:sz w:val="24"/>
                <w:szCs w:val="24"/>
              </w:rPr>
              <w:t>8.88</w:t>
            </w:r>
          </w:p>
        </w:tc>
      </w:tr>
      <w:tr w:rsidR="0095546D">
        <w:trPr>
          <w:jc w:val="center"/>
        </w:trPr>
        <w:tc>
          <w:tcPr>
            <w:tcW w:w="855" w:type="dxa"/>
            <w:vAlign w:val="center"/>
          </w:tcPr>
          <w:p w:rsidR="0095546D" w:rsidRDefault="004E5E35">
            <w:pPr>
              <w:jc w:val="center"/>
            </w:pPr>
            <w:r>
              <w:rPr>
                <w:color w:val="000000"/>
                <w:sz w:val="24"/>
                <w:szCs w:val="24"/>
              </w:rPr>
              <w:t>6</w:t>
            </w:r>
          </w:p>
        </w:tc>
        <w:tc>
          <w:tcPr>
            <w:tcW w:w="1334" w:type="dxa"/>
            <w:vAlign w:val="center"/>
          </w:tcPr>
          <w:p w:rsidR="0095546D" w:rsidRDefault="004E5E35">
            <w:pPr>
              <w:jc w:val="center"/>
            </w:pPr>
            <w:r>
              <w:rPr>
                <w:color w:val="000000"/>
                <w:sz w:val="24"/>
                <w:szCs w:val="24"/>
              </w:rPr>
              <w:t>600887</w:t>
            </w:r>
          </w:p>
        </w:tc>
        <w:tc>
          <w:tcPr>
            <w:tcW w:w="1777" w:type="dxa"/>
            <w:vAlign w:val="center"/>
          </w:tcPr>
          <w:p w:rsidR="0095546D" w:rsidRDefault="004E5E35">
            <w:pPr>
              <w:jc w:val="center"/>
            </w:pPr>
            <w:r>
              <w:rPr>
                <w:color w:val="000000"/>
                <w:sz w:val="24"/>
                <w:szCs w:val="24"/>
              </w:rPr>
              <w:t>伊利股份</w:t>
            </w:r>
          </w:p>
        </w:tc>
        <w:tc>
          <w:tcPr>
            <w:tcW w:w="1334" w:type="dxa"/>
            <w:vAlign w:val="center"/>
          </w:tcPr>
          <w:p w:rsidR="0095546D" w:rsidRDefault="004E5E35">
            <w:pPr>
              <w:jc w:val="right"/>
            </w:pPr>
            <w:r>
              <w:rPr>
                <w:color w:val="000000"/>
                <w:sz w:val="24"/>
                <w:szCs w:val="24"/>
              </w:rPr>
              <w:t>715,915</w:t>
            </w:r>
          </w:p>
        </w:tc>
        <w:tc>
          <w:tcPr>
            <w:tcW w:w="1924" w:type="dxa"/>
            <w:vAlign w:val="center"/>
          </w:tcPr>
          <w:p w:rsidR="0095546D" w:rsidRDefault="004E5E35">
            <w:pPr>
              <w:jc w:val="right"/>
            </w:pPr>
            <w:r>
              <w:rPr>
                <w:color w:val="000000"/>
                <w:sz w:val="24"/>
                <w:szCs w:val="24"/>
              </w:rPr>
              <w:t>21,377,221.90</w:t>
            </w:r>
          </w:p>
        </w:tc>
        <w:tc>
          <w:tcPr>
            <w:tcW w:w="1644" w:type="dxa"/>
            <w:vAlign w:val="center"/>
          </w:tcPr>
          <w:p w:rsidR="0095546D" w:rsidRDefault="004E5E35">
            <w:pPr>
              <w:jc w:val="right"/>
            </w:pPr>
            <w:r>
              <w:rPr>
                <w:color w:val="000000"/>
                <w:sz w:val="24"/>
                <w:szCs w:val="24"/>
              </w:rPr>
              <w:t>6.20</w:t>
            </w:r>
          </w:p>
        </w:tc>
      </w:tr>
      <w:tr w:rsidR="0095546D">
        <w:trPr>
          <w:jc w:val="center"/>
        </w:trPr>
        <w:tc>
          <w:tcPr>
            <w:tcW w:w="855" w:type="dxa"/>
            <w:vAlign w:val="center"/>
          </w:tcPr>
          <w:p w:rsidR="0095546D" w:rsidRDefault="004E5E35">
            <w:pPr>
              <w:jc w:val="center"/>
            </w:pPr>
            <w:r>
              <w:rPr>
                <w:color w:val="000000"/>
                <w:sz w:val="24"/>
                <w:szCs w:val="24"/>
              </w:rPr>
              <w:t>7</w:t>
            </w:r>
          </w:p>
        </w:tc>
        <w:tc>
          <w:tcPr>
            <w:tcW w:w="1334" w:type="dxa"/>
            <w:vAlign w:val="center"/>
          </w:tcPr>
          <w:p w:rsidR="0095546D" w:rsidRDefault="004E5E35">
            <w:pPr>
              <w:jc w:val="center"/>
            </w:pPr>
            <w:r>
              <w:rPr>
                <w:color w:val="000000"/>
                <w:sz w:val="24"/>
                <w:szCs w:val="24"/>
              </w:rPr>
              <w:t>002461</w:t>
            </w:r>
          </w:p>
        </w:tc>
        <w:tc>
          <w:tcPr>
            <w:tcW w:w="1777" w:type="dxa"/>
            <w:vAlign w:val="center"/>
          </w:tcPr>
          <w:p w:rsidR="0095546D" w:rsidRDefault="004E5E35">
            <w:pPr>
              <w:jc w:val="center"/>
            </w:pPr>
            <w:r>
              <w:rPr>
                <w:color w:val="000000"/>
                <w:sz w:val="24"/>
                <w:szCs w:val="24"/>
              </w:rPr>
              <w:t>珠江啤酒</w:t>
            </w:r>
          </w:p>
        </w:tc>
        <w:tc>
          <w:tcPr>
            <w:tcW w:w="1334" w:type="dxa"/>
            <w:vAlign w:val="center"/>
          </w:tcPr>
          <w:p w:rsidR="0095546D" w:rsidRDefault="004E5E35">
            <w:pPr>
              <w:jc w:val="right"/>
            </w:pPr>
            <w:r>
              <w:rPr>
                <w:color w:val="000000"/>
                <w:sz w:val="24"/>
                <w:szCs w:val="24"/>
              </w:rPr>
              <w:t>2,987,700</w:t>
            </w:r>
          </w:p>
        </w:tc>
        <w:tc>
          <w:tcPr>
            <w:tcW w:w="1924" w:type="dxa"/>
            <w:vAlign w:val="center"/>
          </w:tcPr>
          <w:p w:rsidR="0095546D" w:rsidRDefault="004E5E35">
            <w:pPr>
              <w:jc w:val="right"/>
            </w:pPr>
            <w:r>
              <w:rPr>
                <w:color w:val="000000"/>
                <w:sz w:val="24"/>
                <w:szCs w:val="24"/>
              </w:rPr>
              <w:t>20,734,638.00</w:t>
            </w:r>
          </w:p>
        </w:tc>
        <w:tc>
          <w:tcPr>
            <w:tcW w:w="1644" w:type="dxa"/>
            <w:vAlign w:val="center"/>
          </w:tcPr>
          <w:p w:rsidR="0095546D" w:rsidRDefault="004E5E35">
            <w:pPr>
              <w:jc w:val="right"/>
            </w:pPr>
            <w:r>
              <w:rPr>
                <w:color w:val="000000"/>
                <w:sz w:val="24"/>
                <w:szCs w:val="24"/>
              </w:rPr>
              <w:t>6.02</w:t>
            </w:r>
          </w:p>
        </w:tc>
      </w:tr>
      <w:tr w:rsidR="0095546D">
        <w:trPr>
          <w:jc w:val="center"/>
        </w:trPr>
        <w:tc>
          <w:tcPr>
            <w:tcW w:w="855" w:type="dxa"/>
            <w:vAlign w:val="center"/>
          </w:tcPr>
          <w:p w:rsidR="0095546D" w:rsidRDefault="004E5E35">
            <w:pPr>
              <w:jc w:val="center"/>
            </w:pPr>
            <w:r>
              <w:rPr>
                <w:color w:val="000000"/>
                <w:sz w:val="24"/>
                <w:szCs w:val="24"/>
              </w:rPr>
              <w:t>8</w:t>
            </w:r>
          </w:p>
        </w:tc>
        <w:tc>
          <w:tcPr>
            <w:tcW w:w="1334" w:type="dxa"/>
            <w:vAlign w:val="center"/>
          </w:tcPr>
          <w:p w:rsidR="0095546D" w:rsidRDefault="004E5E35">
            <w:pPr>
              <w:jc w:val="center"/>
            </w:pPr>
            <w:r>
              <w:rPr>
                <w:color w:val="000000"/>
                <w:sz w:val="24"/>
                <w:szCs w:val="24"/>
              </w:rPr>
              <w:t>600529</w:t>
            </w:r>
          </w:p>
        </w:tc>
        <w:tc>
          <w:tcPr>
            <w:tcW w:w="1777" w:type="dxa"/>
            <w:vAlign w:val="center"/>
          </w:tcPr>
          <w:p w:rsidR="0095546D" w:rsidRDefault="004E5E35">
            <w:pPr>
              <w:jc w:val="center"/>
            </w:pPr>
            <w:r>
              <w:rPr>
                <w:color w:val="000000"/>
                <w:sz w:val="24"/>
                <w:szCs w:val="24"/>
              </w:rPr>
              <w:t>山东药玻</w:t>
            </w:r>
          </w:p>
        </w:tc>
        <w:tc>
          <w:tcPr>
            <w:tcW w:w="1334" w:type="dxa"/>
            <w:vAlign w:val="center"/>
          </w:tcPr>
          <w:p w:rsidR="0095546D" w:rsidRDefault="004E5E35">
            <w:pPr>
              <w:jc w:val="right"/>
            </w:pPr>
            <w:r>
              <w:rPr>
                <w:color w:val="000000"/>
                <w:sz w:val="24"/>
                <w:szCs w:val="24"/>
              </w:rPr>
              <w:t>516,700</w:t>
            </w:r>
          </w:p>
        </w:tc>
        <w:tc>
          <w:tcPr>
            <w:tcW w:w="1924" w:type="dxa"/>
            <w:vAlign w:val="center"/>
          </w:tcPr>
          <w:p w:rsidR="0095546D" w:rsidRDefault="004E5E35">
            <w:pPr>
              <w:jc w:val="right"/>
            </w:pPr>
            <w:r>
              <w:rPr>
                <w:color w:val="000000"/>
                <w:sz w:val="24"/>
                <w:szCs w:val="24"/>
              </w:rPr>
              <w:t>17,128,786.00</w:t>
            </w:r>
          </w:p>
        </w:tc>
        <w:tc>
          <w:tcPr>
            <w:tcW w:w="1644" w:type="dxa"/>
            <w:vAlign w:val="center"/>
          </w:tcPr>
          <w:p w:rsidR="0095546D" w:rsidRDefault="004E5E35">
            <w:pPr>
              <w:jc w:val="right"/>
            </w:pPr>
            <w:r>
              <w:rPr>
                <w:color w:val="000000"/>
                <w:sz w:val="24"/>
                <w:szCs w:val="24"/>
              </w:rPr>
              <w:t>4.97</w:t>
            </w:r>
          </w:p>
        </w:tc>
      </w:tr>
      <w:tr w:rsidR="0095546D">
        <w:trPr>
          <w:jc w:val="center"/>
        </w:trPr>
        <w:tc>
          <w:tcPr>
            <w:tcW w:w="855" w:type="dxa"/>
            <w:vAlign w:val="center"/>
          </w:tcPr>
          <w:p w:rsidR="0095546D" w:rsidRDefault="004E5E35">
            <w:pPr>
              <w:jc w:val="center"/>
            </w:pPr>
            <w:r>
              <w:rPr>
                <w:color w:val="000000"/>
                <w:sz w:val="24"/>
                <w:szCs w:val="24"/>
              </w:rPr>
              <w:t>9</w:t>
            </w:r>
          </w:p>
        </w:tc>
        <w:tc>
          <w:tcPr>
            <w:tcW w:w="1334" w:type="dxa"/>
            <w:vAlign w:val="center"/>
          </w:tcPr>
          <w:p w:rsidR="0095546D" w:rsidRDefault="004E5E35">
            <w:pPr>
              <w:jc w:val="center"/>
            </w:pPr>
            <w:r>
              <w:rPr>
                <w:color w:val="000000"/>
                <w:sz w:val="24"/>
                <w:szCs w:val="24"/>
              </w:rPr>
              <w:t>000651</w:t>
            </w:r>
          </w:p>
        </w:tc>
        <w:tc>
          <w:tcPr>
            <w:tcW w:w="1777" w:type="dxa"/>
            <w:vAlign w:val="center"/>
          </w:tcPr>
          <w:p w:rsidR="0095546D" w:rsidRDefault="004E5E35">
            <w:pPr>
              <w:jc w:val="center"/>
            </w:pPr>
            <w:r>
              <w:rPr>
                <w:color w:val="000000"/>
                <w:sz w:val="24"/>
                <w:szCs w:val="24"/>
              </w:rPr>
              <w:t>格力电器</w:t>
            </w:r>
          </w:p>
        </w:tc>
        <w:tc>
          <w:tcPr>
            <w:tcW w:w="1334" w:type="dxa"/>
            <w:vAlign w:val="center"/>
          </w:tcPr>
          <w:p w:rsidR="0095546D" w:rsidRDefault="004E5E35">
            <w:pPr>
              <w:jc w:val="right"/>
            </w:pPr>
            <w:r>
              <w:rPr>
                <w:color w:val="000000"/>
                <w:sz w:val="24"/>
                <w:szCs w:val="24"/>
              </w:rPr>
              <w:t>321,269</w:t>
            </w:r>
          </w:p>
        </w:tc>
        <w:tc>
          <w:tcPr>
            <w:tcW w:w="1924" w:type="dxa"/>
            <w:vAlign w:val="center"/>
          </w:tcPr>
          <w:p w:rsidR="0095546D" w:rsidRDefault="004E5E35">
            <w:pPr>
              <w:jc w:val="right"/>
            </w:pPr>
            <w:r>
              <w:rPr>
                <w:color w:val="000000"/>
                <w:sz w:val="24"/>
                <w:szCs w:val="24"/>
              </w:rPr>
              <w:t>16,770,241.80</w:t>
            </w:r>
          </w:p>
        </w:tc>
        <w:tc>
          <w:tcPr>
            <w:tcW w:w="1644" w:type="dxa"/>
            <w:vAlign w:val="center"/>
          </w:tcPr>
          <w:p w:rsidR="0095546D" w:rsidRDefault="004E5E35">
            <w:pPr>
              <w:jc w:val="right"/>
            </w:pPr>
            <w:r>
              <w:rPr>
                <w:color w:val="000000"/>
                <w:sz w:val="24"/>
                <w:szCs w:val="24"/>
              </w:rPr>
              <w:t>4.87</w:t>
            </w:r>
          </w:p>
        </w:tc>
      </w:tr>
      <w:tr w:rsidR="0095546D">
        <w:trPr>
          <w:jc w:val="center"/>
        </w:trPr>
        <w:tc>
          <w:tcPr>
            <w:tcW w:w="855" w:type="dxa"/>
            <w:vAlign w:val="center"/>
          </w:tcPr>
          <w:p w:rsidR="0095546D" w:rsidRDefault="004E5E35">
            <w:pPr>
              <w:jc w:val="center"/>
            </w:pPr>
            <w:r>
              <w:rPr>
                <w:color w:val="000000"/>
                <w:sz w:val="24"/>
                <w:szCs w:val="24"/>
              </w:rPr>
              <w:t>10</w:t>
            </w:r>
          </w:p>
        </w:tc>
        <w:tc>
          <w:tcPr>
            <w:tcW w:w="1334" w:type="dxa"/>
            <w:vAlign w:val="center"/>
          </w:tcPr>
          <w:p w:rsidR="0095546D" w:rsidRDefault="004E5E35">
            <w:pPr>
              <w:jc w:val="center"/>
            </w:pPr>
            <w:r>
              <w:rPr>
                <w:color w:val="000000"/>
                <w:sz w:val="24"/>
                <w:szCs w:val="24"/>
              </w:rPr>
              <w:t>600276</w:t>
            </w:r>
          </w:p>
        </w:tc>
        <w:tc>
          <w:tcPr>
            <w:tcW w:w="1777" w:type="dxa"/>
            <w:vAlign w:val="center"/>
          </w:tcPr>
          <w:p w:rsidR="0095546D" w:rsidRDefault="004E5E35">
            <w:pPr>
              <w:jc w:val="center"/>
            </w:pPr>
            <w:r>
              <w:rPr>
                <w:color w:val="000000"/>
                <w:sz w:val="24"/>
                <w:szCs w:val="24"/>
              </w:rPr>
              <w:t>恒瑞医药</w:t>
            </w:r>
          </w:p>
        </w:tc>
        <w:tc>
          <w:tcPr>
            <w:tcW w:w="1334" w:type="dxa"/>
            <w:vAlign w:val="center"/>
          </w:tcPr>
          <w:p w:rsidR="0095546D" w:rsidRDefault="004E5E35">
            <w:pPr>
              <w:jc w:val="right"/>
            </w:pPr>
            <w:r>
              <w:rPr>
                <w:color w:val="000000"/>
                <w:sz w:val="24"/>
                <w:szCs w:val="24"/>
              </w:rPr>
              <w:t>152,676</w:t>
            </w:r>
          </w:p>
        </w:tc>
        <w:tc>
          <w:tcPr>
            <w:tcW w:w="1924" w:type="dxa"/>
            <w:vAlign w:val="center"/>
          </w:tcPr>
          <w:p w:rsidR="0095546D" w:rsidRDefault="004E5E35">
            <w:pPr>
              <w:jc w:val="right"/>
            </w:pPr>
            <w:r>
              <w:rPr>
                <w:color w:val="000000"/>
                <w:sz w:val="24"/>
                <w:szCs w:val="24"/>
              </w:rPr>
              <w:t>14,050,772.28</w:t>
            </w:r>
          </w:p>
        </w:tc>
        <w:tc>
          <w:tcPr>
            <w:tcW w:w="1644" w:type="dxa"/>
            <w:vAlign w:val="center"/>
          </w:tcPr>
          <w:p w:rsidR="0095546D" w:rsidRDefault="004E5E35">
            <w:pPr>
              <w:jc w:val="right"/>
            </w:pPr>
            <w:r>
              <w:rPr>
                <w:color w:val="000000"/>
                <w:sz w:val="24"/>
                <w:szCs w:val="24"/>
              </w:rPr>
              <w:t>4.08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113,593.50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3,279,976.07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5,197.79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317,811.19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3,716,578.55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5546D">
        <w:trPr>
          <w:jc w:val="center"/>
        </w:trPr>
        <w:tc>
          <w:tcPr>
            <w:tcW w:w="1129" w:type="dxa"/>
            <w:vAlign w:val="center"/>
          </w:tcPr>
          <w:p w:rsidR="0095546D" w:rsidRDefault="004E5E35">
            <w:pPr>
              <w:jc w:val="center"/>
            </w:pPr>
            <w:r>
              <w:rPr>
                <w:color w:val="000000"/>
                <w:sz w:val="24"/>
                <w:szCs w:val="24"/>
              </w:rPr>
              <w:t>1</w:t>
            </w:r>
          </w:p>
        </w:tc>
        <w:tc>
          <w:tcPr>
            <w:tcW w:w="1356" w:type="dxa"/>
            <w:vAlign w:val="center"/>
          </w:tcPr>
          <w:p w:rsidR="0095546D" w:rsidRDefault="004E5E35">
            <w:pPr>
              <w:jc w:val="center"/>
            </w:pPr>
            <w:r>
              <w:rPr>
                <w:color w:val="000000"/>
                <w:sz w:val="24"/>
                <w:szCs w:val="24"/>
              </w:rPr>
              <w:t>600529</w:t>
            </w:r>
          </w:p>
        </w:tc>
        <w:tc>
          <w:tcPr>
            <w:tcW w:w="1355" w:type="dxa"/>
            <w:vAlign w:val="center"/>
          </w:tcPr>
          <w:p w:rsidR="0095546D" w:rsidRDefault="004E5E35">
            <w:pPr>
              <w:jc w:val="center"/>
            </w:pPr>
            <w:r>
              <w:rPr>
                <w:color w:val="000000"/>
                <w:sz w:val="24"/>
                <w:szCs w:val="24"/>
              </w:rPr>
              <w:t>山东药玻</w:t>
            </w:r>
          </w:p>
        </w:tc>
        <w:tc>
          <w:tcPr>
            <w:tcW w:w="1880" w:type="dxa"/>
            <w:vAlign w:val="center"/>
          </w:tcPr>
          <w:p w:rsidR="0095546D" w:rsidRDefault="004E5E35">
            <w:pPr>
              <w:jc w:val="right"/>
            </w:pPr>
            <w:r>
              <w:rPr>
                <w:color w:val="000000"/>
                <w:sz w:val="24"/>
                <w:szCs w:val="24"/>
              </w:rPr>
              <w:t>3,136,000.00</w:t>
            </w:r>
          </w:p>
        </w:tc>
        <w:tc>
          <w:tcPr>
            <w:tcW w:w="1724" w:type="dxa"/>
            <w:vAlign w:val="center"/>
          </w:tcPr>
          <w:p w:rsidR="0095546D" w:rsidRDefault="004E5E35">
            <w:pPr>
              <w:jc w:val="right"/>
            </w:pPr>
            <w:r>
              <w:rPr>
                <w:color w:val="000000"/>
                <w:sz w:val="24"/>
                <w:szCs w:val="24"/>
              </w:rPr>
              <w:t>0.91</w:t>
            </w:r>
          </w:p>
        </w:tc>
        <w:tc>
          <w:tcPr>
            <w:tcW w:w="1424" w:type="dxa"/>
            <w:vAlign w:val="center"/>
          </w:tcPr>
          <w:p w:rsidR="0095546D" w:rsidRDefault="004E5E3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200,535,960.35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84,549,918.56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65,522,199.31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219,563,679.60</w:t>
            </w:r>
          </w:p>
        </w:tc>
      </w:tr>
    </w:tbl>
    <w:p w:rsidR="0095546D" w:rsidRDefault="004E5E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5546D">
        <w:tc>
          <w:tcPr>
            <w:tcW w:w="993" w:type="dxa"/>
            <w:vMerge w:val="restart"/>
          </w:tcPr>
          <w:p w:rsidR="0095546D" w:rsidRDefault="0095546D"/>
          <w:p w:rsidR="0095546D" w:rsidRDefault="004E5E35">
            <w:r>
              <w:rPr>
                <w:rFonts w:ascii="宋体" w:hAnsi="宋体" w:hint="eastAsia"/>
                <w:bCs/>
                <w:color w:val="000000"/>
                <w:kern w:val="0"/>
              </w:rPr>
              <w:t>机构</w:t>
            </w:r>
          </w:p>
        </w:tc>
        <w:tc>
          <w:tcPr>
            <w:tcW w:w="992" w:type="dxa"/>
            <w:vAlign w:val="center"/>
          </w:tcPr>
          <w:p w:rsidR="0095546D" w:rsidRDefault="004E5E35">
            <w:pPr>
              <w:jc w:val="center"/>
            </w:pPr>
            <w:r>
              <w:rPr>
                <w:rFonts w:ascii="宋体" w:hAnsi="宋体"/>
                <w:color w:val="000000"/>
                <w:kern w:val="0"/>
              </w:rPr>
              <w:t>1</w:t>
            </w:r>
          </w:p>
        </w:tc>
        <w:tc>
          <w:tcPr>
            <w:tcW w:w="1843" w:type="dxa"/>
            <w:vAlign w:val="center"/>
          </w:tcPr>
          <w:p w:rsidR="0095546D" w:rsidRDefault="004E5E35">
            <w:pPr>
              <w:jc w:val="center"/>
            </w:pPr>
            <w:r>
              <w:rPr>
                <w:rFonts w:ascii="宋体" w:hAnsi="宋体"/>
                <w:color w:val="000000"/>
                <w:kern w:val="0"/>
              </w:rPr>
              <w:t>2020/1/1-2020/3/31</w:t>
            </w:r>
          </w:p>
        </w:tc>
        <w:tc>
          <w:tcPr>
            <w:tcW w:w="851" w:type="dxa"/>
            <w:vAlign w:val="center"/>
          </w:tcPr>
          <w:p w:rsidR="0095546D" w:rsidRDefault="004E5E35">
            <w:pPr>
              <w:jc w:val="center"/>
            </w:pPr>
            <w:r>
              <w:rPr>
                <w:rFonts w:ascii="宋体" w:hAnsi="宋体"/>
                <w:color w:val="000000"/>
                <w:kern w:val="0"/>
              </w:rPr>
              <w:t>-</w:t>
            </w:r>
          </w:p>
        </w:tc>
        <w:tc>
          <w:tcPr>
            <w:tcW w:w="850" w:type="dxa"/>
            <w:vAlign w:val="center"/>
          </w:tcPr>
          <w:p w:rsidR="0095546D" w:rsidRDefault="004E5E35">
            <w:pPr>
              <w:jc w:val="center"/>
            </w:pPr>
            <w:r>
              <w:rPr>
                <w:rFonts w:ascii="宋体" w:hAnsi="宋体"/>
                <w:color w:val="000000"/>
                <w:kern w:val="0"/>
              </w:rPr>
              <w:t>54,314,423.66</w:t>
            </w:r>
          </w:p>
        </w:tc>
        <w:tc>
          <w:tcPr>
            <w:tcW w:w="1134" w:type="dxa"/>
            <w:vAlign w:val="center"/>
          </w:tcPr>
          <w:p w:rsidR="0095546D" w:rsidRDefault="004E5E35">
            <w:pPr>
              <w:jc w:val="center"/>
            </w:pPr>
            <w:r>
              <w:rPr>
                <w:rFonts w:ascii="宋体" w:hAnsi="宋体"/>
                <w:color w:val="000000"/>
                <w:kern w:val="0"/>
              </w:rPr>
              <w:t>6,755,478.00</w:t>
            </w:r>
          </w:p>
        </w:tc>
        <w:tc>
          <w:tcPr>
            <w:tcW w:w="1419" w:type="dxa"/>
            <w:vAlign w:val="center"/>
          </w:tcPr>
          <w:p w:rsidR="0095546D" w:rsidRDefault="004E5E35">
            <w:pPr>
              <w:jc w:val="center"/>
            </w:pPr>
            <w:r>
              <w:rPr>
                <w:rFonts w:ascii="宋体" w:hAnsi="宋体"/>
                <w:color w:val="000000"/>
                <w:kern w:val="0"/>
              </w:rPr>
              <w:t>47,558,945.66</w:t>
            </w:r>
          </w:p>
        </w:tc>
        <w:tc>
          <w:tcPr>
            <w:tcW w:w="1130" w:type="dxa"/>
            <w:vAlign w:val="center"/>
          </w:tcPr>
          <w:p w:rsidR="0095546D" w:rsidRDefault="004E5E35">
            <w:pPr>
              <w:jc w:val="center"/>
            </w:pPr>
            <w:r>
              <w:rPr>
                <w:rFonts w:ascii="宋体" w:hAnsi="宋体"/>
                <w:color w:val="000000"/>
                <w:kern w:val="0"/>
              </w:rPr>
              <w:t>21.66%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5546D" w:rsidRDefault="004E5E3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95546D" w:rsidRDefault="004E5E3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95546D" w:rsidRDefault="004E5E3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95546D" w:rsidRDefault="004E5E3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5546D" w:rsidRDefault="004E5E3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5546D" w:rsidRDefault="004E5E35">
      <w:pPr>
        <w:spacing w:before="29" w:line="288" w:lineRule="auto"/>
        <w:ind w:firstLineChars="200" w:firstLine="480"/>
        <w:rPr>
          <w:color w:val="000000"/>
          <w:sz w:val="24"/>
          <w:szCs w:val="24"/>
        </w:rPr>
      </w:pPr>
      <w:r>
        <w:rPr>
          <w:color w:val="000000"/>
          <w:sz w:val="24"/>
          <w:szCs w:val="24"/>
        </w:rPr>
        <w:t>投资者可在办公时间内至基金管理人的办公场</w:t>
      </w:r>
      <w:r>
        <w:rPr>
          <w:color w:val="000000"/>
          <w:sz w:val="24"/>
          <w:szCs w:val="24"/>
        </w:rPr>
        <w:t>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E5E35">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E5E35">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5E3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46D"/>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9DFB-C599-494C-A0B9-4DC9C715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陈吉卿</cp:lastModifiedBy>
  <cp:revision>601</cp:revision>
  <dcterms:created xsi:type="dcterms:W3CDTF">2012-10-16T06:07:00Z</dcterms:created>
  <dcterms:modified xsi:type="dcterms:W3CDTF">2020-04-10T07:41:00Z</dcterms:modified>
</cp:coreProperties>
</file>