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2014年1月28日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11,811,339.03</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交银强化回报债券A/B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交银强化回报债券C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519733</w:t>
            </w:r>
            <w:r w:rsidRPr="007F52FA">
              <w:rPr>
                <w:color w:themeColor="text1" w:val="000000"/>
                <w:sz w:val="24"/>
              </w:rPr>
              <w:t>（前端）、</w:t>
            </w:r>
            <w:r w:rsidRPr="007F52FA">
              <w:rPr>
                <w:color w:themeColor="text1" w:val="000000"/>
                <w:sz w:val="24"/>
              </w:rPr>
              <w:t>519734</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519735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9,762,886.99</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2,048,452.04</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注：本基金A类基金份额采用前端收费模式，B类基金份额采用后端收费模式，前端交易代码即为A类基金份额交易代码，后端交易代码即为B类基金份额交易代码。</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(2020年1月1日-2020年3月31日)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交银强化回报债券A/B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交银强化回报债券C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233,743.68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78,024.79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167,339.20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65,883.93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0.0170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0.0230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10,825,935.18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2,235,652.43</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1.109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1.091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交银强化回报债券A/B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1.74%</w:t>
            </w:r>
          </w:p>
        </w:tc>
        <w:tc>
          <w:tcPr>
            <w:vAlign w:val="center"/>
          </w:tcPr>
          <w:p>
            <w:pPr>
              <w:jc w:val="center"/>
            </w:pPr>
            <w:r>
              <w:rPr>
                <w:color w:val="000000"/>
                <w:sz w:val="24"/>
              </w:rPr>
              <w:t>0.29%</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-0.11%</w:t>
            </w:r>
          </w:p>
        </w:tc>
        <w:tc>
          <w:tcPr>
            <w:vAlign w:val="center"/>
          </w:tcPr>
          <w:p>
            <w:pPr>
              <w:jc w:val="center"/>
            </w:pPr>
            <w:r>
              <w:rPr>
                <w:color w:val="000000"/>
                <w:sz w:val="24"/>
              </w:rPr>
              <w:t>0.19%</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交银强化回报债券C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1.58%</w:t>
            </w:r>
          </w:p>
        </w:tc>
        <w:tc>
          <w:tcPr>
            <w:vAlign w:val="center"/>
          </w:tcPr>
          <w:p>
            <w:pPr>
              <w:jc w:val="center"/>
            </w:pPr>
            <w:r>
              <w:rPr>
                <w:color w:val="000000"/>
                <w:sz w:val="24"/>
              </w:rPr>
              <w:t>0.27%</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-0.27%</w:t>
            </w:r>
          </w:p>
        </w:tc>
        <w:tc>
          <w:tcPr>
            <w:vAlign w:val="center"/>
          </w:tcPr>
          <w:p>
            <w:pPr>
              <w:jc w:val="center"/>
            </w:pPr>
            <w:r>
              <w:rPr>
                <w:color w:val="000000"/>
                <w:sz w:val="24"/>
              </w:rPr>
              <w:t>0.17%</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交银施罗德强化回报债券型证券投资基金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2014年1月28日</w:t>
      </w:r>
      <w:r w:rsidR="009A045B" w:rsidRPr="007F52FA">
        <w:rPr>
          <w:rFonts w:ascii="Times New Roman" w:hAnsi="Times New Roman"/>
          <w:sz w:val="24"/>
          <w:szCs w:val="24"/>
        </w:rPr>
        <w:t>至</w:t>
      </w:r>
      <w:r w:rsidRPr="007F52FA">
        <w:rPr>
          <w:rFonts w:ascii="Times New Roman" w:hAnsi="Times New Roman"/>
          <w:sz w:val="24"/>
          <w:szCs w:val="24"/>
        </w:rPr>
        <w:t>2020年3月31日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交银强化回报债券C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2018-02-13</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受资金面宽裕、新冠疫情等因素影响，收益率呈现趋势下行走势。一月，因市场资金面相对宽裕，债市基本维持平稳，新冠疫情开始出现，并在下半月开始日趋严重。二月伊始，国内疫情发酵，在市场资金面宽裕的背景下，债市收益率开始不断下行；进入三月，资金面进一步宽松，虽然国内疫情逐步缓解，但国外新冠疫情开始逐步发酵，全球央行开始普遍降息，受其影响债券收益率逐步降至年内低位，全月维持低位震荡。</w:t>
      </w:r>
    </w:p>
    <w:p>
      <w:pPr>
        <w:spacing w:before="29" w:line="288" w:lineRule="auto"/>
        <w:ind w:firstLine="480" w:firstLineChars="200"/>
        <w:rPr>
          <w:color w:val="000000"/>
          <w:sz w:val="24"/>
        </w:rPr>
      </w:pPr>
      <w:r>
        <w:rPr>
          <w:color w:val="000000"/>
          <w:sz w:val="24"/>
        </w:rPr>
        <w:t>一季度，权益市场前期走势较为良好，在新冠疫情逐步发酵后，出现危机式下跌模式，国际主要指数跌幅均超过20%以上，由于国内疫情控制相对及时果断，主要指数跌幅相对较少。一月，科技、传媒以及新能源车板块表现突出，二月国内新冠疫情冲击应对措施及时果断，对市场也相对冲击短暂，科技类品种依然表现亮眼。步入三月之后，国外疫情开始逐步发酵并且形势急剧恶化，主要国家股指均出现危机式快速大幅下跌，国内指数也受其情绪影响和对经济的担忧出现同步回落，但总体回落幅度相对较小，前期涨幅较大的科技类、新能源车板块出现较大幅度回调。</w:t>
      </w:r>
    </w:p>
    <w:p>
      <w:pPr>
        <w:spacing w:before="29" w:line="288" w:lineRule="auto"/>
        <w:ind w:firstLine="480" w:firstLineChars="200"/>
        <w:rPr>
          <w:color w:val="000000"/>
          <w:sz w:val="24"/>
        </w:rPr>
      </w:pPr>
      <w:r>
        <w:rPr>
          <w:color w:val="000000"/>
          <w:sz w:val="24"/>
        </w:rPr>
        <w:t>在基金操作中，债券部分我们利率债底仓久期有所提高，但总体依然维持中短久期。权益方面，保持仓位的灵活，一至二月参与科技类等主流板块的投资机会，三月随着市场波动率加剧，迅速将仓位降低至较低水平。此外，组合积极参与权益及转债的一级市场申购，以增厚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二季度，在新冠疫情的冲击下，国内外经济均面临较为严峻的冲击，无论是企业还是民众的生活压力都有明显上升，宏观逆周期调控政策发力迫在眉睫。资金面维持宽松的格局下，如何传导到实体经济，解决经济增长困境和缓解就业压力将是二季度政府的主要工作重点和目标。考虑到债券收益率受疫情悲观预期影响已经处于历史低位附近，加之逆周期调控政策的逐步推出，市场悲观情绪或会有所缓和，因此我们对二季度债券市场维持低位震荡的观点，依然维持中短久期利率债底仓配置，并根据市场变化动态调整组合久期。权益方面，我们持续关注新冠疫情对各行业的冲击影响，及其受冲击程度和后期逐步恢复的情况，同时也积极关注逆周期调控政策发力背景下可能受益板块的相关投资机会。</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本基金本报告期内连续二十个工作日以上出现基金资产净值低于5000万元的情形，截至本报告期末，本基金基金资产净值仍低于5000万元。</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569,752.00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3.97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569,752.00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3.97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11,282,373.00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78.67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11,282,373.00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78.67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500,000.00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3.49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1,707,412.37</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11.90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282,489.78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1.97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14,342,027.15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569,752.00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4.36</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569,752.00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4.36</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002507</w:t>
            </w:r>
          </w:p>
        </w:tc>
        <w:tc>
          <w:tcPr>
            <w:vAlign w:val="center"/>
          </w:tcPr>
          <w:p>
            <w:pPr>
              <w:jc w:val="center"/>
            </w:pPr>
            <w:r>
              <w:rPr>
                <w:color w:val="000000"/>
                <w:sz w:val="24"/>
              </w:rPr>
              <w:t>涪陵榨菜</w:t>
            </w:r>
          </w:p>
        </w:tc>
        <w:tc>
          <w:tcPr>
            <w:vAlign w:val="center"/>
          </w:tcPr>
          <w:p>
            <w:pPr>
              <w:jc w:val="right"/>
            </w:pPr>
            <w:r>
              <w:rPr>
                <w:color w:val="000000"/>
                <w:sz w:val="24"/>
              </w:rPr>
              <w:t>4,300</w:t>
            </w:r>
          </w:p>
        </w:tc>
        <w:tc>
          <w:tcPr>
            <w:vAlign w:val="center"/>
          </w:tcPr>
          <w:p>
            <w:pPr>
              <w:jc w:val="right"/>
            </w:pPr>
            <w:r>
              <w:rPr>
                <w:color w:val="000000"/>
                <w:sz w:val="24"/>
              </w:rPr>
              <w:t>135,622.00</w:t>
            </w:r>
          </w:p>
        </w:tc>
        <w:tc>
          <w:tcPr>
            <w:vAlign w:val="center"/>
          </w:tcPr>
          <w:p>
            <w:pPr>
              <w:jc w:val="right"/>
            </w:pPr>
            <w:r>
              <w:rPr>
                <w:color w:val="000000"/>
                <w:sz w:val="24"/>
              </w:rPr>
              <w:t>1.04</w:t>
            </w:r>
          </w:p>
        </w:tc>
      </w:tr>
      <w:tr>
        <w:tc>
          <w:tcPr>
            <w:vAlign w:val="center"/>
          </w:tcPr>
          <w:p>
            <w:pPr>
              <w:jc w:val="center"/>
            </w:pPr>
            <w:r>
              <w:rPr>
                <w:color w:val="000000"/>
                <w:sz w:val="24"/>
              </w:rPr>
              <w:t>2</w:t>
            </w:r>
          </w:p>
        </w:tc>
        <w:tc>
          <w:tcPr>
            <w:vAlign w:val="center"/>
          </w:tcPr>
          <w:p>
            <w:pPr>
              <w:jc w:val="center"/>
            </w:pPr>
            <w:r>
              <w:rPr>
                <w:color w:val="000000"/>
                <w:sz w:val="24"/>
              </w:rPr>
              <w:t>002216</w:t>
            </w:r>
          </w:p>
        </w:tc>
        <w:tc>
          <w:tcPr>
            <w:vAlign w:val="center"/>
          </w:tcPr>
          <w:p>
            <w:pPr>
              <w:jc w:val="center"/>
            </w:pPr>
            <w:r>
              <w:rPr>
                <w:color w:val="000000"/>
                <w:sz w:val="24"/>
              </w:rPr>
              <w:t>三全食品</w:t>
            </w:r>
          </w:p>
        </w:tc>
        <w:tc>
          <w:tcPr>
            <w:vAlign w:val="center"/>
          </w:tcPr>
          <w:p>
            <w:pPr>
              <w:jc w:val="right"/>
            </w:pPr>
            <w:r>
              <w:rPr>
                <w:color w:val="000000"/>
                <w:sz w:val="24"/>
              </w:rPr>
              <w:t>6,500</w:t>
            </w:r>
          </w:p>
        </w:tc>
        <w:tc>
          <w:tcPr>
            <w:vAlign w:val="center"/>
          </w:tcPr>
          <w:p>
            <w:pPr>
              <w:jc w:val="right"/>
            </w:pPr>
            <w:r>
              <w:rPr>
                <w:color w:val="000000"/>
                <w:sz w:val="24"/>
              </w:rPr>
              <w:t>131,235.00</w:t>
            </w:r>
          </w:p>
        </w:tc>
        <w:tc>
          <w:tcPr>
            <w:vAlign w:val="center"/>
          </w:tcPr>
          <w:p>
            <w:pPr>
              <w:jc w:val="right"/>
            </w:pPr>
            <w:r>
              <w:rPr>
                <w:color w:val="000000"/>
                <w:sz w:val="24"/>
              </w:rPr>
              <w:t>1.00</w:t>
            </w:r>
          </w:p>
        </w:tc>
      </w:tr>
      <w:tr>
        <w:tc>
          <w:tcPr>
            <w:vAlign w:val="center"/>
          </w:tcPr>
          <w:p>
            <w:pPr>
              <w:jc w:val="center"/>
            </w:pPr>
            <w:r>
              <w:rPr>
                <w:color w:val="000000"/>
                <w:sz w:val="24"/>
              </w:rPr>
              <w:t>3</w:t>
            </w:r>
          </w:p>
        </w:tc>
        <w:tc>
          <w:tcPr>
            <w:vAlign w:val="center"/>
          </w:tcPr>
          <w:p>
            <w:pPr>
              <w:jc w:val="center"/>
            </w:pPr>
            <w:r>
              <w:rPr>
                <w:color w:val="000000"/>
                <w:sz w:val="24"/>
              </w:rPr>
              <w:t>603866</w:t>
            </w:r>
          </w:p>
        </w:tc>
        <w:tc>
          <w:tcPr>
            <w:vAlign w:val="center"/>
          </w:tcPr>
          <w:p>
            <w:pPr>
              <w:jc w:val="center"/>
            </w:pPr>
            <w:r>
              <w:rPr>
                <w:color w:val="000000"/>
                <w:sz w:val="24"/>
              </w:rPr>
              <w:t>桃李面包</w:t>
            </w:r>
          </w:p>
        </w:tc>
        <w:tc>
          <w:tcPr>
            <w:vAlign w:val="center"/>
          </w:tcPr>
          <w:p>
            <w:pPr>
              <w:jc w:val="right"/>
            </w:pPr>
            <w:r>
              <w:rPr>
                <w:color w:val="000000"/>
                <w:sz w:val="24"/>
              </w:rPr>
              <w:t>2,600</w:t>
            </w:r>
          </w:p>
        </w:tc>
        <w:tc>
          <w:tcPr>
            <w:vAlign w:val="center"/>
          </w:tcPr>
          <w:p>
            <w:pPr>
              <w:jc w:val="right"/>
            </w:pPr>
            <w:r>
              <w:rPr>
                <w:color w:val="000000"/>
                <w:sz w:val="24"/>
              </w:rPr>
              <w:t>128,648.00</w:t>
            </w:r>
          </w:p>
        </w:tc>
        <w:tc>
          <w:tcPr>
            <w:vAlign w:val="center"/>
          </w:tcPr>
          <w:p>
            <w:pPr>
              <w:jc w:val="right"/>
            </w:pPr>
            <w:r>
              <w:rPr>
                <w:color w:val="000000"/>
                <w:sz w:val="24"/>
              </w:rPr>
              <w:t>0.98</w:t>
            </w:r>
          </w:p>
        </w:tc>
      </w:tr>
      <w:tr>
        <w:tc>
          <w:tcPr>
            <w:vAlign w:val="center"/>
          </w:tcPr>
          <w:p>
            <w:pPr>
              <w:jc w:val="center"/>
            </w:pPr>
            <w:r>
              <w:rPr>
                <w:color w:val="000000"/>
                <w:sz w:val="24"/>
              </w:rPr>
              <w:t>4</w:t>
            </w:r>
          </w:p>
        </w:tc>
        <w:tc>
          <w:tcPr>
            <w:vAlign w:val="center"/>
          </w:tcPr>
          <w:p>
            <w:pPr>
              <w:jc w:val="center"/>
            </w:pPr>
            <w:r>
              <w:rPr>
                <w:color w:val="000000"/>
                <w:sz w:val="24"/>
              </w:rPr>
              <w:t>000661</w:t>
            </w:r>
          </w:p>
        </w:tc>
        <w:tc>
          <w:tcPr>
            <w:vAlign w:val="center"/>
          </w:tcPr>
          <w:p>
            <w:pPr>
              <w:jc w:val="center"/>
            </w:pPr>
            <w:r>
              <w:rPr>
                <w:color w:val="000000"/>
                <w:sz w:val="24"/>
              </w:rPr>
              <w:t>长春高新</w:t>
            </w:r>
          </w:p>
        </w:tc>
        <w:tc>
          <w:tcPr>
            <w:vAlign w:val="center"/>
          </w:tcPr>
          <w:p>
            <w:pPr>
              <w:jc w:val="right"/>
            </w:pPr>
            <w:r>
              <w:rPr>
                <w:color w:val="000000"/>
                <w:sz w:val="24"/>
              </w:rPr>
              <w:t>200</w:t>
            </w:r>
          </w:p>
        </w:tc>
        <w:tc>
          <w:tcPr>
            <w:vAlign w:val="center"/>
          </w:tcPr>
          <w:p>
            <w:pPr>
              <w:jc w:val="right"/>
            </w:pPr>
            <w:r>
              <w:rPr>
                <w:color w:val="000000"/>
                <w:sz w:val="24"/>
              </w:rPr>
              <w:t>109,600.00</w:t>
            </w:r>
          </w:p>
        </w:tc>
        <w:tc>
          <w:tcPr>
            <w:vAlign w:val="center"/>
          </w:tcPr>
          <w:p>
            <w:pPr>
              <w:jc w:val="right"/>
            </w:pPr>
            <w:r>
              <w:rPr>
                <w:color w:val="000000"/>
                <w:sz w:val="24"/>
              </w:rPr>
              <w:t>0.84</w:t>
            </w:r>
          </w:p>
        </w:tc>
      </w:tr>
      <w:tr>
        <w:tc>
          <w:tcPr>
            <w:vAlign w:val="center"/>
          </w:tcPr>
          <w:p>
            <w:pPr>
              <w:jc w:val="center"/>
            </w:pPr>
            <w:r>
              <w:rPr>
                <w:color w:val="000000"/>
                <w:sz w:val="24"/>
              </w:rPr>
              <w:t>5</w:t>
            </w:r>
          </w:p>
        </w:tc>
        <w:tc>
          <w:tcPr>
            <w:vAlign w:val="center"/>
          </w:tcPr>
          <w:p>
            <w:pPr>
              <w:jc w:val="center"/>
            </w:pPr>
            <w:r>
              <w:rPr>
                <w:color w:val="000000"/>
                <w:sz w:val="24"/>
              </w:rPr>
              <w:t>600305</w:t>
            </w:r>
          </w:p>
        </w:tc>
        <w:tc>
          <w:tcPr>
            <w:vAlign w:val="center"/>
          </w:tcPr>
          <w:p>
            <w:pPr>
              <w:jc w:val="center"/>
            </w:pPr>
            <w:r>
              <w:rPr>
                <w:color w:val="000000"/>
                <w:sz w:val="24"/>
              </w:rPr>
              <w:t>恒顺醋业</w:t>
            </w:r>
          </w:p>
        </w:tc>
        <w:tc>
          <w:tcPr>
            <w:vAlign w:val="center"/>
          </w:tcPr>
          <w:p>
            <w:pPr>
              <w:jc w:val="right"/>
            </w:pPr>
            <w:r>
              <w:rPr>
                <w:color w:val="000000"/>
                <w:sz w:val="24"/>
              </w:rPr>
              <w:t>3,300</w:t>
            </w:r>
          </w:p>
        </w:tc>
        <w:tc>
          <w:tcPr>
            <w:vAlign w:val="center"/>
          </w:tcPr>
          <w:p>
            <w:pPr>
              <w:jc w:val="right"/>
            </w:pPr>
            <w:r>
              <w:rPr>
                <w:color w:val="000000"/>
                <w:sz w:val="24"/>
              </w:rPr>
              <w:t>64,647.00</w:t>
            </w:r>
          </w:p>
        </w:tc>
        <w:tc>
          <w:tcPr>
            <w:vAlign w:val="center"/>
          </w:tcPr>
          <w:p>
            <w:pPr>
              <w:jc w:val="right"/>
            </w:pPr>
            <w:r>
              <w:rPr>
                <w:color w:val="000000"/>
                <w:sz w:val="24"/>
              </w:rPr>
              <w:t>0.49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4,897,397.40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37.49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6,317,151.50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48.36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6,317,151.50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48.36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67,824.10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0.52</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11,282,373.00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86.38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018006</w:t>
            </w:r>
          </w:p>
        </w:tc>
        <w:tc>
          <w:tcPr>
            <w:vAlign w:val="center"/>
          </w:tcPr>
          <w:p>
            <w:pPr>
              <w:jc w:val="center"/>
            </w:pPr>
            <w:r>
              <w:rPr>
                <w:color w:val="000000"/>
                <w:sz w:val="24"/>
              </w:rPr>
              <w:t>国开1702</w:t>
            </w:r>
          </w:p>
        </w:tc>
        <w:tc>
          <w:tcPr>
            <w:vAlign w:val="center"/>
          </w:tcPr>
          <w:p>
            <w:pPr>
              <w:jc w:val="right"/>
            </w:pPr>
            <w:r>
              <w:rPr>
                <w:color w:val="000000"/>
                <w:sz w:val="24"/>
              </w:rPr>
              <w:t>50,780</w:t>
            </w:r>
          </w:p>
        </w:tc>
        <w:tc>
          <w:tcPr>
            <w:vAlign w:val="center"/>
          </w:tcPr>
          <w:p>
            <w:pPr>
              <w:jc w:val="right"/>
            </w:pPr>
            <w:r>
              <w:rPr>
                <w:color w:val="000000"/>
                <w:sz w:val="24"/>
              </w:rPr>
              <w:t>5,258,269.00</w:t>
            </w:r>
          </w:p>
        </w:tc>
        <w:tc>
          <w:tcPr>
            <w:vAlign w:val="center"/>
          </w:tcPr>
          <w:p>
            <w:pPr>
              <w:jc w:val="right"/>
            </w:pPr>
            <w:r>
              <w:rPr>
                <w:color w:val="000000"/>
                <w:sz w:val="24"/>
              </w:rPr>
              <w:t>40.26</w:t>
            </w:r>
          </w:p>
        </w:tc>
      </w:tr>
      <w:tr>
        <w:tc>
          <w:tcPr>
            <w:vAlign w:val="center"/>
          </w:tcPr>
          <w:p>
            <w:pPr>
              <w:jc w:val="center"/>
            </w:pPr>
            <w:r>
              <w:rPr>
                <w:color w:val="000000"/>
                <w:sz w:val="24"/>
              </w:rPr>
              <w:t>2</w:t>
            </w:r>
          </w:p>
        </w:tc>
        <w:tc>
          <w:tcPr>
            <w:vAlign w:val="center"/>
          </w:tcPr>
          <w:p>
            <w:pPr>
              <w:jc w:val="center"/>
            </w:pPr>
            <w:r>
              <w:rPr>
                <w:color w:val="000000"/>
                <w:sz w:val="24"/>
              </w:rPr>
              <w:t>010107</w:t>
            </w:r>
          </w:p>
        </w:tc>
        <w:tc>
          <w:tcPr>
            <w:vAlign w:val="center"/>
          </w:tcPr>
          <w:p>
            <w:pPr>
              <w:jc w:val="center"/>
            </w:pPr>
            <w:r>
              <w:rPr>
                <w:color w:val="000000"/>
                <w:sz w:val="24"/>
              </w:rPr>
              <w:t>21国债⑺</w:t>
            </w:r>
          </w:p>
        </w:tc>
        <w:tc>
          <w:tcPr>
            <w:vAlign w:val="center"/>
          </w:tcPr>
          <w:p>
            <w:pPr>
              <w:jc w:val="right"/>
            </w:pPr>
            <w:r>
              <w:rPr>
                <w:color w:val="000000"/>
                <w:sz w:val="24"/>
              </w:rPr>
              <w:t>47,460</w:t>
            </w:r>
          </w:p>
        </w:tc>
        <w:tc>
          <w:tcPr>
            <w:vAlign w:val="center"/>
          </w:tcPr>
          <w:p>
            <w:pPr>
              <w:jc w:val="right"/>
            </w:pPr>
            <w:r>
              <w:rPr>
                <w:color w:val="000000"/>
                <w:sz w:val="24"/>
              </w:rPr>
              <w:t>4,897,397.40</w:t>
            </w:r>
          </w:p>
        </w:tc>
        <w:tc>
          <w:tcPr>
            <w:vAlign w:val="center"/>
          </w:tcPr>
          <w:p>
            <w:pPr>
              <w:jc w:val="right"/>
            </w:pPr>
            <w:r>
              <w:rPr>
                <w:color w:val="000000"/>
                <w:sz w:val="24"/>
              </w:rPr>
              <w:t>37.49</w:t>
            </w:r>
          </w:p>
        </w:tc>
      </w:tr>
      <w:tr>
        <w:tc>
          <w:tcPr>
            <w:vAlign w:val="center"/>
          </w:tcPr>
          <w:p>
            <w:pPr>
              <w:jc w:val="center"/>
            </w:pPr>
            <w:r>
              <w:rPr>
                <w:color w:val="000000"/>
                <w:sz w:val="24"/>
              </w:rPr>
              <w:t>3</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10,510</w:t>
            </w:r>
          </w:p>
        </w:tc>
        <w:tc>
          <w:tcPr>
            <w:vAlign w:val="center"/>
          </w:tcPr>
          <w:p>
            <w:pPr>
              <w:jc w:val="right"/>
            </w:pPr>
            <w:r>
              <w:rPr>
                <w:color w:val="000000"/>
                <w:sz w:val="24"/>
              </w:rPr>
              <w:t>1,058,882.50</w:t>
            </w:r>
          </w:p>
        </w:tc>
        <w:tc>
          <w:tcPr>
            <w:vAlign w:val="center"/>
          </w:tcPr>
          <w:p>
            <w:pPr>
              <w:jc w:val="right"/>
            </w:pPr>
            <w:r>
              <w:rPr>
                <w:color w:val="000000"/>
                <w:sz w:val="24"/>
              </w:rPr>
              <w:t>8.11</w:t>
            </w:r>
          </w:p>
        </w:tc>
      </w:tr>
      <w:tr>
        <w:tc>
          <w:tcPr>
            <w:vAlign w:val="center"/>
          </w:tcPr>
          <w:p>
            <w:pPr>
              <w:jc w:val="center"/>
            </w:pPr>
            <w:r>
              <w:rPr>
                <w:color w:val="000000"/>
                <w:sz w:val="24"/>
              </w:rPr>
              <w:t>4</w:t>
            </w:r>
          </w:p>
        </w:tc>
        <w:tc>
          <w:tcPr>
            <w:vAlign w:val="center"/>
          </w:tcPr>
          <w:p>
            <w:pPr>
              <w:jc w:val="center"/>
            </w:pPr>
            <w:r>
              <w:rPr>
                <w:color w:val="000000"/>
                <w:sz w:val="24"/>
              </w:rPr>
              <w:t>128098</w:t>
            </w:r>
          </w:p>
        </w:tc>
        <w:tc>
          <w:tcPr>
            <w:vAlign w:val="center"/>
          </w:tcPr>
          <w:p>
            <w:pPr>
              <w:jc w:val="center"/>
            </w:pPr>
            <w:r>
              <w:rPr>
                <w:color w:val="000000"/>
                <w:sz w:val="24"/>
              </w:rPr>
              <w:t>康弘转债</w:t>
            </w:r>
          </w:p>
        </w:tc>
        <w:tc>
          <w:tcPr>
            <w:vAlign w:val="center"/>
          </w:tcPr>
          <w:p>
            <w:pPr>
              <w:jc w:val="right"/>
            </w:pPr>
            <w:r>
              <w:rPr>
                <w:color w:val="000000"/>
                <w:sz w:val="24"/>
              </w:rPr>
              <w:t>530</w:t>
            </w:r>
          </w:p>
        </w:tc>
        <w:tc>
          <w:tcPr>
            <w:vAlign w:val="center"/>
          </w:tcPr>
          <w:p>
            <w:pPr>
              <w:jc w:val="right"/>
            </w:pPr>
            <w:r>
              <w:rPr>
                <w:color w:val="000000"/>
                <w:sz w:val="24"/>
              </w:rPr>
              <w:t>67,824.10</w:t>
            </w:r>
          </w:p>
        </w:tc>
        <w:tc>
          <w:tcPr>
            <w:vAlign w:val="center"/>
          </w:tcPr>
          <w:p>
            <w:pPr>
              <w:jc w:val="right"/>
            </w:pPr>
            <w:r>
              <w:rPr>
                <w:color w:val="000000"/>
                <w:sz w:val="24"/>
              </w:rPr>
              <w:t>0.52</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24,541.03</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253,872.57</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4,076.18</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282,489.78</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交银强化回报债券A/B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交银强化回报债券C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10,043,985.05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3,254,115.03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2,975,920.18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2,276,606.62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3,257,018.24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3,482,269.61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9,762,886.99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2,048,452.04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1、中国证监会准予交银施罗德强化回报债券型证券投资基金募集注册的文件；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2、《交银施罗德强化回报债券型证券投资基金基金合同》；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3、《交银施罗德强化回报债券型证券投资基金招募说明书》；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4、《交银施罗德强化回报债券型证券投资基金托管协议》；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5、关于募集交银施罗德强化回报债券型证券投资基金之法律意见书；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8、报告期内交银施罗德强化回报债券型证券投资基金在指定报刊上各项公告的原稿。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86B1A" w:rsidRDefault="00B86B1A">
      <w:r>
        <w:separator/>
      </w:r>
    </w:p>
  </w:footnote>
  <w:footnote w:id="0" w:type="continuationSeparator">
    <w:p w:rsidR="00B86B1A" w:rsidRDefault="00B86B1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交银施罗德强化回报债券型证券投资基金2020年第1季度报告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8FC-C285-488F-ADBD-197F096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241</TotalTime>
  <Pages>1</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2020-03-05T08:02:00Z</dcterms:modified>
  <cp:revision>404</cp:revision>
</cp:coreProperties>
</file>