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交银施罗德策略回报灵活配置混合型证券投资基金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2020年第1季度报告</w:t>
      </w:r>
    </w:p>
    <w:p w:rsidP="00C15CAC" w:rsidR="004061AC" w:rsidRDefault="00655CD8" w:rsidRPr="0081286B">
      <w:pPr>
        <w:spacing w:before="29" w:line="288" w:lineRule="auto"/>
        <w:jc w:val="center"/>
        <w:rPr>
          <w:b/>
          <w:sz w:val="36"/>
          <w:szCs w:val="36"/>
        </w:rPr>
      </w:pPr>
      <w:r w:rsidRPr="0081286B">
        <w:rPr>
          <w:b/>
          <w:sz w:val="36"/>
          <w:szCs w:val="36"/>
        </w:rPr>
        <w:t>2020年3月31日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中信银行股份有限公司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二〇二〇年四月二十二日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基金托管人中信银行股份有限公司根据本基金合同规定，于2020年4月21日复核了本报告中的财务指标、净值表现和投资组合报告等内容，保证复核内容不存在虚假记载、误导性陈述或者重大遗漏。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本报告期自2020年1月1日起至3月31日止。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交银策略回报灵活配置混合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519710</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519710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2015年6月27日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486,720,694.41</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本基金根据对宏观经济周期和市场环境的分析研究，自上而下配置资产，并通过对类属资产灵活运用多种投资策略，力争实现基金资产的长期稳定增值。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通过“自上而下”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60%×沪深300指数收益率+40%×中证综合债券指数收益率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本基金为混合型证券投资基金，其预期收益和风险高于货币市场基金、债券型基金，而低于股票型基金，属于证券投资基金中的中高风险品种。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(2020年1月1日-2020年3月31日)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15,596,515.20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-27,740,423.22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-0.0524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509,811,522.34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1.047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-4.90%</w:t>
            </w:r>
          </w:p>
        </w:tc>
        <w:tc>
          <w:tcPr>
            <w:vAlign w:val="center"/>
          </w:tcPr>
          <w:p>
            <w:pPr>
              <w:jc w:val="center"/>
            </w:pPr>
            <w:r>
              <w:rPr>
                <w:color w:val="000000"/>
                <w:sz w:val="24"/>
                <w:szCs w:val="24"/>
              </w:rPr>
              <w:t>1.77%</w:t>
            </w:r>
          </w:p>
        </w:tc>
        <w:tc>
          <w:tcPr>
            <w:vAlign w:val="center"/>
          </w:tcPr>
          <w:p>
            <w:pPr>
              <w:jc w:val="center"/>
            </w:pPr>
            <w:r>
              <w:rPr>
                <w:color w:val="000000"/>
                <w:sz w:val="24"/>
                <w:szCs w:val="24"/>
              </w:rPr>
              <w:t>-4.90%</w:t>
            </w:r>
          </w:p>
        </w:tc>
        <w:tc>
          <w:tcPr>
            <w:vAlign w:val="center"/>
          </w:tcPr>
          <w:p>
            <w:pPr>
              <w:jc w:val="center"/>
            </w:pPr>
            <w:r>
              <w:rPr>
                <w:color w:val="000000"/>
                <w:sz w:val="24"/>
                <w:szCs w:val="24"/>
              </w:rPr>
              <w:t>1.15%</w:t>
            </w:r>
          </w:p>
        </w:tc>
        <w:tc>
          <w:tcPr>
            <w:vAlign w:val="center"/>
          </w:tcPr>
          <w:p>
            <w:pPr>
              <w:jc w:val="center"/>
            </w:pPr>
            <w:r>
              <w:rPr>
                <w:color w:val="000000"/>
                <w:sz w:val="24"/>
                <w:szCs w:val="24"/>
              </w:rPr>
              <w:t>0.00%</w:t>
            </w:r>
          </w:p>
        </w:tc>
        <w:tc>
          <w:tcPr>
            <w:vAlign w:val="center"/>
          </w:tcPr>
          <w:p>
            <w:pPr>
              <w:jc w:val="center"/>
            </w:pPr>
            <w:r>
              <w:rPr>
                <w:color w:val="000000"/>
                <w:sz w:val="24"/>
                <w:szCs w:val="24"/>
              </w:rPr>
              <w:t>0.62%</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60%×沪深300指数收益率+40%×中信标普全债指数收益率”变更为“60%×沪深300指数收益率+40%×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交银施罗德策略回报灵活配置混合型证券投资基金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2015年6月27日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2020年3月31日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由交银施罗德荣安保本混合型证券投资基金转型而来。基金转型日为2015年6月27日。本基金的投资转型期为交银施罗德荣安保本混合型证券投资基金保本周期到期选择期截止日次日（即2015年6月27日）起的3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韩威俊</w:t>
            </w:r>
          </w:p>
        </w:tc>
        <w:tc>
          <w:tcPr>
            <w:vAlign w:val="center"/>
          </w:tcPr>
          <w:p>
            <w:pPr>
              <w:jc w:val="center"/>
            </w:pPr>
            <w:r>
              <w:rPr>
                <w:color w:val="000000"/>
                <w:sz w:val="24"/>
                <w:szCs w:val="24"/>
              </w:rPr>
              <w:t>交银趋势混合、交银策略回报灵活配置混合、交银消费新驱动股票、交银股息优化混合、交银品质升级混合的基金经理</w:t>
            </w:r>
          </w:p>
        </w:tc>
        <w:tc>
          <w:tcPr>
            <w:vAlign w:val="center"/>
          </w:tcPr>
          <w:p>
            <w:pPr>
              <w:jc w:val="center"/>
            </w:pPr>
            <w:r>
              <w:rPr>
                <w:color w:val="000000"/>
                <w:sz w:val="24"/>
                <w:szCs w:val="24"/>
              </w:rPr>
              <w:t>2016-01-20</w:t>
            </w:r>
          </w:p>
        </w:tc>
        <w:tc>
          <w:tcPr>
            <w:vAlign w:val="center"/>
          </w:tcPr>
          <w:p>
            <w:pPr>
              <w:jc w:val="center"/>
            </w:pPr>
            <w:r>
              <w:rPr>
                <w:color w:val="000000"/>
                <w:sz w:val="24"/>
                <w:szCs w:val="24"/>
              </w:rPr>
              <w:t>-</w:t>
            </w:r>
          </w:p>
        </w:tc>
        <w:tc>
          <w:tcPr>
            <w:vAlign w:val="center"/>
          </w:tcPr>
          <w:p>
            <w:pPr>
              <w:jc w:val="center"/>
            </w:pPr>
            <w:r>
              <w:rPr>
                <w:color w:val="000000"/>
                <w:sz w:val="24"/>
                <w:szCs w:val="24"/>
              </w:rPr>
              <w:t>14年</w:t>
            </w:r>
          </w:p>
        </w:tc>
        <w:tc>
          <w:tcPr>
            <w:vAlign w:val="center"/>
          </w:tcPr>
          <w:p>
            <w:pPr>
              <w:jc w:val="both"/>
            </w:pPr>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2013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回顾2020年一季度，新冠肺炎对国内国外的资本市场和经济造成了较大影响。尽管全球采取了各种货币政策、财政政策等救市措施，短期也无法弥补海外、特别是美国市场的流动性风险。A股市场在二月大幅波动后，三月的风险偏好开始大幅下降，整个市场陷入了风险偏好下降带动盈利预期下调再带动风险偏好下调的恶性循环中。从目前情况来看，海外流动性风险基本上解除，美国无限制QE政策也会导致美元指数在避险情绪消失后逐步回落，中国资产（包括货币、债券、股票）在全球市场的吸引力大幅提升。如果后续海外疫情逐步得到控制，海外资本市场稳定以后，海外资金或将继续快速流入中国，带动国内利率水平进一步回落以及债券价格和股票价格上升。</w:t>
      </w:r>
    </w:p>
    <w:p>
      <w:pPr>
        <w:spacing w:before="29" w:line="288" w:lineRule="auto"/>
        <w:ind w:firstLine="480" w:firstLineChars="200"/>
        <w:rPr>
          <w:color w:val="000000"/>
          <w:sz w:val="24"/>
          <w:szCs w:val="24"/>
        </w:rPr>
      </w:pPr>
      <w:r>
        <w:rPr>
          <w:color w:val="000000"/>
          <w:sz w:val="24"/>
          <w:szCs w:val="24"/>
        </w:rPr>
        <w:t>本基金在2020年一季度主要以消费白马龙头作为底仓的配置思路，个股集中度依然维持在较高水平，持仓并没有发生太大变化。一季度由于疫情对消费的冲击，春节后表现相对较弱，整体落后市场。但是我们认为，随着国内疫情的逐步恢复，内需消费信心的恢复，整个消费白马全年的盈利水平整体影响不会太大，全年绝对收益仍然值得期待。</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二季度：（1）国内在二月按下暂停键以后，有效地控制了疫情的发展，三月已经开始复工复产。整个一季度宏观和各行业都面临较大压力，但随着国内疫情后续逐步恢复，国内正常经济活动展开和消费需求的复苏，整个内需有望出现比较明显的反弹。本基金仍然聚焦内需消费为主，结合疫情后消费复苏的节奏，适当做一些重仓股的结构调整。在追求全年绝对收益的前提下，二季度开始逐步布局市值相对低估，长期空间巨大的消费服务类龙头公司；（2）海外疫情于三月开始爆发，从欧洲到美国，对全球流动性和经济预期造成重大波动。从欧美目前情况来看，二季度整体经济影响巨大，三季度也很难出现比较明显的复苏。与海外需求高度相关的制造业等龙头企业，可能在二季度末或三季度初存在预期特别低的机会，特别是目前渗透率较低的新能源汽车和光伏等产业。</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406,644,190.34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78.46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406,644,190.34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78.46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111,068,921.69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21.43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560,672.02</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0.11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518,273,784.05</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366,460,192.63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71.88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19,147.31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9,504,272.58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11,518,831.98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5,575,855.84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13,565,890.00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406,644,190.34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79.76</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44,093</w:t>
            </w:r>
          </w:p>
        </w:tc>
        <w:tc>
          <w:tcPr>
            <w:vAlign w:val="center"/>
          </w:tcPr>
          <w:p>
            <w:pPr>
              <w:jc w:val="right"/>
            </w:pPr>
            <w:r>
              <w:rPr>
                <w:color w:val="000000"/>
                <w:sz w:val="24"/>
                <w:szCs w:val="24"/>
              </w:rPr>
              <w:t>48,987,323.00</w:t>
            </w:r>
          </w:p>
        </w:tc>
        <w:tc>
          <w:tcPr>
            <w:vAlign w:val="center"/>
          </w:tcPr>
          <w:p>
            <w:pPr>
              <w:jc w:val="right"/>
            </w:pPr>
            <w:r>
              <w:rPr>
                <w:color w:val="000000"/>
                <w:sz w:val="24"/>
                <w:szCs w:val="24"/>
              </w:rPr>
              <w:t>9.61</w:t>
            </w:r>
          </w:p>
        </w:tc>
      </w:tr>
      <w:tr>
        <w:tc>
          <w:tcPr>
            <w:vAlign w:val="center"/>
          </w:tcPr>
          <w:p>
            <w:pPr>
              <w:jc w:val="center"/>
            </w:pPr>
            <w:r>
              <w:rPr>
                <w:color w:val="000000"/>
                <w:sz w:val="24"/>
                <w:szCs w:val="24"/>
              </w:rPr>
              <w:t>2</w:t>
            </w:r>
          </w:p>
        </w:tc>
        <w:tc>
          <w:tcPr>
            <w:vAlign w:val="center"/>
          </w:tcPr>
          <w:p>
            <w:pPr>
              <w:jc w:val="center"/>
            </w:pPr>
            <w:r>
              <w:rPr>
                <w:color w:val="000000"/>
                <w:sz w:val="24"/>
                <w:szCs w:val="24"/>
              </w:rPr>
              <w:t>000858</w:t>
            </w:r>
          </w:p>
        </w:tc>
        <w:tc>
          <w:tcPr>
            <w:vAlign w:val="center"/>
          </w:tcPr>
          <w:p>
            <w:pPr>
              <w:jc w:val="center"/>
            </w:pPr>
            <w:r>
              <w:rPr>
                <w:color w:val="000000"/>
                <w:sz w:val="24"/>
                <w:szCs w:val="24"/>
              </w:rPr>
              <w:t>五粮液</w:t>
            </w:r>
          </w:p>
        </w:tc>
        <w:tc>
          <w:tcPr>
            <w:vAlign w:val="center"/>
          </w:tcPr>
          <w:p>
            <w:pPr>
              <w:jc w:val="right"/>
            </w:pPr>
            <w:r>
              <w:rPr>
                <w:color w:val="000000"/>
                <w:sz w:val="24"/>
                <w:szCs w:val="24"/>
              </w:rPr>
              <w:t>422,475</w:t>
            </w:r>
          </w:p>
        </w:tc>
        <w:tc>
          <w:tcPr>
            <w:vAlign w:val="center"/>
          </w:tcPr>
          <w:p>
            <w:pPr>
              <w:jc w:val="right"/>
            </w:pPr>
            <w:r>
              <w:rPr>
                <w:color w:val="000000"/>
                <w:sz w:val="24"/>
                <w:szCs w:val="24"/>
              </w:rPr>
              <w:t>48,669,120.00</w:t>
            </w:r>
          </w:p>
        </w:tc>
        <w:tc>
          <w:tcPr>
            <w:vAlign w:val="center"/>
          </w:tcPr>
          <w:p>
            <w:pPr>
              <w:jc w:val="right"/>
            </w:pPr>
            <w:r>
              <w:rPr>
                <w:color w:val="000000"/>
                <w:sz w:val="24"/>
                <w:szCs w:val="24"/>
              </w:rPr>
              <w:t>9.55</w:t>
            </w:r>
          </w:p>
        </w:tc>
      </w:tr>
      <w:tr>
        <w:tc>
          <w:tcPr>
            <w:vAlign w:val="center"/>
          </w:tcPr>
          <w:p>
            <w:pPr>
              <w:jc w:val="center"/>
            </w:pPr>
            <w:r>
              <w:rPr>
                <w:color w:val="000000"/>
                <w:sz w:val="24"/>
                <w:szCs w:val="24"/>
              </w:rPr>
              <w:t>3</w:t>
            </w:r>
          </w:p>
        </w:tc>
        <w:tc>
          <w:tcPr>
            <w:vAlign w:val="center"/>
          </w:tcPr>
          <w:p>
            <w:pPr>
              <w:jc w:val="center"/>
            </w:pPr>
            <w:r>
              <w:rPr>
                <w:color w:val="000000"/>
                <w:sz w:val="24"/>
                <w:szCs w:val="24"/>
              </w:rPr>
              <w:t>300146</w:t>
            </w:r>
          </w:p>
        </w:tc>
        <w:tc>
          <w:tcPr>
            <w:vAlign w:val="center"/>
          </w:tcPr>
          <w:p>
            <w:pPr>
              <w:jc w:val="center"/>
            </w:pPr>
            <w:r>
              <w:rPr>
                <w:color w:val="000000"/>
                <w:sz w:val="24"/>
                <w:szCs w:val="24"/>
              </w:rPr>
              <w:t>汤臣倍健</w:t>
            </w:r>
          </w:p>
        </w:tc>
        <w:tc>
          <w:tcPr>
            <w:vAlign w:val="center"/>
          </w:tcPr>
          <w:p>
            <w:pPr>
              <w:jc w:val="right"/>
            </w:pPr>
            <w:r>
              <w:rPr>
                <w:color w:val="000000"/>
                <w:sz w:val="24"/>
                <w:szCs w:val="24"/>
              </w:rPr>
              <w:t>2,802,706</w:t>
            </w:r>
          </w:p>
        </w:tc>
        <w:tc>
          <w:tcPr>
            <w:vAlign w:val="center"/>
          </w:tcPr>
          <w:p>
            <w:pPr>
              <w:jc w:val="right"/>
            </w:pPr>
            <w:r>
              <w:rPr>
                <w:color w:val="000000"/>
                <w:sz w:val="24"/>
                <w:szCs w:val="24"/>
              </w:rPr>
              <w:t>47,057,433.74</w:t>
            </w:r>
          </w:p>
        </w:tc>
        <w:tc>
          <w:tcPr>
            <w:vAlign w:val="center"/>
          </w:tcPr>
          <w:p>
            <w:pPr>
              <w:jc w:val="right"/>
            </w:pPr>
            <w:r>
              <w:rPr>
                <w:color w:val="000000"/>
                <w:sz w:val="24"/>
                <w:szCs w:val="24"/>
              </w:rPr>
              <w:t>9.23</w:t>
            </w:r>
          </w:p>
        </w:tc>
      </w:tr>
      <w:tr>
        <w:tc>
          <w:tcPr>
            <w:vAlign w:val="center"/>
          </w:tcPr>
          <w:p>
            <w:pPr>
              <w:jc w:val="center"/>
            </w:pPr>
            <w:r>
              <w:rPr>
                <w:color w:val="000000"/>
                <w:sz w:val="24"/>
                <w:szCs w:val="24"/>
              </w:rPr>
              <w:t>4</w:t>
            </w:r>
          </w:p>
        </w:tc>
        <w:tc>
          <w:tcPr>
            <w:vAlign w:val="center"/>
          </w:tcPr>
          <w:p>
            <w:pPr>
              <w:jc w:val="center"/>
            </w:pPr>
            <w:r>
              <w:rPr>
                <w:color w:val="000000"/>
                <w:sz w:val="24"/>
                <w:szCs w:val="24"/>
              </w:rPr>
              <w:t>600132</w:t>
            </w:r>
          </w:p>
        </w:tc>
        <w:tc>
          <w:tcPr>
            <w:vAlign w:val="center"/>
          </w:tcPr>
          <w:p>
            <w:pPr>
              <w:jc w:val="center"/>
            </w:pPr>
            <w:r>
              <w:rPr>
                <w:color w:val="000000"/>
                <w:sz w:val="24"/>
                <w:szCs w:val="24"/>
              </w:rPr>
              <w:t>重庆啤酒</w:t>
            </w:r>
          </w:p>
        </w:tc>
        <w:tc>
          <w:tcPr>
            <w:vAlign w:val="center"/>
          </w:tcPr>
          <w:p>
            <w:pPr>
              <w:jc w:val="right"/>
            </w:pPr>
            <w:r>
              <w:rPr>
                <w:color w:val="000000"/>
                <w:sz w:val="24"/>
                <w:szCs w:val="24"/>
              </w:rPr>
              <w:t>995,901</w:t>
            </w:r>
          </w:p>
        </w:tc>
        <w:tc>
          <w:tcPr>
            <w:vAlign w:val="center"/>
          </w:tcPr>
          <w:p>
            <w:pPr>
              <w:jc w:val="right"/>
            </w:pPr>
            <w:r>
              <w:rPr>
                <w:color w:val="000000"/>
                <w:sz w:val="24"/>
                <w:szCs w:val="24"/>
              </w:rPr>
              <w:t>45,323,454.51</w:t>
            </w:r>
          </w:p>
        </w:tc>
        <w:tc>
          <w:tcPr>
            <w:vAlign w:val="center"/>
          </w:tcPr>
          <w:p>
            <w:pPr>
              <w:jc w:val="right"/>
            </w:pPr>
            <w:r>
              <w:rPr>
                <w:color w:val="000000"/>
                <w:sz w:val="24"/>
                <w:szCs w:val="24"/>
              </w:rPr>
              <w:t>8.89</w:t>
            </w:r>
          </w:p>
        </w:tc>
      </w:tr>
      <w:tr>
        <w:tc>
          <w:tcPr>
            <w:vAlign w:val="center"/>
          </w:tcPr>
          <w:p>
            <w:pPr>
              <w:jc w:val="center"/>
            </w:pPr>
            <w:r>
              <w:rPr>
                <w:color w:val="000000"/>
                <w:sz w:val="24"/>
                <w:szCs w:val="24"/>
              </w:rPr>
              <w:t>5</w:t>
            </w:r>
          </w:p>
        </w:tc>
        <w:tc>
          <w:tcPr>
            <w:vAlign w:val="center"/>
          </w:tcPr>
          <w:p>
            <w:pPr>
              <w:jc w:val="center"/>
            </w:pPr>
            <w:r>
              <w:rPr>
                <w:color w:val="000000"/>
                <w:sz w:val="24"/>
                <w:szCs w:val="24"/>
              </w:rPr>
              <w:t>603369</w:t>
            </w:r>
          </w:p>
        </w:tc>
        <w:tc>
          <w:tcPr>
            <w:vAlign w:val="center"/>
          </w:tcPr>
          <w:p>
            <w:pPr>
              <w:jc w:val="center"/>
            </w:pPr>
            <w:r>
              <w:rPr>
                <w:color w:val="000000"/>
                <w:sz w:val="24"/>
                <w:szCs w:val="24"/>
              </w:rPr>
              <w:t>今世缘</w:t>
            </w:r>
          </w:p>
        </w:tc>
        <w:tc>
          <w:tcPr>
            <w:vAlign w:val="center"/>
          </w:tcPr>
          <w:p>
            <w:pPr>
              <w:jc w:val="right"/>
            </w:pPr>
            <w:r>
              <w:rPr>
                <w:color w:val="000000"/>
                <w:sz w:val="24"/>
                <w:szCs w:val="24"/>
              </w:rPr>
              <w:t>1,452,561</w:t>
            </w:r>
          </w:p>
        </w:tc>
        <w:tc>
          <w:tcPr>
            <w:vAlign w:val="center"/>
          </w:tcPr>
          <w:p>
            <w:pPr>
              <w:jc w:val="right"/>
            </w:pPr>
            <w:r>
              <w:rPr>
                <w:color w:val="000000"/>
                <w:sz w:val="24"/>
                <w:szCs w:val="24"/>
              </w:rPr>
              <w:t>40,889,592.15</w:t>
            </w:r>
          </w:p>
        </w:tc>
        <w:tc>
          <w:tcPr>
            <w:vAlign w:val="center"/>
          </w:tcPr>
          <w:p>
            <w:pPr>
              <w:jc w:val="right"/>
            </w:pPr>
            <w:r>
              <w:rPr>
                <w:color w:val="000000"/>
                <w:sz w:val="24"/>
                <w:szCs w:val="24"/>
              </w:rPr>
              <w:t>8.02</w:t>
            </w:r>
          </w:p>
        </w:tc>
      </w:tr>
      <w:tr>
        <w:tc>
          <w:tcPr>
            <w:vAlign w:val="center"/>
          </w:tcPr>
          <w:p>
            <w:pPr>
              <w:jc w:val="center"/>
            </w:pPr>
            <w:r>
              <w:rPr>
                <w:color w:val="000000"/>
                <w:sz w:val="24"/>
                <w:szCs w:val="24"/>
              </w:rPr>
              <w:t>6</w:t>
            </w:r>
          </w:p>
        </w:tc>
        <w:tc>
          <w:tcPr>
            <w:vAlign w:val="center"/>
          </w:tcPr>
          <w:p>
            <w:pPr>
              <w:jc w:val="center"/>
            </w:pPr>
            <w:r>
              <w:rPr>
                <w:color w:val="000000"/>
                <w:sz w:val="24"/>
                <w:szCs w:val="24"/>
              </w:rPr>
              <w:t>002461</w:t>
            </w:r>
          </w:p>
        </w:tc>
        <w:tc>
          <w:tcPr>
            <w:vAlign w:val="center"/>
          </w:tcPr>
          <w:p>
            <w:pPr>
              <w:jc w:val="center"/>
            </w:pPr>
            <w:r>
              <w:rPr>
                <w:color w:val="000000"/>
                <w:sz w:val="24"/>
                <w:szCs w:val="24"/>
              </w:rPr>
              <w:t>珠江啤酒</w:t>
            </w:r>
          </w:p>
        </w:tc>
        <w:tc>
          <w:tcPr>
            <w:vAlign w:val="center"/>
          </w:tcPr>
          <w:p>
            <w:pPr>
              <w:jc w:val="right"/>
            </w:pPr>
            <w:r>
              <w:rPr>
                <w:color w:val="000000"/>
                <w:sz w:val="24"/>
                <w:szCs w:val="24"/>
              </w:rPr>
              <w:t>4,022,106</w:t>
            </w:r>
          </w:p>
        </w:tc>
        <w:tc>
          <w:tcPr>
            <w:vAlign w:val="center"/>
          </w:tcPr>
          <w:p>
            <w:pPr>
              <w:jc w:val="right"/>
            </w:pPr>
            <w:r>
              <w:rPr>
                <w:color w:val="000000"/>
                <w:sz w:val="24"/>
                <w:szCs w:val="24"/>
              </w:rPr>
              <w:t>27,913,415.64</w:t>
            </w:r>
          </w:p>
        </w:tc>
        <w:tc>
          <w:tcPr>
            <w:vAlign w:val="center"/>
          </w:tcPr>
          <w:p>
            <w:pPr>
              <w:jc w:val="right"/>
            </w:pPr>
            <w:r>
              <w:rPr>
                <w:color w:val="000000"/>
                <w:sz w:val="24"/>
                <w:szCs w:val="24"/>
              </w:rPr>
              <w:t>5.48</w:t>
            </w:r>
          </w:p>
        </w:tc>
      </w:tr>
      <w:tr>
        <w:tc>
          <w:tcPr>
            <w:vAlign w:val="center"/>
          </w:tcPr>
          <w:p>
            <w:pPr>
              <w:jc w:val="center"/>
            </w:pPr>
            <w:r>
              <w:rPr>
                <w:color w:val="000000"/>
                <w:sz w:val="24"/>
                <w:szCs w:val="24"/>
              </w:rPr>
              <w:t>7</w:t>
            </w:r>
          </w:p>
        </w:tc>
        <w:tc>
          <w:tcPr>
            <w:vAlign w:val="center"/>
          </w:tcPr>
          <w:p>
            <w:pPr>
              <w:jc w:val="center"/>
            </w:pPr>
            <w:r>
              <w:rPr>
                <w:color w:val="000000"/>
                <w:sz w:val="24"/>
                <w:szCs w:val="24"/>
              </w:rPr>
              <w:t>600887</w:t>
            </w:r>
          </w:p>
        </w:tc>
        <w:tc>
          <w:tcPr>
            <w:vAlign w:val="center"/>
          </w:tcPr>
          <w:p>
            <w:pPr>
              <w:jc w:val="center"/>
            </w:pPr>
            <w:r>
              <w:rPr>
                <w:color w:val="000000"/>
                <w:sz w:val="24"/>
                <w:szCs w:val="24"/>
              </w:rPr>
              <w:t>伊利股份</w:t>
            </w:r>
          </w:p>
        </w:tc>
        <w:tc>
          <w:tcPr>
            <w:vAlign w:val="center"/>
          </w:tcPr>
          <w:p>
            <w:pPr>
              <w:jc w:val="right"/>
            </w:pPr>
            <w:r>
              <w:rPr>
                <w:color w:val="000000"/>
                <w:sz w:val="24"/>
                <w:szCs w:val="24"/>
              </w:rPr>
              <w:t>808,693</w:t>
            </w:r>
          </w:p>
        </w:tc>
        <w:tc>
          <w:tcPr>
            <w:vAlign w:val="center"/>
          </w:tcPr>
          <w:p>
            <w:pPr>
              <w:jc w:val="right"/>
            </w:pPr>
            <w:r>
              <w:rPr>
                <w:color w:val="000000"/>
                <w:sz w:val="24"/>
                <w:szCs w:val="24"/>
              </w:rPr>
              <w:t>24,147,572.98</w:t>
            </w:r>
          </w:p>
        </w:tc>
        <w:tc>
          <w:tcPr>
            <w:vAlign w:val="center"/>
          </w:tcPr>
          <w:p>
            <w:pPr>
              <w:jc w:val="right"/>
            </w:pPr>
            <w:r>
              <w:rPr>
                <w:color w:val="000000"/>
                <w:sz w:val="24"/>
                <w:szCs w:val="24"/>
              </w:rPr>
              <w:t>4.74</w:t>
            </w:r>
          </w:p>
        </w:tc>
      </w:tr>
      <w:tr>
        <w:tc>
          <w:tcPr>
            <w:vAlign w:val="center"/>
          </w:tcPr>
          <w:p>
            <w:pPr>
              <w:jc w:val="center"/>
            </w:pPr>
            <w:r>
              <w:rPr>
                <w:color w:val="000000"/>
                <w:sz w:val="24"/>
                <w:szCs w:val="24"/>
              </w:rPr>
              <w:t>8</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602,108</w:t>
            </w:r>
          </w:p>
        </w:tc>
        <w:tc>
          <w:tcPr>
            <w:vAlign w:val="center"/>
          </w:tcPr>
          <w:p>
            <w:pPr>
              <w:jc w:val="right"/>
            </w:pPr>
            <w:r>
              <w:rPr>
                <w:color w:val="000000"/>
                <w:sz w:val="24"/>
                <w:szCs w:val="24"/>
              </w:rPr>
              <w:t>20,218,786.64</w:t>
            </w:r>
          </w:p>
        </w:tc>
        <w:tc>
          <w:tcPr>
            <w:vAlign w:val="center"/>
          </w:tcPr>
          <w:p>
            <w:pPr>
              <w:jc w:val="right"/>
            </w:pPr>
            <w:r>
              <w:rPr>
                <w:color w:val="000000"/>
                <w:sz w:val="24"/>
                <w:szCs w:val="24"/>
              </w:rPr>
              <w:t>3.97</w:t>
            </w:r>
          </w:p>
        </w:tc>
      </w:tr>
      <w:tr>
        <w:tc>
          <w:tcPr>
            <w:vAlign w:val="center"/>
          </w:tcPr>
          <w:p>
            <w:pPr>
              <w:jc w:val="center"/>
            </w:pPr>
            <w:r>
              <w:rPr>
                <w:color w:val="000000"/>
                <w:sz w:val="24"/>
                <w:szCs w:val="24"/>
              </w:rPr>
              <w:t>9</w:t>
            </w:r>
          </w:p>
        </w:tc>
        <w:tc>
          <w:tcPr>
            <w:vAlign w:val="center"/>
          </w:tcPr>
          <w:p>
            <w:pPr>
              <w:jc w:val="center"/>
            </w:pPr>
            <w:r>
              <w:rPr>
                <w:color w:val="000000"/>
                <w:sz w:val="24"/>
                <w:szCs w:val="24"/>
              </w:rPr>
              <w:t>000651</w:t>
            </w:r>
          </w:p>
        </w:tc>
        <w:tc>
          <w:tcPr>
            <w:vAlign w:val="center"/>
          </w:tcPr>
          <w:p>
            <w:pPr>
              <w:jc w:val="center"/>
            </w:pPr>
            <w:r>
              <w:rPr>
                <w:color w:val="000000"/>
                <w:sz w:val="24"/>
                <w:szCs w:val="24"/>
              </w:rPr>
              <w:t>格力电器</w:t>
            </w:r>
          </w:p>
        </w:tc>
        <w:tc>
          <w:tcPr>
            <w:vAlign w:val="center"/>
          </w:tcPr>
          <w:p>
            <w:pPr>
              <w:jc w:val="right"/>
            </w:pPr>
            <w:r>
              <w:rPr>
                <w:color w:val="000000"/>
                <w:sz w:val="24"/>
                <w:szCs w:val="24"/>
              </w:rPr>
              <w:t>349,227</w:t>
            </w:r>
          </w:p>
        </w:tc>
        <w:tc>
          <w:tcPr>
            <w:vAlign w:val="center"/>
          </w:tcPr>
          <w:p>
            <w:pPr>
              <w:jc w:val="right"/>
            </w:pPr>
            <w:r>
              <w:rPr>
                <w:color w:val="000000"/>
                <w:sz w:val="24"/>
                <w:szCs w:val="24"/>
              </w:rPr>
              <w:t>18,229,649.40</w:t>
            </w:r>
          </w:p>
        </w:tc>
        <w:tc>
          <w:tcPr>
            <w:vAlign w:val="center"/>
          </w:tcPr>
          <w:p>
            <w:pPr>
              <w:jc w:val="right"/>
            </w:pPr>
            <w:r>
              <w:rPr>
                <w:color w:val="000000"/>
                <w:sz w:val="24"/>
                <w:szCs w:val="24"/>
              </w:rPr>
              <w:t>3.58</w:t>
            </w:r>
          </w:p>
        </w:tc>
      </w:tr>
      <w:tr>
        <w:tc>
          <w:tcPr>
            <w:vAlign w:val="center"/>
          </w:tcPr>
          <w:p>
            <w:pPr>
              <w:jc w:val="center"/>
            </w:pPr>
            <w:r>
              <w:rPr>
                <w:color w:val="000000"/>
                <w:sz w:val="24"/>
                <w:szCs w:val="24"/>
              </w:rPr>
              <w:t>10</w:t>
            </w:r>
          </w:p>
        </w:tc>
        <w:tc>
          <w:tcPr>
            <w:vAlign w:val="center"/>
          </w:tcPr>
          <w:p>
            <w:pPr>
              <w:jc w:val="center"/>
            </w:pPr>
            <w:r>
              <w:rPr>
                <w:color w:val="000000"/>
                <w:sz w:val="24"/>
                <w:szCs w:val="24"/>
              </w:rPr>
              <w:t>600600</w:t>
            </w:r>
          </w:p>
        </w:tc>
        <w:tc>
          <w:tcPr>
            <w:vAlign w:val="center"/>
          </w:tcPr>
          <w:p>
            <w:pPr>
              <w:jc w:val="center"/>
            </w:pPr>
            <w:r>
              <w:rPr>
                <w:color w:val="000000"/>
                <w:sz w:val="24"/>
                <w:szCs w:val="24"/>
              </w:rPr>
              <w:t>青岛啤酒</w:t>
            </w:r>
          </w:p>
        </w:tc>
        <w:tc>
          <w:tcPr>
            <w:vAlign w:val="center"/>
          </w:tcPr>
          <w:p>
            <w:pPr>
              <w:jc w:val="right"/>
            </w:pPr>
            <w:r>
              <w:rPr>
                <w:color w:val="000000"/>
                <w:sz w:val="24"/>
                <w:szCs w:val="24"/>
              </w:rPr>
              <w:t>331,100</w:t>
            </w:r>
          </w:p>
        </w:tc>
        <w:tc>
          <w:tcPr>
            <w:vAlign w:val="center"/>
          </w:tcPr>
          <w:p>
            <w:pPr>
              <w:jc w:val="right"/>
            </w:pPr>
            <w:r>
              <w:rPr>
                <w:color w:val="000000"/>
                <w:sz w:val="24"/>
                <w:szCs w:val="24"/>
              </w:rPr>
              <w:t>15,134,581.00</w:t>
            </w:r>
          </w:p>
        </w:tc>
        <w:tc>
          <w:tcPr>
            <w:vAlign w:val="center"/>
          </w:tcPr>
          <w:p>
            <w:pPr>
              <w:jc w:val="right"/>
            </w:pPr>
            <w:r>
              <w:rPr>
                <w:color w:val="000000"/>
                <w:sz w:val="24"/>
                <w:szCs w:val="24"/>
              </w:rPr>
              <w:t>2.97</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318,638.96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22,146.45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219,886.61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560,672.02</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601,998,566.11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16,357,266.65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131,635,138.35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486,720,694.41</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2020/1/1-2020/3/31</w:t>
            </w:r>
          </w:p>
        </w:tc>
        <w:tc>
          <w:tcPr>
            <w:vAlign w:val="center"/>
          </w:tcPr>
          <w:p>
            <w:pPr>
              <w:jc w:val="center"/>
            </w:pPr>
            <w:r>
              <w:rPr>
                <w:rFonts w:ascii="宋体" w:hAnsi="宋体"/>
                <w:color w:val="000000"/>
                <w:kern w:val="0"/>
              </w:rPr>
              <w:t>183,557,147.72</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55,000,000.00</w:t>
            </w:r>
          </w:p>
        </w:tc>
        <w:tc>
          <w:tcPr>
            <w:vAlign w:val="center"/>
          </w:tcPr>
          <w:p>
            <w:pPr>
              <w:jc w:val="center"/>
            </w:pPr>
            <w:r>
              <w:rPr>
                <w:rFonts w:ascii="宋体" w:hAnsi="宋体"/>
                <w:color w:val="000000"/>
                <w:kern w:val="0"/>
              </w:rPr>
              <w:t>128,557,147.72</w:t>
            </w:r>
          </w:p>
        </w:tc>
        <w:tc>
          <w:tcPr>
            <w:vAlign w:val="center"/>
          </w:tcPr>
          <w:p>
            <w:pPr>
              <w:jc w:val="center"/>
            </w:pPr>
            <w:r>
              <w:rPr>
                <w:rFonts w:ascii="宋体" w:hAnsi="宋体"/>
                <w:color w:val="000000"/>
                <w:kern w:val="0"/>
              </w:rPr>
              <w:t>26.41%</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1、中国证监会批准交银施罗德荣安保本混合型证券投资基金募集的文件；</w:t>
      </w:r>
    </w:p>
    <w:p>
      <w:pPr>
        <w:spacing w:before="29" w:line="288" w:lineRule="auto"/>
        <w:ind w:firstLine="480" w:firstLineChars="200"/>
        <w:rPr>
          <w:color w:val="000000"/>
          <w:sz w:val="24"/>
          <w:szCs w:val="24"/>
        </w:rPr>
      </w:pPr>
      <w:r>
        <w:rPr>
          <w:color w:val="000000"/>
          <w:sz w:val="24"/>
          <w:szCs w:val="24"/>
        </w:rPr>
        <w:t>2、《交银施罗德策略回报灵活配置混合型证券投资基金基金合同》；</w:t>
      </w:r>
    </w:p>
    <w:p>
      <w:pPr>
        <w:spacing w:before="29" w:line="288" w:lineRule="auto"/>
        <w:ind w:firstLine="480" w:firstLineChars="200"/>
        <w:rPr>
          <w:color w:val="000000"/>
          <w:sz w:val="24"/>
          <w:szCs w:val="24"/>
        </w:rPr>
      </w:pPr>
      <w:r>
        <w:rPr>
          <w:color w:val="000000"/>
          <w:sz w:val="24"/>
          <w:szCs w:val="24"/>
        </w:rPr>
        <w:t>3、《交银施罗德策略回报灵活配置混合型证券投资基金招募说明书》；</w:t>
      </w:r>
    </w:p>
    <w:p>
      <w:pPr>
        <w:spacing w:before="29" w:line="288" w:lineRule="auto"/>
        <w:ind w:firstLine="480" w:firstLineChars="200"/>
        <w:rPr>
          <w:color w:val="000000"/>
          <w:sz w:val="24"/>
          <w:szCs w:val="24"/>
        </w:rPr>
      </w:pPr>
      <w:r>
        <w:rPr>
          <w:color w:val="000000"/>
          <w:sz w:val="24"/>
          <w:szCs w:val="24"/>
        </w:rPr>
        <w:t>4、《交银施罗德策略回报灵活配置混合型证券投资基金托管协议》；</w:t>
      </w:r>
    </w:p>
    <w:p>
      <w:pPr>
        <w:spacing w:before="29" w:line="288" w:lineRule="auto"/>
        <w:ind w:firstLine="480" w:firstLineChars="200"/>
        <w:rPr>
          <w:color w:val="000000"/>
          <w:sz w:val="24"/>
          <w:szCs w:val="24"/>
        </w:rPr>
      </w:pPr>
      <w:r>
        <w:rPr>
          <w:color w:val="000000"/>
          <w:sz w:val="24"/>
          <w:szCs w:val="24"/>
        </w:rPr>
        <w:t>5、《交银施罗德荣安保本混合型证券投资基金基金合同》；</w:t>
      </w:r>
    </w:p>
    <w:p>
      <w:pPr>
        <w:spacing w:before="29" w:line="288" w:lineRule="auto"/>
        <w:ind w:firstLine="480" w:firstLineChars="200"/>
        <w:rPr>
          <w:color w:val="000000"/>
          <w:sz w:val="24"/>
          <w:szCs w:val="24"/>
        </w:rPr>
      </w:pPr>
      <w:r>
        <w:rPr>
          <w:color w:val="000000"/>
          <w:sz w:val="24"/>
          <w:szCs w:val="24"/>
        </w:rPr>
        <w:t>6、《交银施罗德荣安保本混合型证券投资基金招募说明书》；</w:t>
      </w:r>
    </w:p>
    <w:p>
      <w:pPr>
        <w:spacing w:before="29" w:line="288" w:lineRule="auto"/>
        <w:ind w:firstLine="480" w:firstLineChars="200"/>
        <w:rPr>
          <w:color w:val="000000"/>
          <w:sz w:val="24"/>
          <w:szCs w:val="24"/>
        </w:rPr>
      </w:pPr>
      <w:r>
        <w:rPr>
          <w:color w:val="000000"/>
          <w:sz w:val="24"/>
          <w:szCs w:val="24"/>
        </w:rPr>
        <w:t>7、《交银施罗德荣安保本混合型证券投资基金托管协议》；</w:t>
      </w:r>
    </w:p>
    <w:p>
      <w:pPr>
        <w:spacing w:before="29" w:line="288" w:lineRule="auto"/>
        <w:ind w:firstLine="480" w:firstLineChars="200"/>
        <w:rPr>
          <w:color w:val="000000"/>
          <w:sz w:val="24"/>
          <w:szCs w:val="24"/>
        </w:rPr>
      </w:pPr>
      <w:r>
        <w:rPr>
          <w:color w:val="000000"/>
          <w:sz w:val="24"/>
          <w:szCs w:val="24"/>
        </w:rPr>
        <w:t xml:space="preserve">8、《交银施罗德荣安保本混合型证券投资基金保证合同》； </w:t>
      </w:r>
    </w:p>
    <w:p>
      <w:pPr>
        <w:spacing w:before="29" w:line="288" w:lineRule="auto"/>
        <w:ind w:firstLine="480" w:firstLineChars="200"/>
        <w:rPr>
          <w:color w:val="000000"/>
          <w:sz w:val="24"/>
          <w:szCs w:val="24"/>
        </w:rPr>
      </w:pPr>
      <w:r>
        <w:rPr>
          <w:color w:val="000000"/>
          <w:sz w:val="24"/>
          <w:szCs w:val="24"/>
        </w:rPr>
        <w:t>9、基金管理人业务资格批件、营业执照；</w:t>
      </w:r>
    </w:p>
    <w:p>
      <w:pPr>
        <w:spacing w:before="29" w:line="288" w:lineRule="auto"/>
        <w:ind w:firstLine="480" w:firstLineChars="200"/>
        <w:rPr>
          <w:color w:val="000000"/>
          <w:sz w:val="24"/>
          <w:szCs w:val="24"/>
        </w:rPr>
      </w:pPr>
      <w:r>
        <w:rPr>
          <w:color w:val="000000"/>
          <w:sz w:val="24"/>
          <w:szCs w:val="24"/>
        </w:rPr>
        <w:t>10、基金托管人业务资格批件、营业执照；</w:t>
      </w:r>
    </w:p>
    <w:p>
      <w:pPr>
        <w:spacing w:before="29" w:line="288" w:lineRule="auto"/>
        <w:ind w:firstLine="480" w:firstLineChars="200"/>
        <w:rPr>
          <w:color w:val="000000"/>
          <w:sz w:val="24"/>
          <w:szCs w:val="24"/>
        </w:rPr>
      </w:pPr>
      <w:r>
        <w:rPr>
          <w:color w:val="000000"/>
          <w:sz w:val="24"/>
          <w:szCs w:val="24"/>
        </w:rPr>
        <w:t>11、关于申请募集交银施罗德荣安保本混合型证券投资基金之法律意见书；</w:t>
      </w:r>
    </w:p>
    <w:p>
      <w:pPr>
        <w:spacing w:before="29" w:line="288" w:lineRule="auto"/>
        <w:ind w:firstLine="480" w:firstLineChars="200"/>
        <w:rPr>
          <w:color w:val="000000"/>
          <w:sz w:val="24"/>
          <w:szCs w:val="24"/>
        </w:rPr>
      </w:pPr>
      <w:r>
        <w:rPr>
          <w:color w:val="000000"/>
          <w:sz w:val="24"/>
          <w:szCs w:val="24"/>
        </w:rPr>
        <w:t>12、关于修改《交银施罗德荣安保本混合型证券投资基金基金合同》的法律意见；</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13、报告期内交银施罗德策略回报灵活配置混合型证券投资基金在指定报刊上各项公告的原稿。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交银施罗德策略回报灵活配置混合型证券投资基金2020年第1季度报告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