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2015年1月19日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511,570,095.39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在严格控制风险和追求资产稳健增值的基础上,力求获得高于业绩基准的投资收益。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pPr>
              <w:adjustRightInd w:val="0"/>
              <w:spacing w:before="29" w:line="288" w:lineRule="auto"/>
              <w:ind w:left="17"/>
              <w:jc w:val="left"/>
              <w:rPr>
                <w:color w:val="000000"/>
                <w:sz w:val="24"/>
              </w:rPr>
            </w:pPr>
            <w:r>
              <w:rPr>
                <w:color w:val="000000"/>
                <w:kern w:val="0"/>
                <w:sz w:val="24"/>
              </w:rPr>
              <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交银丰享收益债券A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交银丰享收益债券C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519746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519748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503,128,226.62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8,441,868.77</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注：本基金自2017年1月20日起转为开放式运作。</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交银丰享收益债券A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交银丰享收益债券C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13,091,574.10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105,268.57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18,108,314.78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149,391.38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0.0361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0.0177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1,067,909,815.66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9,299,636.82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2.123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1.102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交银丰享收益债券A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1.77%</w:t>
            </w:r>
          </w:p>
        </w:tc>
        <w:tc>
          <w:tcPr>
            <w:vAlign w:val="center"/>
          </w:tcPr>
          <w:p>
            <w:pPr>
              <w:jc w:val="center"/>
            </w:pPr>
            <w:r>
              <w:rPr>
                <w:color w:val="000000"/>
                <w:sz w:val="24"/>
              </w:rPr>
              <w:t>0.05%</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-0.08%</w:t>
            </w:r>
          </w:p>
        </w:tc>
        <w:tc>
          <w:tcPr>
            <w:vAlign w:val="center"/>
          </w:tcPr>
          <w:p>
            <w:pPr>
              <w:jc w:val="center"/>
            </w:pPr>
            <w:r>
              <w:rPr>
                <w:color w:val="000000"/>
                <w:sz w:val="24"/>
              </w:rPr>
              <w:t>-0.05%</w:t>
            </w:r>
          </w:p>
        </w:tc>
      </w:tr>
    </w:tbl>
    <w:p w:rsidP="007C14DF" w:rsidR="009238DB" w:rsidRDefault="004425E8" w:rsidRPr="007F52FA">
      <w:pPr>
        <w:autoSpaceDE w:val="0"/>
        <w:autoSpaceDN w:val="0"/>
        <w:adjustRightInd w:val="0"/>
        <w:spacing w:before="29" w:line="288" w:lineRule="auto"/>
        <w:jc w:val="left"/>
        <w:rPr>
          <w:color w:val="000000"/>
          <w:sz w:val="24"/>
        </w:rPr>
      </w:pPr>
      <w:r w:rsidRPr="007F52FA">
        <w:rPr>
          <w:color w:val="000000"/>
          <w:sz w:val="24"/>
        </w:rPr>
        <w:t/>
      </w:r>
      <w:r w:rsidR="00243122" w:rsidRPr="007F52FA">
        <w:rPr>
          <w:color w:val="000000"/>
          <w:sz w:val="24"/>
        </w:rPr>
        <w:t/>
      </w:r>
      <w:r w:rsidR="0042785F" w:rsidRPr="007F52FA">
        <w:rPr>
          <w:color w:val="000000"/>
          <w:sz w:val="24"/>
        </w:rPr>
        <w:t/>
      </w:r>
      <w:r w:rsidR="00243122" w:rsidRPr="007F52FA">
        <w:rPr>
          <w:color w:val="000000"/>
          <w:sz w:val="24"/>
        </w:rPr>
        <w:t/>
      </w:r>
      <w:r w:rsidRPr="007F52FA">
        <w:rPr>
          <w:color w:val="000000"/>
          <w:sz w:val="24"/>
        </w:rPr>
        <w:t>注：本基金自2017年1月20日起转为开放式运作，本基金的业绩比较基准由“两年期银行定期存款税后收益率”变更为“中债综合全价指数”，3.2.2同。</w:t>
      </w:r>
    </w:p>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交银丰享收益债券C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1.66%</w:t>
            </w:r>
          </w:p>
        </w:tc>
        <w:tc>
          <w:tcPr>
            <w:vAlign w:val="center"/>
          </w:tcPr>
          <w:p>
            <w:pPr>
              <w:jc w:val="center"/>
            </w:pPr>
            <w:r>
              <w:rPr>
                <w:color w:val="000000"/>
                <w:sz w:val="24"/>
              </w:rPr>
              <w:t>0.06%</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-0.19%</w:t>
            </w:r>
          </w:p>
        </w:tc>
        <w:tc>
          <w:tcPr>
            <w:vAlign w:val="center"/>
          </w:tcPr>
          <w:p>
            <w:pPr>
              <w:jc w:val="center"/>
            </w:pPr>
            <w:r>
              <w:rPr>
                <w:color w:val="000000"/>
                <w:sz w:val="24"/>
              </w:rPr>
              <w:t>-0.04%</w:t>
            </w:r>
          </w:p>
        </w:tc>
      </w:tr>
    </w:tbl>
    <w:p w:rsidP="007C14DF" w:rsidR="00E73221" w:rsidRDefault="00E73221" w:rsidRPr="007F52FA">
      <w:pPr>
        <w:autoSpaceDE w:val="0"/>
        <w:autoSpaceDN w:val="0"/>
        <w:adjustRightInd w:val="0"/>
        <w:spacing w:before="29" w:line="288" w:lineRule="auto"/>
        <w:jc w:val="left"/>
        <w:rPr>
          <w:color w:val="000000"/>
          <w:sz w:val="24"/>
        </w:rPr>
      </w:pPr>
      <w:r w:rsidRPr="007F52FA">
        <w:rPr>
          <w:color w:val="000000"/>
          <w:sz w:val="24"/>
        </w:rPr>
        <w:t/>
      </w:r>
      <w:r w:rsidR="004D614E" w:rsidRPr="007F52FA">
        <w:rPr>
          <w:color w:val="000000"/>
          <w:sz w:val="24"/>
        </w:rPr>
        <w:t/>
      </w:r>
      <w:r w:rsidR="00FE7FBD" w:rsidRPr="007F52FA">
        <w:rPr>
          <w:color w:val="000000"/>
          <w:sz w:val="24"/>
        </w:rPr>
        <w:t>注：本基金自2017年1月20日起转为开放式运作，本基金的业绩比较基准由“两年期银行定期存款税后收益率”变更为“中债综合全价指数”，3.2.2同。</w:t>
      </w:r>
    </w:p>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交银施罗德丰享收益债券型证券投资基金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2015年1月19日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注：本基金自2017年1月20日起，开始销售A类份额，投资者提交的申购申请于2017年1月25日被确认并将有效份额登记在册。图示日期为2017年1月25日至2020年3月31日。</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交银丰享收益债券C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注：图示日期为2015年1月19日至2020年3月31日。本基金建仓期为自基金合同生效日起的6个月。截至建仓期结束，本基金各项资产配置比例符合基金合同及招募说明书有关投资比例的约定。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2015-07-25</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收益率呈现震荡下行趋势，货币政策延续宽松，债市的主要行情来自国内新冠病毒疫情爆发和海外疫情扩散两个阶段，收益率曲线呈现牛市陡峭化。截止2020年3月31日，十年国债和十年国开债分别收于2.59%和2.95%，较2019年底分别下行55bp和63bp。</w:t>
      </w:r>
    </w:p>
    <w:p>
      <w:pPr>
        <w:spacing w:before="29" w:line="288" w:lineRule="auto"/>
        <w:ind w:firstLine="480" w:firstLineChars="200"/>
        <w:rPr>
          <w:color w:val="000000"/>
          <w:sz w:val="24"/>
        </w:rPr>
      </w:pPr>
      <w:r>
        <w:rPr>
          <w:color w:val="000000"/>
          <w:sz w:val="24"/>
        </w:rPr>
        <w:t>基金操作方面，本基金以1-3年中高等级信用债为底仓，同时择机配置了部分中长端利率债，控制整体组合久期。由于资金成本处于低位，本基金适度运用杠杆操作增厚组合收益。</w:t>
      </w:r>
    </w:p>
    <w:p>
      <w:pPr>
        <w:spacing w:before="29" w:line="288" w:lineRule="auto"/>
        <w:ind w:firstLine="480" w:firstLineChars="200"/>
        <w:rPr>
          <w:color w:val="000000"/>
          <w:sz w:val="24"/>
        </w:rPr>
      </w:pPr>
      <w:r>
        <w:rPr>
          <w:color w:val="000000"/>
          <w:sz w:val="24"/>
        </w:rPr>
        <w:t>展望2020年二季度，海外疫情的变化和国内政策的应对将成为影响债券市场的主要因素。在全球经济受疫情影响时间拉长、程度加深的背景下，中国经济很难独善其身，在信用扩张和经济拐点出现之前货币政策仍将维持宽松。债券市场短期内或维持震荡偏强的走势。后期利率下行的空间来自海外危机模式下对避险资产的需求，可能的调整信号需观察财政刺激力度和海外疫情拐点，收益率明显上行的概率不大，短端利率仍将维持低位。</w:t>
      </w:r>
    </w:p>
    <w:p w:rsidP="007C14DF" w:rsidR="00952A72" w:rsidRDefault="00323F25" w:rsidRPr="007F52FA">
      <w:pPr>
        <w:spacing w:before="29" w:line="288" w:lineRule="auto"/>
        <w:ind w:firstLine="480" w:firstLineChars="200"/>
        <w:rPr>
          <w:color w:val="000000"/>
          <w:sz w:val="24"/>
        </w:rPr>
      </w:pPr>
      <w:r w:rsidRPr="007F52FA">
        <w:rPr>
          <w:color w:val="000000"/>
          <w:sz w:val="24"/>
        </w:rPr>
        <w:t>组合操作方面，本基金将会控制整体组合久期，辅以合理杠杆水平来增厚组合收益，同时特别关注信用风险。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1,209,606,000.00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98.12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1,209,606,000.00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98.12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1,224,210.21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0.10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21,981,199.18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1,232,811,409.39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143,874,000.00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13.36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143,874,000.00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13.36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1,065,732,000.00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98.93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1,209,606,000.00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112.29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101800181</w:t>
            </w:r>
          </w:p>
        </w:tc>
        <w:tc>
          <w:tcPr>
            <w:vAlign w:val="center"/>
          </w:tcPr>
          <w:p>
            <w:pPr>
              <w:jc w:val="center"/>
            </w:pPr>
            <w:r>
              <w:rPr>
                <w:color w:val="000000"/>
                <w:sz w:val="24"/>
              </w:rPr>
              <w:t>18南昌工业MTN001</w:t>
            </w:r>
          </w:p>
        </w:tc>
        <w:tc>
          <w:tcPr>
            <w:vAlign w:val="center"/>
          </w:tcPr>
          <w:p>
            <w:pPr>
              <w:jc w:val="right"/>
            </w:pPr>
            <w:r>
              <w:rPr>
                <w:color w:val="000000"/>
                <w:sz w:val="24"/>
              </w:rPr>
              <w:t>700,000</w:t>
            </w:r>
          </w:p>
        </w:tc>
        <w:tc>
          <w:tcPr>
            <w:vAlign w:val="center"/>
          </w:tcPr>
          <w:p>
            <w:pPr>
              <w:jc w:val="right"/>
            </w:pPr>
            <w:r>
              <w:rPr>
                <w:color w:val="000000"/>
                <w:sz w:val="24"/>
              </w:rPr>
              <w:t>71,918,000.00</w:t>
            </w:r>
          </w:p>
        </w:tc>
        <w:tc>
          <w:tcPr>
            <w:vAlign w:val="center"/>
          </w:tcPr>
          <w:p>
            <w:pPr>
              <w:jc w:val="right"/>
            </w:pPr>
            <w:r>
              <w:rPr>
                <w:color w:val="000000"/>
                <w:sz w:val="24"/>
              </w:rPr>
              <w:t>6.68</w:t>
            </w:r>
          </w:p>
        </w:tc>
      </w:tr>
      <w:tr>
        <w:tc>
          <w:tcPr>
            <w:vAlign w:val="center"/>
          </w:tcPr>
          <w:p>
            <w:pPr>
              <w:jc w:val="center"/>
            </w:pPr>
            <w:r>
              <w:rPr>
                <w:color w:val="000000"/>
                <w:sz w:val="24"/>
              </w:rPr>
              <w:t>2</w:t>
            </w:r>
          </w:p>
        </w:tc>
        <w:tc>
          <w:tcPr>
            <w:vAlign w:val="center"/>
          </w:tcPr>
          <w:p>
            <w:pPr>
              <w:jc w:val="center"/>
            </w:pPr>
            <w:r>
              <w:rPr>
                <w:color w:val="000000"/>
                <w:sz w:val="24"/>
              </w:rPr>
              <w:t>101800640</w:t>
            </w:r>
          </w:p>
        </w:tc>
        <w:tc>
          <w:tcPr>
            <w:vAlign w:val="center"/>
          </w:tcPr>
          <w:p>
            <w:pPr>
              <w:jc w:val="center"/>
            </w:pPr>
            <w:r>
              <w:rPr>
                <w:color w:val="000000"/>
                <w:sz w:val="24"/>
              </w:rPr>
              <w:t>18环球租赁MTN001</w:t>
            </w:r>
          </w:p>
        </w:tc>
        <w:tc>
          <w:tcPr>
            <w:vAlign w:val="center"/>
          </w:tcPr>
          <w:p>
            <w:pPr>
              <w:jc w:val="right"/>
            </w:pPr>
            <w:r>
              <w:rPr>
                <w:color w:val="000000"/>
                <w:sz w:val="24"/>
              </w:rPr>
              <w:t>600,000</w:t>
            </w:r>
          </w:p>
        </w:tc>
        <w:tc>
          <w:tcPr>
            <w:vAlign w:val="center"/>
          </w:tcPr>
          <w:p>
            <w:pPr>
              <w:jc w:val="right"/>
            </w:pPr>
            <w:r>
              <w:rPr>
                <w:color w:val="000000"/>
                <w:sz w:val="24"/>
              </w:rPr>
              <w:t>62,076,000.00</w:t>
            </w:r>
          </w:p>
        </w:tc>
        <w:tc>
          <w:tcPr>
            <w:vAlign w:val="center"/>
          </w:tcPr>
          <w:p>
            <w:pPr>
              <w:jc w:val="right"/>
            </w:pPr>
            <w:r>
              <w:rPr>
                <w:color w:val="000000"/>
                <w:sz w:val="24"/>
              </w:rPr>
              <w:t>5.76</w:t>
            </w:r>
          </w:p>
        </w:tc>
      </w:tr>
      <w:tr>
        <w:tc>
          <w:tcPr>
            <w:vAlign w:val="center"/>
          </w:tcPr>
          <w:p>
            <w:pPr>
              <w:jc w:val="center"/>
            </w:pPr>
            <w:r>
              <w:rPr>
                <w:color w:val="000000"/>
                <w:sz w:val="24"/>
              </w:rPr>
              <w:t>3</w:t>
            </w:r>
          </w:p>
        </w:tc>
        <w:tc>
          <w:tcPr>
            <w:vAlign w:val="center"/>
          </w:tcPr>
          <w:p>
            <w:pPr>
              <w:jc w:val="center"/>
            </w:pPr>
            <w:r>
              <w:rPr>
                <w:color w:val="000000"/>
                <w:sz w:val="24"/>
              </w:rPr>
              <w:t>101800261</w:t>
            </w:r>
          </w:p>
        </w:tc>
        <w:tc>
          <w:tcPr>
            <w:vAlign w:val="center"/>
          </w:tcPr>
          <w:p>
            <w:pPr>
              <w:jc w:val="center"/>
            </w:pPr>
            <w:r>
              <w:rPr>
                <w:color w:val="000000"/>
                <w:sz w:val="24"/>
              </w:rPr>
              <w:t>18即墨旅投MTN001</w:t>
            </w:r>
          </w:p>
        </w:tc>
        <w:tc>
          <w:tcPr>
            <w:vAlign w:val="center"/>
          </w:tcPr>
          <w:p>
            <w:pPr>
              <w:jc w:val="right"/>
            </w:pPr>
            <w:r>
              <w:rPr>
                <w:color w:val="000000"/>
                <w:sz w:val="24"/>
              </w:rPr>
              <w:t>600,000</w:t>
            </w:r>
          </w:p>
        </w:tc>
        <w:tc>
          <w:tcPr>
            <w:vAlign w:val="center"/>
          </w:tcPr>
          <w:p>
            <w:pPr>
              <w:jc w:val="right"/>
            </w:pPr>
            <w:r>
              <w:rPr>
                <w:color w:val="000000"/>
                <w:sz w:val="24"/>
              </w:rPr>
              <w:t>61,824,000.00</w:t>
            </w:r>
          </w:p>
        </w:tc>
        <w:tc>
          <w:tcPr>
            <w:vAlign w:val="center"/>
          </w:tcPr>
          <w:p>
            <w:pPr>
              <w:jc w:val="right"/>
            </w:pPr>
            <w:r>
              <w:rPr>
                <w:color w:val="000000"/>
                <w:sz w:val="24"/>
              </w:rPr>
              <w:t>5.74</w:t>
            </w:r>
          </w:p>
        </w:tc>
      </w:tr>
      <w:tr>
        <w:tc>
          <w:tcPr>
            <w:vAlign w:val="center"/>
          </w:tcPr>
          <w:p>
            <w:pPr>
              <w:jc w:val="center"/>
            </w:pPr>
            <w:r>
              <w:rPr>
                <w:color w:val="000000"/>
                <w:sz w:val="24"/>
              </w:rPr>
              <w:t>4</w:t>
            </w:r>
          </w:p>
        </w:tc>
        <w:tc>
          <w:tcPr>
            <w:vAlign w:val="center"/>
          </w:tcPr>
          <w:p>
            <w:pPr>
              <w:jc w:val="center"/>
            </w:pPr>
            <w:r>
              <w:rPr>
                <w:color w:val="000000"/>
                <w:sz w:val="24"/>
              </w:rPr>
              <w:t>190406</w:t>
            </w:r>
          </w:p>
        </w:tc>
        <w:tc>
          <w:tcPr>
            <w:vAlign w:val="center"/>
          </w:tcPr>
          <w:p>
            <w:pPr>
              <w:jc w:val="center"/>
            </w:pPr>
            <w:r>
              <w:rPr>
                <w:color w:val="000000"/>
                <w:sz w:val="24"/>
              </w:rPr>
              <w:t>19农发06</w:t>
            </w:r>
          </w:p>
        </w:tc>
        <w:tc>
          <w:tcPr>
            <w:vAlign w:val="center"/>
          </w:tcPr>
          <w:p>
            <w:pPr>
              <w:jc w:val="right"/>
            </w:pPr>
            <w:r>
              <w:rPr>
                <w:color w:val="000000"/>
                <w:sz w:val="24"/>
              </w:rPr>
              <w:t>500,000</w:t>
            </w:r>
          </w:p>
        </w:tc>
        <w:tc>
          <w:tcPr>
            <w:vAlign w:val="center"/>
          </w:tcPr>
          <w:p>
            <w:pPr>
              <w:jc w:val="right"/>
            </w:pPr>
            <w:r>
              <w:rPr>
                <w:color w:val="000000"/>
                <w:sz w:val="24"/>
              </w:rPr>
              <w:t>52,275,000.00</w:t>
            </w:r>
          </w:p>
        </w:tc>
        <w:tc>
          <w:tcPr>
            <w:vAlign w:val="center"/>
          </w:tcPr>
          <w:p>
            <w:pPr>
              <w:jc w:val="right"/>
            </w:pPr>
            <w:r>
              <w:rPr>
                <w:color w:val="000000"/>
                <w:sz w:val="24"/>
              </w:rPr>
              <w:t>4.85</w:t>
            </w:r>
          </w:p>
        </w:tc>
      </w:tr>
      <w:tr>
        <w:tc>
          <w:tcPr>
            <w:vAlign w:val="center"/>
          </w:tcPr>
          <w:p>
            <w:pPr>
              <w:jc w:val="center"/>
            </w:pPr>
            <w:r>
              <w:rPr>
                <w:color w:val="000000"/>
                <w:sz w:val="24"/>
              </w:rPr>
              <w:t>5</w:t>
            </w:r>
          </w:p>
        </w:tc>
        <w:tc>
          <w:tcPr>
            <w:vAlign w:val="center"/>
          </w:tcPr>
          <w:p>
            <w:pPr>
              <w:jc w:val="center"/>
            </w:pPr>
            <w:r>
              <w:rPr>
                <w:color w:val="000000"/>
                <w:sz w:val="24"/>
              </w:rPr>
              <w:t>101800160</w:t>
            </w:r>
          </w:p>
        </w:tc>
        <w:tc>
          <w:tcPr>
            <w:vAlign w:val="center"/>
          </w:tcPr>
          <w:p>
            <w:pPr>
              <w:jc w:val="center"/>
            </w:pPr>
            <w:r>
              <w:rPr>
                <w:color w:val="000000"/>
                <w:sz w:val="24"/>
              </w:rPr>
              <w:t>18港兴港投MTN001</w:t>
            </w:r>
          </w:p>
        </w:tc>
        <w:tc>
          <w:tcPr>
            <w:vAlign w:val="center"/>
          </w:tcPr>
          <w:p>
            <w:pPr>
              <w:jc w:val="right"/>
            </w:pPr>
            <w:r>
              <w:rPr>
                <w:color w:val="000000"/>
                <w:sz w:val="24"/>
              </w:rPr>
              <w:t>500,000</w:t>
            </w:r>
          </w:p>
        </w:tc>
        <w:tc>
          <w:tcPr>
            <w:vAlign w:val="center"/>
          </w:tcPr>
          <w:p>
            <w:pPr>
              <w:jc w:val="right"/>
            </w:pPr>
            <w:r>
              <w:rPr>
                <w:color w:val="000000"/>
                <w:sz w:val="24"/>
              </w:rPr>
              <w:t>51,480,000.00</w:t>
            </w:r>
          </w:p>
        </w:tc>
        <w:tc>
          <w:tcPr>
            <w:vAlign w:val="center"/>
          </w:tcPr>
          <w:p>
            <w:pPr>
              <w:jc w:val="right"/>
            </w:pPr>
            <w:r>
              <w:rPr>
                <w:color w:val="000000"/>
                <w:sz w:val="24"/>
              </w:rPr>
              <w:t>4.78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21,881,280.17</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99,919.01</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21,981,199.18</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交银丰享收益债券A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交银丰享收益债券C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502,084,984.82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8,649,548.27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3,677,229.75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491,133.72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2,633,987.95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698,813.22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503,128,226.62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8,441,868.77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246,913,580.25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246,913,580.25</w:t>
            </w:r>
          </w:p>
        </w:tc>
        <w:tc>
          <w:tcPr>
            <w:vAlign w:val="center"/>
          </w:tcPr>
          <w:p>
            <w:pPr>
              <w:jc w:val="center"/>
            </w:pPr>
            <w:r>
              <w:rPr>
                <w:rFonts w:ascii="宋体" w:hAnsi="宋体" w:hint="eastAsia"/>
                <w:color w:val="000000"/>
                <w:kern w:val="0"/>
                <w:szCs w:val="21"/>
              </w:rPr>
              <w:t>48.27%</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246,913,086.42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246,913,086.42</w:t>
            </w:r>
          </w:p>
        </w:tc>
        <w:tc>
          <w:tcPr>
            <w:vAlign w:val="center"/>
          </w:tcPr>
          <w:p>
            <w:pPr>
              <w:jc w:val="center"/>
            </w:pPr>
            <w:r>
              <w:rPr>
                <w:rFonts w:ascii="宋体" w:hAnsi="宋体" w:hint="eastAsia"/>
                <w:color w:val="000000"/>
                <w:kern w:val="0"/>
                <w:szCs w:val="21"/>
              </w:rPr>
              <w:t>48.27%</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1、中国证监会准予交银施罗德丰享收益债券型证券投资基金募集注册的文件；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2、《交银施罗德丰享收益债券型证券投资基金基金合同》；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3、《交银施罗德丰享收益债券型证券投资基金招募说明书》；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4、《交银施罗德丰享收益债券型证券投资基金托管协议》；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7、关于申请募集注册交银施罗德丰享收益债券型证券投资基金的法律意见书；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8、报告期内交银施罗德丰享收益债券型证券投资基金在指定报刊上各项公告的原稿。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交银施罗德丰享收益债券型证券投资基金2020年第1季度报告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