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交银施罗德蓝筹混合型证券投资基金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E7607B" w:rsidRDefault="004860F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基金的过往业绩并不代表其未来表现。投资有风险</w:t>
      </w:r>
      <w:r>
        <w:rPr>
          <w:color w:val="000000"/>
          <w:sz w:val="24"/>
          <w:szCs w:val="24"/>
        </w:rPr>
        <w:t>，投资者在作出投资决策前应仔细阅读本基金的招募说明书。</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交银蓝筹混合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519694</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519695</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2007</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1,991,318,592.43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100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本基金是一只混合型基金，以优质蓝筹股为主要投资</w:t>
            </w:r>
            <w:r w:rsidRPr="00414345">
              <w:rPr>
                <w:color w:val="000000"/>
                <w:kern w:val="0"/>
                <w:sz w:val="24"/>
                <w:szCs w:val="24"/>
              </w:rPr>
              <w:lastRenderedPageBreak/>
              <w:t>对象，其风险和预期收益高于债券型基金和货币市场基金，低于股票型基金。属于承担较高风险、预期收益较高的证券投资基金品种。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724BB" w:rsidRPr="00414345" w:rsidTr="008724B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8724BB" w:rsidRPr="00414345" w:rsidTr="008724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225,084,861.44</w:t>
            </w:r>
          </w:p>
        </w:tc>
      </w:tr>
      <w:tr w:rsidR="008724BB" w:rsidRPr="00414345" w:rsidTr="008724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221,406,905.23</w:t>
            </w:r>
          </w:p>
        </w:tc>
      </w:tr>
      <w:tr w:rsidR="008724BB" w:rsidRPr="00414345" w:rsidTr="008724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0.1103</w:t>
            </w:r>
          </w:p>
        </w:tc>
      </w:tr>
      <w:tr w:rsidR="008724BB" w:rsidRPr="00414345" w:rsidTr="008724B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2,239,904,940.75</w:t>
            </w:r>
          </w:p>
        </w:tc>
      </w:tr>
      <w:tr w:rsidR="008724BB" w:rsidRPr="00414345" w:rsidTr="008724B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1.1248</w:t>
            </w:r>
          </w:p>
        </w:tc>
      </w:tr>
    </w:tbl>
    <w:p w:rsidR="00E7607B" w:rsidRDefault="004860F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E7607B">
        <w:trPr>
          <w:jc w:val="center"/>
        </w:trPr>
        <w:tc>
          <w:tcPr>
            <w:tcW w:w="1701" w:type="dxa"/>
            <w:vAlign w:val="center"/>
          </w:tcPr>
          <w:p w:rsidR="00E7607B" w:rsidRDefault="004860F3">
            <w:pPr>
              <w:jc w:val="left"/>
            </w:pPr>
            <w:r>
              <w:rPr>
                <w:color w:val="000000"/>
                <w:sz w:val="24"/>
                <w:szCs w:val="24"/>
              </w:rPr>
              <w:t>过去三个月</w:t>
            </w:r>
          </w:p>
        </w:tc>
        <w:tc>
          <w:tcPr>
            <w:tcW w:w="1045" w:type="dxa"/>
            <w:vAlign w:val="center"/>
          </w:tcPr>
          <w:p w:rsidR="00E7607B" w:rsidRDefault="004860F3">
            <w:pPr>
              <w:jc w:val="center"/>
            </w:pPr>
            <w:r>
              <w:rPr>
                <w:color w:val="000000"/>
                <w:sz w:val="24"/>
                <w:szCs w:val="24"/>
              </w:rPr>
              <w:t>10.57%</w:t>
            </w:r>
          </w:p>
        </w:tc>
        <w:tc>
          <w:tcPr>
            <w:tcW w:w="1344" w:type="dxa"/>
            <w:vAlign w:val="center"/>
          </w:tcPr>
          <w:p w:rsidR="00E7607B" w:rsidRDefault="004860F3">
            <w:pPr>
              <w:jc w:val="center"/>
            </w:pPr>
            <w:r>
              <w:rPr>
                <w:color w:val="000000"/>
                <w:sz w:val="24"/>
                <w:szCs w:val="24"/>
              </w:rPr>
              <w:t>2.01%</w:t>
            </w:r>
          </w:p>
        </w:tc>
        <w:tc>
          <w:tcPr>
            <w:tcW w:w="1194" w:type="dxa"/>
            <w:vAlign w:val="center"/>
          </w:tcPr>
          <w:p w:rsidR="00E7607B" w:rsidRDefault="004860F3">
            <w:pPr>
              <w:jc w:val="center"/>
            </w:pPr>
            <w:r>
              <w:rPr>
                <w:color w:val="000000"/>
                <w:sz w:val="24"/>
                <w:szCs w:val="24"/>
              </w:rPr>
              <w:t>-8.55%</w:t>
            </w:r>
          </w:p>
        </w:tc>
        <w:tc>
          <w:tcPr>
            <w:tcW w:w="1492" w:type="dxa"/>
            <w:vAlign w:val="center"/>
          </w:tcPr>
          <w:p w:rsidR="00E7607B" w:rsidRDefault="004860F3">
            <w:pPr>
              <w:jc w:val="center"/>
            </w:pPr>
            <w:r>
              <w:rPr>
                <w:color w:val="000000"/>
                <w:sz w:val="24"/>
                <w:szCs w:val="24"/>
              </w:rPr>
              <w:t>1.40%</w:t>
            </w:r>
          </w:p>
        </w:tc>
        <w:tc>
          <w:tcPr>
            <w:tcW w:w="1194" w:type="dxa"/>
            <w:vAlign w:val="center"/>
          </w:tcPr>
          <w:p w:rsidR="00E7607B" w:rsidRDefault="004860F3">
            <w:pPr>
              <w:jc w:val="center"/>
            </w:pPr>
            <w:r>
              <w:rPr>
                <w:color w:val="000000"/>
                <w:sz w:val="24"/>
                <w:szCs w:val="24"/>
              </w:rPr>
              <w:t>19.12%</w:t>
            </w:r>
          </w:p>
        </w:tc>
        <w:tc>
          <w:tcPr>
            <w:tcW w:w="898" w:type="dxa"/>
            <w:vAlign w:val="center"/>
          </w:tcPr>
          <w:p w:rsidR="00E7607B" w:rsidRDefault="004860F3">
            <w:pPr>
              <w:jc w:val="center"/>
            </w:pPr>
            <w:r>
              <w:rPr>
                <w:color w:val="000000"/>
                <w:sz w:val="24"/>
                <w:szCs w:val="24"/>
              </w:rPr>
              <w:t>0.61%</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100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w:t>
      </w:r>
      <w:r w:rsidR="00C6002A" w:rsidRPr="00414345">
        <w:rPr>
          <w:b/>
          <w:bCs/>
          <w:color w:val="000000"/>
          <w:sz w:val="24"/>
        </w:rPr>
        <w:lastRenderedPageBreak/>
        <w:t>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交银施罗德蓝筹混合型证券投资基金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E7607B">
        <w:trPr>
          <w:jc w:val="center"/>
        </w:trPr>
        <w:tc>
          <w:tcPr>
            <w:tcW w:w="846" w:type="dxa"/>
            <w:vAlign w:val="center"/>
          </w:tcPr>
          <w:p w:rsidR="00E7607B" w:rsidRDefault="004860F3">
            <w:pPr>
              <w:jc w:val="center"/>
            </w:pPr>
            <w:r>
              <w:rPr>
                <w:color w:val="000000"/>
                <w:sz w:val="24"/>
                <w:szCs w:val="24"/>
              </w:rPr>
              <w:t>王少成</w:t>
            </w:r>
          </w:p>
        </w:tc>
        <w:tc>
          <w:tcPr>
            <w:tcW w:w="845" w:type="dxa"/>
            <w:vAlign w:val="center"/>
          </w:tcPr>
          <w:p w:rsidR="00E7607B" w:rsidRDefault="004860F3">
            <w:pPr>
              <w:jc w:val="center"/>
            </w:pPr>
            <w:r>
              <w:rPr>
                <w:color w:val="000000"/>
                <w:sz w:val="24"/>
                <w:szCs w:val="24"/>
              </w:rPr>
              <w:t>交银成长混合、交银蓝筹混合的基金经理，公司权</w:t>
            </w:r>
            <w:r>
              <w:rPr>
                <w:color w:val="000000"/>
                <w:sz w:val="24"/>
                <w:szCs w:val="24"/>
              </w:rPr>
              <w:lastRenderedPageBreak/>
              <w:t>益投资总监</w:t>
            </w:r>
          </w:p>
        </w:tc>
        <w:tc>
          <w:tcPr>
            <w:tcW w:w="1549" w:type="dxa"/>
            <w:vAlign w:val="center"/>
          </w:tcPr>
          <w:p w:rsidR="00E7607B" w:rsidRDefault="004860F3">
            <w:pPr>
              <w:jc w:val="center"/>
            </w:pPr>
            <w:r>
              <w:rPr>
                <w:color w:val="000000"/>
                <w:sz w:val="24"/>
                <w:szCs w:val="24"/>
              </w:rPr>
              <w:lastRenderedPageBreak/>
              <w:t>2018-09-28</w:t>
            </w:r>
          </w:p>
        </w:tc>
        <w:tc>
          <w:tcPr>
            <w:tcW w:w="1548" w:type="dxa"/>
            <w:vAlign w:val="center"/>
          </w:tcPr>
          <w:p w:rsidR="00E7607B" w:rsidRDefault="004860F3">
            <w:pPr>
              <w:jc w:val="center"/>
            </w:pPr>
            <w:r>
              <w:rPr>
                <w:color w:val="000000"/>
                <w:sz w:val="24"/>
                <w:szCs w:val="24"/>
              </w:rPr>
              <w:t>-</w:t>
            </w:r>
          </w:p>
        </w:tc>
        <w:tc>
          <w:tcPr>
            <w:tcW w:w="1407" w:type="dxa"/>
            <w:vAlign w:val="center"/>
          </w:tcPr>
          <w:p w:rsidR="00E7607B" w:rsidRDefault="004860F3">
            <w:pPr>
              <w:jc w:val="center"/>
            </w:pPr>
            <w:r>
              <w:rPr>
                <w:color w:val="000000"/>
                <w:sz w:val="24"/>
                <w:szCs w:val="24"/>
              </w:rPr>
              <w:t>16</w:t>
            </w:r>
            <w:r>
              <w:rPr>
                <w:color w:val="000000"/>
                <w:sz w:val="24"/>
                <w:szCs w:val="24"/>
              </w:rPr>
              <w:t>年</w:t>
            </w:r>
          </w:p>
        </w:tc>
        <w:tc>
          <w:tcPr>
            <w:tcW w:w="2673" w:type="dxa"/>
            <w:vAlign w:val="center"/>
          </w:tcPr>
          <w:p w:rsidR="00E7607B" w:rsidRDefault="004860F3">
            <w:r>
              <w:rPr>
                <w:color w:val="000000"/>
                <w:sz w:val="24"/>
                <w:szCs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szCs w:val="24"/>
              </w:rPr>
              <w:t>2010</w:t>
            </w:r>
            <w:r>
              <w:rPr>
                <w:color w:val="000000"/>
                <w:sz w:val="24"/>
                <w:szCs w:val="24"/>
              </w:rPr>
              <w:t>年</w:t>
            </w:r>
            <w:r>
              <w:rPr>
                <w:color w:val="000000"/>
                <w:sz w:val="24"/>
                <w:szCs w:val="24"/>
              </w:rPr>
              <w:t>9</w:t>
            </w:r>
            <w:r>
              <w:rPr>
                <w:color w:val="000000"/>
                <w:sz w:val="24"/>
                <w:szCs w:val="24"/>
              </w:rPr>
              <w:t>月至</w:t>
            </w:r>
            <w:r>
              <w:rPr>
                <w:color w:val="000000"/>
                <w:sz w:val="24"/>
                <w:szCs w:val="24"/>
              </w:rPr>
              <w:t>2012</w:t>
            </w:r>
            <w:r>
              <w:rPr>
                <w:color w:val="000000"/>
                <w:sz w:val="24"/>
                <w:szCs w:val="24"/>
              </w:rPr>
              <w:t>年</w:t>
            </w:r>
            <w:r>
              <w:rPr>
                <w:color w:val="000000"/>
                <w:sz w:val="24"/>
                <w:szCs w:val="24"/>
              </w:rPr>
              <w:t>10</w:t>
            </w:r>
            <w:r>
              <w:rPr>
                <w:color w:val="000000"/>
                <w:sz w:val="24"/>
                <w:szCs w:val="24"/>
              </w:rPr>
              <w:t>月担</w:t>
            </w:r>
            <w:r>
              <w:rPr>
                <w:color w:val="000000"/>
                <w:sz w:val="24"/>
                <w:szCs w:val="24"/>
              </w:rPr>
              <w:lastRenderedPageBreak/>
              <w:t>任东吴新创业股票型证券投资基金基金经理，</w:t>
            </w:r>
            <w:r>
              <w:rPr>
                <w:color w:val="000000"/>
                <w:sz w:val="24"/>
                <w:szCs w:val="24"/>
              </w:rPr>
              <w:t>2011</w:t>
            </w:r>
            <w:r>
              <w:rPr>
                <w:color w:val="000000"/>
                <w:sz w:val="24"/>
                <w:szCs w:val="24"/>
              </w:rPr>
              <w:t>年</w:t>
            </w:r>
            <w:r>
              <w:rPr>
                <w:color w:val="000000"/>
                <w:sz w:val="24"/>
                <w:szCs w:val="24"/>
              </w:rPr>
              <w:t>2</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月担任东吴中证新兴产业指数证券投资基金基金经理，</w:t>
            </w:r>
            <w:r>
              <w:rPr>
                <w:color w:val="000000"/>
                <w:sz w:val="24"/>
                <w:szCs w:val="24"/>
              </w:rPr>
              <w:t>2011</w:t>
            </w:r>
            <w:r>
              <w:rPr>
                <w:color w:val="000000"/>
                <w:sz w:val="24"/>
                <w:szCs w:val="24"/>
              </w:rPr>
              <w:t>年</w:t>
            </w:r>
            <w:r>
              <w:rPr>
                <w:color w:val="000000"/>
                <w:sz w:val="24"/>
                <w:szCs w:val="24"/>
              </w:rPr>
              <w:t>5</w:t>
            </w:r>
            <w:r>
              <w:rPr>
                <w:color w:val="000000"/>
                <w:sz w:val="24"/>
                <w:szCs w:val="24"/>
              </w:rPr>
              <w:t>月至</w:t>
            </w:r>
            <w:r>
              <w:rPr>
                <w:color w:val="000000"/>
                <w:sz w:val="24"/>
                <w:szCs w:val="24"/>
              </w:rPr>
              <w:t>2012</w:t>
            </w:r>
            <w:r>
              <w:rPr>
                <w:color w:val="000000"/>
                <w:sz w:val="24"/>
                <w:szCs w:val="24"/>
              </w:rPr>
              <w:t>年</w:t>
            </w:r>
            <w:r>
              <w:rPr>
                <w:color w:val="000000"/>
                <w:sz w:val="24"/>
                <w:szCs w:val="24"/>
              </w:rPr>
              <w:t>11</w:t>
            </w:r>
            <w:r>
              <w:rPr>
                <w:color w:val="000000"/>
                <w:sz w:val="24"/>
                <w:szCs w:val="24"/>
              </w:rPr>
              <w:t>月担任东吴价值成长双动力股票型证券投资基金基金经理。</w:t>
            </w:r>
            <w:r>
              <w:rPr>
                <w:color w:val="000000"/>
                <w:sz w:val="24"/>
                <w:szCs w:val="24"/>
              </w:rPr>
              <w:t>2012</w:t>
            </w:r>
            <w:r>
              <w:rPr>
                <w:color w:val="000000"/>
                <w:sz w:val="24"/>
                <w:szCs w:val="24"/>
              </w:rPr>
              <w:t>年加入交银施罗德基金管理有限公司，历任公司权益部副总经理。</w:t>
            </w:r>
            <w:r>
              <w:rPr>
                <w:color w:val="000000"/>
                <w:sz w:val="24"/>
                <w:szCs w:val="24"/>
              </w:rPr>
              <w:t>2013</w:t>
            </w:r>
            <w:r>
              <w:rPr>
                <w:color w:val="000000"/>
                <w:sz w:val="24"/>
                <w:szCs w:val="24"/>
              </w:rPr>
              <w:t>年</w:t>
            </w:r>
            <w:r>
              <w:rPr>
                <w:color w:val="000000"/>
                <w:sz w:val="24"/>
                <w:szCs w:val="24"/>
              </w:rPr>
              <w:t>3</w:t>
            </w:r>
            <w:r>
              <w:rPr>
                <w:color w:val="000000"/>
                <w:sz w:val="24"/>
                <w:szCs w:val="24"/>
              </w:rPr>
              <w:t>月</w:t>
            </w:r>
            <w:r>
              <w:rPr>
                <w:color w:val="000000"/>
                <w:sz w:val="24"/>
                <w:szCs w:val="24"/>
              </w:rPr>
              <w:t>21</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w:t>
            </w:r>
            <w:r>
              <w:rPr>
                <w:color w:val="000000"/>
                <w:sz w:val="24"/>
                <w:szCs w:val="24"/>
              </w:rPr>
              <w:t>4</w:t>
            </w:r>
            <w:r>
              <w:rPr>
                <w:color w:val="000000"/>
                <w:sz w:val="24"/>
                <w:szCs w:val="24"/>
              </w:rPr>
              <w:t>日担任交银施罗德先进制造混合型证券投资基金（原交银施罗德先进制造股票证券投资基金）基金经理，</w:t>
            </w:r>
            <w:r>
              <w:rPr>
                <w:color w:val="000000"/>
                <w:sz w:val="24"/>
                <w:szCs w:val="24"/>
              </w:rPr>
              <w:t>2013</w:t>
            </w:r>
            <w:r>
              <w:rPr>
                <w:color w:val="000000"/>
                <w:sz w:val="24"/>
                <w:szCs w:val="24"/>
              </w:rPr>
              <w:t>年</w:t>
            </w:r>
            <w:r>
              <w:rPr>
                <w:color w:val="000000"/>
                <w:sz w:val="24"/>
                <w:szCs w:val="24"/>
              </w:rPr>
              <w:t>5</w:t>
            </w:r>
            <w:r>
              <w:rPr>
                <w:color w:val="000000"/>
                <w:sz w:val="24"/>
                <w:szCs w:val="24"/>
              </w:rPr>
              <w:t>月</w:t>
            </w:r>
            <w:r>
              <w:rPr>
                <w:color w:val="000000"/>
                <w:sz w:val="24"/>
                <w:szCs w:val="24"/>
              </w:rPr>
              <w:t>29</w:t>
            </w:r>
            <w:r>
              <w:rPr>
                <w:color w:val="000000"/>
                <w:sz w:val="24"/>
                <w:szCs w:val="24"/>
              </w:rPr>
              <w:t>日至</w:t>
            </w:r>
            <w:r>
              <w:rPr>
                <w:color w:val="000000"/>
                <w:sz w:val="24"/>
                <w:szCs w:val="24"/>
              </w:rPr>
              <w:t>2015</w:t>
            </w:r>
            <w:r>
              <w:rPr>
                <w:color w:val="000000"/>
                <w:sz w:val="24"/>
                <w:szCs w:val="24"/>
              </w:rPr>
              <w:t>年</w:t>
            </w:r>
            <w:r>
              <w:rPr>
                <w:color w:val="000000"/>
                <w:sz w:val="24"/>
                <w:szCs w:val="24"/>
              </w:rPr>
              <w:t>8</w:t>
            </w:r>
            <w:r>
              <w:rPr>
                <w:color w:val="000000"/>
                <w:sz w:val="24"/>
                <w:szCs w:val="24"/>
              </w:rPr>
              <w:t>月</w:t>
            </w:r>
            <w:r>
              <w:rPr>
                <w:color w:val="000000"/>
                <w:sz w:val="24"/>
                <w:szCs w:val="24"/>
              </w:rPr>
              <w:t>14</w:t>
            </w:r>
            <w:r>
              <w:rPr>
                <w:color w:val="000000"/>
                <w:sz w:val="24"/>
                <w:szCs w:val="24"/>
              </w:rPr>
              <w:t>日担任交银施罗德先锋混合型证券投资基金（原交银施罗德先锋股票证券投资基金）基金经理，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5</w:t>
            </w:r>
            <w:r>
              <w:rPr>
                <w:color w:val="000000"/>
                <w:sz w:val="24"/>
                <w:szCs w:val="24"/>
              </w:rPr>
              <w:t>月</w:t>
            </w:r>
            <w:r>
              <w:rPr>
                <w:color w:val="000000"/>
                <w:sz w:val="24"/>
                <w:szCs w:val="24"/>
              </w:rPr>
              <w:t>15</w:t>
            </w:r>
            <w:r>
              <w:rPr>
                <w:color w:val="000000"/>
                <w:sz w:val="24"/>
                <w:szCs w:val="24"/>
              </w:rPr>
              <w:t>日担任交银施罗德荣和保本混合型证券投资基金的基金经理，</w:t>
            </w:r>
            <w:r>
              <w:rPr>
                <w:color w:val="000000"/>
                <w:sz w:val="24"/>
                <w:szCs w:val="24"/>
              </w:rPr>
              <w:t>2015</w:t>
            </w:r>
            <w:r>
              <w:rPr>
                <w:color w:val="000000"/>
                <w:sz w:val="24"/>
                <w:szCs w:val="24"/>
              </w:rPr>
              <w:t>年</w:t>
            </w:r>
            <w:r>
              <w:rPr>
                <w:color w:val="000000"/>
                <w:sz w:val="24"/>
                <w:szCs w:val="24"/>
              </w:rPr>
              <w:t>11</w:t>
            </w:r>
            <w:r>
              <w:rPr>
                <w:color w:val="000000"/>
                <w:sz w:val="24"/>
                <w:szCs w:val="24"/>
              </w:rPr>
              <w:t>月</w:t>
            </w:r>
            <w:r>
              <w:rPr>
                <w:color w:val="000000"/>
                <w:sz w:val="24"/>
                <w:szCs w:val="24"/>
              </w:rPr>
              <w:t>7</w:t>
            </w:r>
            <w:r>
              <w:rPr>
                <w:color w:val="000000"/>
                <w:sz w:val="24"/>
                <w:szCs w:val="24"/>
              </w:rPr>
              <w:t>日至</w:t>
            </w:r>
            <w:r>
              <w:rPr>
                <w:color w:val="000000"/>
                <w:sz w:val="24"/>
                <w:szCs w:val="24"/>
              </w:rPr>
              <w:t>2018</w:t>
            </w:r>
            <w:r>
              <w:rPr>
                <w:color w:val="000000"/>
                <w:sz w:val="24"/>
                <w:szCs w:val="24"/>
              </w:rPr>
              <w:t>年</w:t>
            </w:r>
            <w:r>
              <w:rPr>
                <w:color w:val="000000"/>
                <w:sz w:val="24"/>
                <w:szCs w:val="24"/>
              </w:rPr>
              <w:t>6</w:t>
            </w:r>
            <w:r>
              <w:rPr>
                <w:color w:val="000000"/>
                <w:sz w:val="24"/>
                <w:szCs w:val="24"/>
              </w:rPr>
              <w:t>月</w:t>
            </w:r>
            <w:r>
              <w:rPr>
                <w:color w:val="000000"/>
                <w:sz w:val="24"/>
                <w:szCs w:val="24"/>
              </w:rPr>
              <w:t>7</w:t>
            </w:r>
            <w:r>
              <w:rPr>
                <w:color w:val="000000"/>
                <w:sz w:val="24"/>
                <w:szCs w:val="24"/>
              </w:rPr>
              <w:t>日担任交银施罗德策略回报灵活配置混合型证券投资基金的基金经理。</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2</w:t>
            </w:r>
            <w:r>
              <w:rPr>
                <w:color w:val="000000"/>
                <w:sz w:val="24"/>
                <w:szCs w:val="24"/>
              </w:rPr>
              <w:t>日至</w:t>
            </w:r>
            <w:r>
              <w:rPr>
                <w:color w:val="000000"/>
                <w:sz w:val="24"/>
                <w:szCs w:val="24"/>
              </w:rPr>
              <w:t>2019</w:t>
            </w:r>
            <w:r>
              <w:rPr>
                <w:color w:val="000000"/>
                <w:sz w:val="24"/>
                <w:szCs w:val="24"/>
              </w:rPr>
              <w:t>年</w:t>
            </w:r>
            <w:r>
              <w:rPr>
                <w:color w:val="000000"/>
                <w:sz w:val="24"/>
                <w:szCs w:val="24"/>
              </w:rPr>
              <w:t>6</w:t>
            </w:r>
            <w:r>
              <w:rPr>
                <w:color w:val="000000"/>
                <w:sz w:val="24"/>
                <w:szCs w:val="24"/>
              </w:rPr>
              <w:t>月</w:t>
            </w:r>
            <w:r>
              <w:rPr>
                <w:color w:val="000000"/>
                <w:sz w:val="24"/>
                <w:szCs w:val="24"/>
              </w:rPr>
              <w:t>17</w:t>
            </w:r>
            <w:r>
              <w:rPr>
                <w:color w:val="000000"/>
                <w:sz w:val="24"/>
                <w:szCs w:val="24"/>
              </w:rPr>
              <w:t>日担任交银施罗德成长</w:t>
            </w:r>
            <w:r>
              <w:rPr>
                <w:color w:val="000000"/>
                <w:sz w:val="24"/>
                <w:szCs w:val="24"/>
              </w:rPr>
              <w:t>30</w:t>
            </w:r>
            <w:r>
              <w:rPr>
                <w:color w:val="000000"/>
                <w:sz w:val="24"/>
                <w:szCs w:val="24"/>
              </w:rPr>
              <w:t>混合型证券投资基金的基金经理。</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24</w:t>
            </w:r>
            <w:r>
              <w:rPr>
                <w:color w:val="000000"/>
                <w:sz w:val="24"/>
                <w:szCs w:val="24"/>
              </w:rPr>
              <w:t>日至</w:t>
            </w:r>
            <w:r>
              <w:rPr>
                <w:color w:val="000000"/>
                <w:sz w:val="24"/>
                <w:szCs w:val="24"/>
              </w:rPr>
              <w:t>2019</w:t>
            </w:r>
            <w:r>
              <w:rPr>
                <w:color w:val="000000"/>
                <w:sz w:val="24"/>
                <w:szCs w:val="24"/>
              </w:rPr>
              <w:t>年</w:t>
            </w:r>
            <w:r>
              <w:rPr>
                <w:color w:val="000000"/>
                <w:sz w:val="24"/>
                <w:szCs w:val="24"/>
              </w:rPr>
              <w:t>8</w:t>
            </w:r>
            <w:r>
              <w:rPr>
                <w:color w:val="000000"/>
                <w:sz w:val="24"/>
                <w:szCs w:val="24"/>
              </w:rPr>
              <w:t>月</w:t>
            </w:r>
            <w:r>
              <w:rPr>
                <w:color w:val="000000"/>
                <w:sz w:val="24"/>
                <w:szCs w:val="24"/>
              </w:rPr>
              <w:t>28</w:t>
            </w:r>
            <w:r>
              <w:rPr>
                <w:color w:val="000000"/>
                <w:sz w:val="24"/>
                <w:szCs w:val="24"/>
              </w:rPr>
              <w:t>日担任交银施罗德恒益灵活配置混合型证券投资基金的基金经理。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E7607B" w:rsidRDefault="004860F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E7607B" w:rsidRDefault="004860F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E7607B" w:rsidRDefault="004860F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w:t>
      </w:r>
      <w:bookmarkStart w:id="0" w:name="_GoBack"/>
      <w:bookmarkEnd w:id="0"/>
      <w:r w:rsidRPr="00414345">
        <w:rPr>
          <w:rFonts w:hAnsi="宋体"/>
          <w:b/>
          <w:bCs/>
          <w:color w:val="000000"/>
          <w:sz w:val="24"/>
        </w:rPr>
        <w:t>资策略和运作分析</w:t>
      </w:r>
    </w:p>
    <w:p w:rsidR="00E7607B" w:rsidRDefault="004860F3">
      <w:pPr>
        <w:spacing w:before="29" w:line="288" w:lineRule="auto"/>
        <w:ind w:firstLineChars="200" w:firstLine="480"/>
        <w:rPr>
          <w:color w:val="000000"/>
          <w:sz w:val="24"/>
          <w:szCs w:val="24"/>
        </w:rPr>
      </w:pPr>
      <w:r>
        <w:rPr>
          <w:color w:val="000000"/>
          <w:sz w:val="24"/>
          <w:szCs w:val="24"/>
        </w:rPr>
        <w:t>新冠疫情的后续演化是决定全球经济增长的主要矛盾，中国面对当下宏观经济恢复问题，应意识到传统逆周期调节政策的局限性。当下供需双弱，政策着力点应以企业解困优先，先尽可能救活中小企业，防止出现不可控失业潮，加大对社会保障低的弱势群体紧急救助，稳定居民收入预期和居民资产负债表，实现经济增长动能可持续的渐进恢复。全球战疫不会有单独的赢家，未来更大的挑战是全球范围的有效合作如何展开。持续几年的中美贸易冲突，无疑持续地</w:t>
      </w:r>
      <w:r w:rsidR="008724BB" w:rsidRPr="008724BB">
        <w:rPr>
          <w:rFonts w:hint="eastAsia"/>
          <w:color w:val="000000"/>
          <w:sz w:val="24"/>
          <w:szCs w:val="24"/>
        </w:rPr>
        <w:t>消融</w:t>
      </w:r>
      <w:r>
        <w:rPr>
          <w:color w:val="000000"/>
          <w:sz w:val="24"/>
          <w:szCs w:val="24"/>
        </w:rPr>
        <w:t>中美之间长期合作的共识，但在后续疫情防控</w:t>
      </w:r>
      <w:r>
        <w:rPr>
          <w:color w:val="000000"/>
          <w:sz w:val="24"/>
          <w:szCs w:val="24"/>
        </w:rPr>
        <w:lastRenderedPageBreak/>
        <w:t>上双方合作共赢的利益大于分歧。考虑到发达国家在过去十年已经将</w:t>
      </w:r>
      <w:r>
        <w:rPr>
          <w:color w:val="000000"/>
          <w:sz w:val="24"/>
          <w:szCs w:val="24"/>
        </w:rPr>
        <w:t>货币政策用尽，面对后危机时代的各国经济，财政政策的运用是一个无法回避的选择，各自为政的政策运用并不必然有好的效果。在这样的背景下，尽快凝聚共识，展开全球合作变得更加紧迫。</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一季度</w:t>
      </w:r>
      <w:r w:rsidRPr="00414345">
        <w:rPr>
          <w:color w:val="000000"/>
          <w:sz w:val="24"/>
          <w:szCs w:val="24"/>
        </w:rPr>
        <w:t>A</w:t>
      </w:r>
      <w:r w:rsidRPr="00414345">
        <w:rPr>
          <w:color w:val="000000"/>
          <w:sz w:val="24"/>
          <w:szCs w:val="24"/>
        </w:rPr>
        <w:t>股市场大幅波动。受疫情影响一季度的中国</w:t>
      </w:r>
      <w:r w:rsidRPr="00414345">
        <w:rPr>
          <w:color w:val="000000"/>
          <w:sz w:val="24"/>
          <w:szCs w:val="24"/>
        </w:rPr>
        <w:t>GDP</w:t>
      </w:r>
      <w:r w:rsidRPr="00414345">
        <w:rPr>
          <w:color w:val="000000"/>
          <w:sz w:val="24"/>
          <w:szCs w:val="24"/>
        </w:rPr>
        <w:t>预计负增长，后面宏观经济恢复程度取决于外需恢复节奏和逆周期宏观政策的针对性。在全球经济危机模式下，国内有两类行业容易产生超额收益，一类是纯内需的必须品消费、食品、农业和教育等。另一类是外需的，供应链替代性行业，比如医疗设备，原料药等。后续继续保持相对中性的仓位，继续在有可能产生超额收益的行业板块中寻找质优公司进行投资布局。</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1,932,683,589.74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1,932,683,589.74</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85.97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104,977,100.00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104,977,100.00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4.67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204,752,750.15</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9.11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5,800,176.18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2,248,213,616.07</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182,014,783.92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8.13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1,272,841,407.30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56.83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19,147.31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182,390,746.29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22,011,600.00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70,737,534.14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149,713.78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202,518,657.00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1,932,683,589.74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86.28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lastRenderedPageBreak/>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E7607B">
        <w:trPr>
          <w:jc w:val="center"/>
        </w:trPr>
        <w:tc>
          <w:tcPr>
            <w:tcW w:w="855" w:type="dxa"/>
            <w:vAlign w:val="center"/>
          </w:tcPr>
          <w:p w:rsidR="00E7607B" w:rsidRDefault="004860F3">
            <w:pPr>
              <w:jc w:val="center"/>
            </w:pPr>
            <w:r>
              <w:rPr>
                <w:color w:val="000000"/>
                <w:sz w:val="24"/>
                <w:szCs w:val="24"/>
              </w:rPr>
              <w:t>1</w:t>
            </w:r>
          </w:p>
        </w:tc>
        <w:tc>
          <w:tcPr>
            <w:tcW w:w="1334" w:type="dxa"/>
            <w:vAlign w:val="center"/>
          </w:tcPr>
          <w:p w:rsidR="00E7607B" w:rsidRDefault="004860F3">
            <w:pPr>
              <w:jc w:val="center"/>
            </w:pPr>
            <w:r>
              <w:rPr>
                <w:color w:val="000000"/>
                <w:sz w:val="24"/>
                <w:szCs w:val="24"/>
              </w:rPr>
              <w:t>002216</w:t>
            </w:r>
          </w:p>
        </w:tc>
        <w:tc>
          <w:tcPr>
            <w:tcW w:w="1777" w:type="dxa"/>
            <w:vAlign w:val="center"/>
          </w:tcPr>
          <w:p w:rsidR="00E7607B" w:rsidRDefault="004860F3">
            <w:pPr>
              <w:jc w:val="center"/>
            </w:pPr>
            <w:r>
              <w:rPr>
                <w:color w:val="000000"/>
                <w:sz w:val="24"/>
                <w:szCs w:val="24"/>
              </w:rPr>
              <w:t>三全食品</w:t>
            </w:r>
          </w:p>
        </w:tc>
        <w:tc>
          <w:tcPr>
            <w:tcW w:w="1334" w:type="dxa"/>
            <w:vAlign w:val="center"/>
          </w:tcPr>
          <w:p w:rsidR="00E7607B" w:rsidRDefault="004860F3">
            <w:pPr>
              <w:jc w:val="right"/>
            </w:pPr>
            <w:r>
              <w:rPr>
                <w:color w:val="000000"/>
                <w:sz w:val="24"/>
                <w:szCs w:val="24"/>
              </w:rPr>
              <w:t>11,230,526</w:t>
            </w:r>
          </w:p>
        </w:tc>
        <w:tc>
          <w:tcPr>
            <w:tcW w:w="1924" w:type="dxa"/>
            <w:vAlign w:val="center"/>
          </w:tcPr>
          <w:p w:rsidR="00E7607B" w:rsidRDefault="004860F3">
            <w:pPr>
              <w:jc w:val="right"/>
            </w:pPr>
            <w:r>
              <w:rPr>
                <w:color w:val="000000"/>
                <w:sz w:val="24"/>
                <w:szCs w:val="24"/>
              </w:rPr>
              <w:t>226,744,319.94</w:t>
            </w:r>
          </w:p>
        </w:tc>
        <w:tc>
          <w:tcPr>
            <w:tcW w:w="1644" w:type="dxa"/>
            <w:vAlign w:val="center"/>
          </w:tcPr>
          <w:p w:rsidR="00E7607B" w:rsidRDefault="004860F3">
            <w:pPr>
              <w:jc w:val="right"/>
            </w:pPr>
            <w:r>
              <w:rPr>
                <w:color w:val="000000"/>
                <w:sz w:val="24"/>
                <w:szCs w:val="24"/>
              </w:rPr>
              <w:t>10.12</w:t>
            </w:r>
          </w:p>
        </w:tc>
      </w:tr>
      <w:tr w:rsidR="00E7607B">
        <w:trPr>
          <w:jc w:val="center"/>
        </w:trPr>
        <w:tc>
          <w:tcPr>
            <w:tcW w:w="855" w:type="dxa"/>
            <w:vAlign w:val="center"/>
          </w:tcPr>
          <w:p w:rsidR="00E7607B" w:rsidRDefault="004860F3">
            <w:pPr>
              <w:jc w:val="center"/>
            </w:pPr>
            <w:r>
              <w:rPr>
                <w:color w:val="000000"/>
                <w:sz w:val="24"/>
                <w:szCs w:val="24"/>
              </w:rPr>
              <w:t>2</w:t>
            </w:r>
          </w:p>
        </w:tc>
        <w:tc>
          <w:tcPr>
            <w:tcW w:w="1334" w:type="dxa"/>
            <w:vAlign w:val="center"/>
          </w:tcPr>
          <w:p w:rsidR="00E7607B" w:rsidRDefault="004860F3">
            <w:pPr>
              <w:jc w:val="center"/>
            </w:pPr>
            <w:r>
              <w:rPr>
                <w:color w:val="000000"/>
                <w:sz w:val="24"/>
                <w:szCs w:val="24"/>
              </w:rPr>
              <w:t>603517</w:t>
            </w:r>
          </w:p>
        </w:tc>
        <w:tc>
          <w:tcPr>
            <w:tcW w:w="1777" w:type="dxa"/>
            <w:vAlign w:val="center"/>
          </w:tcPr>
          <w:p w:rsidR="00E7607B" w:rsidRDefault="004860F3">
            <w:pPr>
              <w:jc w:val="center"/>
            </w:pPr>
            <w:r>
              <w:rPr>
                <w:color w:val="000000"/>
                <w:sz w:val="24"/>
                <w:szCs w:val="24"/>
              </w:rPr>
              <w:t>绝味食品</w:t>
            </w:r>
          </w:p>
        </w:tc>
        <w:tc>
          <w:tcPr>
            <w:tcW w:w="1334" w:type="dxa"/>
            <w:vAlign w:val="center"/>
          </w:tcPr>
          <w:p w:rsidR="00E7607B" w:rsidRDefault="004860F3">
            <w:pPr>
              <w:jc w:val="right"/>
            </w:pPr>
            <w:r>
              <w:rPr>
                <w:color w:val="000000"/>
                <w:sz w:val="24"/>
                <w:szCs w:val="24"/>
              </w:rPr>
              <w:t>4,304,348</w:t>
            </w:r>
          </w:p>
        </w:tc>
        <w:tc>
          <w:tcPr>
            <w:tcW w:w="1924" w:type="dxa"/>
            <w:vAlign w:val="center"/>
          </w:tcPr>
          <w:p w:rsidR="00E7607B" w:rsidRDefault="004860F3">
            <w:pPr>
              <w:jc w:val="right"/>
            </w:pPr>
            <w:r>
              <w:rPr>
                <w:color w:val="000000"/>
                <w:sz w:val="24"/>
                <w:szCs w:val="24"/>
              </w:rPr>
              <w:t>222,750,009.00</w:t>
            </w:r>
          </w:p>
        </w:tc>
        <w:tc>
          <w:tcPr>
            <w:tcW w:w="1644" w:type="dxa"/>
            <w:vAlign w:val="center"/>
          </w:tcPr>
          <w:p w:rsidR="00E7607B" w:rsidRDefault="004860F3">
            <w:pPr>
              <w:jc w:val="right"/>
            </w:pPr>
            <w:r>
              <w:rPr>
                <w:color w:val="000000"/>
                <w:sz w:val="24"/>
                <w:szCs w:val="24"/>
              </w:rPr>
              <w:t>9.94</w:t>
            </w:r>
          </w:p>
        </w:tc>
      </w:tr>
      <w:tr w:rsidR="00E7607B">
        <w:trPr>
          <w:jc w:val="center"/>
        </w:trPr>
        <w:tc>
          <w:tcPr>
            <w:tcW w:w="855" w:type="dxa"/>
            <w:vAlign w:val="center"/>
          </w:tcPr>
          <w:p w:rsidR="00E7607B" w:rsidRDefault="004860F3">
            <w:pPr>
              <w:jc w:val="center"/>
            </w:pPr>
            <w:r>
              <w:rPr>
                <w:color w:val="000000"/>
                <w:sz w:val="24"/>
                <w:szCs w:val="24"/>
              </w:rPr>
              <w:t>3</w:t>
            </w:r>
          </w:p>
        </w:tc>
        <w:tc>
          <w:tcPr>
            <w:tcW w:w="1334" w:type="dxa"/>
            <w:vAlign w:val="center"/>
          </w:tcPr>
          <w:p w:rsidR="00E7607B" w:rsidRDefault="004860F3">
            <w:pPr>
              <w:jc w:val="center"/>
            </w:pPr>
            <w:r>
              <w:rPr>
                <w:color w:val="000000"/>
                <w:sz w:val="24"/>
                <w:szCs w:val="24"/>
              </w:rPr>
              <w:t>002607</w:t>
            </w:r>
          </w:p>
        </w:tc>
        <w:tc>
          <w:tcPr>
            <w:tcW w:w="1777" w:type="dxa"/>
            <w:vAlign w:val="center"/>
          </w:tcPr>
          <w:p w:rsidR="00E7607B" w:rsidRDefault="004860F3">
            <w:pPr>
              <w:jc w:val="center"/>
            </w:pPr>
            <w:r>
              <w:rPr>
                <w:color w:val="000000"/>
                <w:sz w:val="24"/>
                <w:szCs w:val="24"/>
              </w:rPr>
              <w:t>中公教育</w:t>
            </w:r>
          </w:p>
        </w:tc>
        <w:tc>
          <w:tcPr>
            <w:tcW w:w="1334" w:type="dxa"/>
            <w:vAlign w:val="center"/>
          </w:tcPr>
          <w:p w:rsidR="00E7607B" w:rsidRDefault="004860F3">
            <w:pPr>
              <w:jc w:val="right"/>
            </w:pPr>
            <w:r>
              <w:rPr>
                <w:color w:val="000000"/>
                <w:sz w:val="24"/>
                <w:szCs w:val="24"/>
              </w:rPr>
              <w:t>8,894,100</w:t>
            </w:r>
          </w:p>
        </w:tc>
        <w:tc>
          <w:tcPr>
            <w:tcW w:w="1924" w:type="dxa"/>
            <w:vAlign w:val="center"/>
          </w:tcPr>
          <w:p w:rsidR="00E7607B" w:rsidRDefault="004860F3">
            <w:pPr>
              <w:jc w:val="right"/>
            </w:pPr>
            <w:r>
              <w:rPr>
                <w:color w:val="000000"/>
                <w:sz w:val="24"/>
                <w:szCs w:val="24"/>
              </w:rPr>
              <w:t>202,518,657.00</w:t>
            </w:r>
          </w:p>
        </w:tc>
        <w:tc>
          <w:tcPr>
            <w:tcW w:w="1644" w:type="dxa"/>
            <w:vAlign w:val="center"/>
          </w:tcPr>
          <w:p w:rsidR="00E7607B" w:rsidRDefault="004860F3">
            <w:pPr>
              <w:jc w:val="right"/>
            </w:pPr>
            <w:r>
              <w:rPr>
                <w:color w:val="000000"/>
                <w:sz w:val="24"/>
                <w:szCs w:val="24"/>
              </w:rPr>
              <w:t>9.04</w:t>
            </w:r>
          </w:p>
        </w:tc>
      </w:tr>
      <w:tr w:rsidR="00E7607B">
        <w:trPr>
          <w:jc w:val="center"/>
        </w:trPr>
        <w:tc>
          <w:tcPr>
            <w:tcW w:w="855" w:type="dxa"/>
            <w:vAlign w:val="center"/>
          </w:tcPr>
          <w:p w:rsidR="00E7607B" w:rsidRDefault="004860F3">
            <w:pPr>
              <w:jc w:val="center"/>
            </w:pPr>
            <w:r>
              <w:rPr>
                <w:color w:val="000000"/>
                <w:sz w:val="24"/>
                <w:szCs w:val="24"/>
              </w:rPr>
              <w:t>4</w:t>
            </w:r>
          </w:p>
        </w:tc>
        <w:tc>
          <w:tcPr>
            <w:tcW w:w="1334" w:type="dxa"/>
            <w:vAlign w:val="center"/>
          </w:tcPr>
          <w:p w:rsidR="00E7607B" w:rsidRDefault="004860F3">
            <w:pPr>
              <w:jc w:val="center"/>
            </w:pPr>
            <w:r>
              <w:rPr>
                <w:color w:val="000000"/>
                <w:sz w:val="24"/>
                <w:szCs w:val="24"/>
              </w:rPr>
              <w:t>603707</w:t>
            </w:r>
          </w:p>
        </w:tc>
        <w:tc>
          <w:tcPr>
            <w:tcW w:w="1777" w:type="dxa"/>
            <w:vAlign w:val="center"/>
          </w:tcPr>
          <w:p w:rsidR="00E7607B" w:rsidRDefault="004860F3">
            <w:pPr>
              <w:jc w:val="center"/>
            </w:pPr>
            <w:r>
              <w:rPr>
                <w:color w:val="000000"/>
                <w:sz w:val="24"/>
                <w:szCs w:val="24"/>
              </w:rPr>
              <w:t>健友股份</w:t>
            </w:r>
          </w:p>
        </w:tc>
        <w:tc>
          <w:tcPr>
            <w:tcW w:w="1334" w:type="dxa"/>
            <w:vAlign w:val="center"/>
          </w:tcPr>
          <w:p w:rsidR="00E7607B" w:rsidRDefault="004860F3">
            <w:pPr>
              <w:jc w:val="right"/>
            </w:pPr>
            <w:r>
              <w:rPr>
                <w:color w:val="000000"/>
                <w:sz w:val="24"/>
                <w:szCs w:val="24"/>
              </w:rPr>
              <w:t>3,862,551</w:t>
            </w:r>
          </w:p>
        </w:tc>
        <w:tc>
          <w:tcPr>
            <w:tcW w:w="1924" w:type="dxa"/>
            <w:vAlign w:val="center"/>
          </w:tcPr>
          <w:p w:rsidR="00E7607B" w:rsidRDefault="004860F3">
            <w:pPr>
              <w:jc w:val="right"/>
            </w:pPr>
            <w:r>
              <w:rPr>
                <w:color w:val="000000"/>
                <w:sz w:val="24"/>
                <w:szCs w:val="24"/>
              </w:rPr>
              <w:t>194,981,574.48</w:t>
            </w:r>
          </w:p>
        </w:tc>
        <w:tc>
          <w:tcPr>
            <w:tcW w:w="1644" w:type="dxa"/>
            <w:vAlign w:val="center"/>
          </w:tcPr>
          <w:p w:rsidR="00E7607B" w:rsidRDefault="004860F3">
            <w:pPr>
              <w:jc w:val="right"/>
            </w:pPr>
            <w:r>
              <w:rPr>
                <w:color w:val="000000"/>
                <w:sz w:val="24"/>
                <w:szCs w:val="24"/>
              </w:rPr>
              <w:t>8.70</w:t>
            </w:r>
          </w:p>
        </w:tc>
      </w:tr>
      <w:tr w:rsidR="00E7607B">
        <w:trPr>
          <w:jc w:val="center"/>
        </w:trPr>
        <w:tc>
          <w:tcPr>
            <w:tcW w:w="855" w:type="dxa"/>
            <w:vAlign w:val="center"/>
          </w:tcPr>
          <w:p w:rsidR="00E7607B" w:rsidRDefault="004860F3">
            <w:pPr>
              <w:jc w:val="center"/>
            </w:pPr>
            <w:r>
              <w:rPr>
                <w:color w:val="000000"/>
                <w:sz w:val="24"/>
                <w:szCs w:val="24"/>
              </w:rPr>
              <w:t>5</w:t>
            </w:r>
          </w:p>
        </w:tc>
        <w:tc>
          <w:tcPr>
            <w:tcW w:w="1334" w:type="dxa"/>
            <w:vAlign w:val="center"/>
          </w:tcPr>
          <w:p w:rsidR="00E7607B" w:rsidRDefault="004860F3">
            <w:pPr>
              <w:jc w:val="center"/>
            </w:pPr>
            <w:r>
              <w:rPr>
                <w:color w:val="000000"/>
                <w:sz w:val="24"/>
                <w:szCs w:val="24"/>
              </w:rPr>
              <w:t>000998</w:t>
            </w:r>
          </w:p>
        </w:tc>
        <w:tc>
          <w:tcPr>
            <w:tcW w:w="1777" w:type="dxa"/>
            <w:vAlign w:val="center"/>
          </w:tcPr>
          <w:p w:rsidR="00E7607B" w:rsidRDefault="004860F3">
            <w:pPr>
              <w:jc w:val="center"/>
            </w:pPr>
            <w:r>
              <w:rPr>
                <w:color w:val="000000"/>
                <w:sz w:val="24"/>
                <w:szCs w:val="24"/>
              </w:rPr>
              <w:t>隆平高科</w:t>
            </w:r>
          </w:p>
        </w:tc>
        <w:tc>
          <w:tcPr>
            <w:tcW w:w="1334" w:type="dxa"/>
            <w:vAlign w:val="center"/>
          </w:tcPr>
          <w:p w:rsidR="00E7607B" w:rsidRDefault="004860F3">
            <w:pPr>
              <w:jc w:val="right"/>
            </w:pPr>
            <w:r>
              <w:rPr>
                <w:color w:val="000000"/>
                <w:sz w:val="24"/>
                <w:szCs w:val="24"/>
              </w:rPr>
              <w:t>10,044,966</w:t>
            </w:r>
          </w:p>
        </w:tc>
        <w:tc>
          <w:tcPr>
            <w:tcW w:w="1924" w:type="dxa"/>
            <w:vAlign w:val="center"/>
          </w:tcPr>
          <w:p w:rsidR="00E7607B" w:rsidRDefault="004860F3">
            <w:pPr>
              <w:jc w:val="right"/>
            </w:pPr>
            <w:r>
              <w:rPr>
                <w:color w:val="000000"/>
                <w:sz w:val="24"/>
                <w:szCs w:val="24"/>
              </w:rPr>
              <w:t>182,014,783.92</w:t>
            </w:r>
          </w:p>
        </w:tc>
        <w:tc>
          <w:tcPr>
            <w:tcW w:w="1644" w:type="dxa"/>
            <w:vAlign w:val="center"/>
          </w:tcPr>
          <w:p w:rsidR="00E7607B" w:rsidRDefault="004860F3">
            <w:pPr>
              <w:jc w:val="right"/>
            </w:pPr>
            <w:r>
              <w:rPr>
                <w:color w:val="000000"/>
                <w:sz w:val="24"/>
                <w:szCs w:val="24"/>
              </w:rPr>
              <w:t>8.13</w:t>
            </w:r>
          </w:p>
        </w:tc>
      </w:tr>
      <w:tr w:rsidR="00E7607B">
        <w:trPr>
          <w:jc w:val="center"/>
        </w:trPr>
        <w:tc>
          <w:tcPr>
            <w:tcW w:w="855" w:type="dxa"/>
            <w:vAlign w:val="center"/>
          </w:tcPr>
          <w:p w:rsidR="00E7607B" w:rsidRDefault="004860F3">
            <w:pPr>
              <w:jc w:val="center"/>
            </w:pPr>
            <w:r>
              <w:rPr>
                <w:color w:val="000000"/>
                <w:sz w:val="24"/>
                <w:szCs w:val="24"/>
              </w:rPr>
              <w:t>6</w:t>
            </w:r>
          </w:p>
        </w:tc>
        <w:tc>
          <w:tcPr>
            <w:tcW w:w="1334" w:type="dxa"/>
            <w:vAlign w:val="center"/>
          </w:tcPr>
          <w:p w:rsidR="00E7607B" w:rsidRDefault="004860F3">
            <w:pPr>
              <w:jc w:val="center"/>
            </w:pPr>
            <w:r>
              <w:rPr>
                <w:color w:val="000000"/>
                <w:sz w:val="24"/>
                <w:szCs w:val="24"/>
              </w:rPr>
              <w:t>002311</w:t>
            </w:r>
          </w:p>
        </w:tc>
        <w:tc>
          <w:tcPr>
            <w:tcW w:w="1777" w:type="dxa"/>
            <w:vAlign w:val="center"/>
          </w:tcPr>
          <w:p w:rsidR="00E7607B" w:rsidRDefault="004860F3">
            <w:pPr>
              <w:jc w:val="center"/>
            </w:pPr>
            <w:r>
              <w:rPr>
                <w:color w:val="000000"/>
                <w:sz w:val="24"/>
                <w:szCs w:val="24"/>
              </w:rPr>
              <w:t>海大集团</w:t>
            </w:r>
          </w:p>
        </w:tc>
        <w:tc>
          <w:tcPr>
            <w:tcW w:w="1334" w:type="dxa"/>
            <w:vAlign w:val="center"/>
          </w:tcPr>
          <w:p w:rsidR="00E7607B" w:rsidRDefault="004860F3">
            <w:pPr>
              <w:jc w:val="right"/>
            </w:pPr>
            <w:r>
              <w:rPr>
                <w:color w:val="000000"/>
                <w:sz w:val="24"/>
                <w:szCs w:val="24"/>
              </w:rPr>
              <w:t>2,639,806</w:t>
            </w:r>
          </w:p>
        </w:tc>
        <w:tc>
          <w:tcPr>
            <w:tcW w:w="1924" w:type="dxa"/>
            <w:vAlign w:val="center"/>
          </w:tcPr>
          <w:p w:rsidR="00E7607B" w:rsidRDefault="004860F3">
            <w:pPr>
              <w:jc w:val="right"/>
            </w:pPr>
            <w:r>
              <w:rPr>
                <w:color w:val="000000"/>
                <w:sz w:val="24"/>
                <w:szCs w:val="24"/>
              </w:rPr>
              <w:t>106,120,201.20</w:t>
            </w:r>
          </w:p>
        </w:tc>
        <w:tc>
          <w:tcPr>
            <w:tcW w:w="1644" w:type="dxa"/>
            <w:vAlign w:val="center"/>
          </w:tcPr>
          <w:p w:rsidR="00E7607B" w:rsidRDefault="004860F3">
            <w:pPr>
              <w:jc w:val="right"/>
            </w:pPr>
            <w:r>
              <w:rPr>
                <w:color w:val="000000"/>
                <w:sz w:val="24"/>
                <w:szCs w:val="24"/>
              </w:rPr>
              <w:t>4.74</w:t>
            </w:r>
          </w:p>
        </w:tc>
      </w:tr>
      <w:tr w:rsidR="00E7607B">
        <w:trPr>
          <w:jc w:val="center"/>
        </w:trPr>
        <w:tc>
          <w:tcPr>
            <w:tcW w:w="855" w:type="dxa"/>
            <w:vAlign w:val="center"/>
          </w:tcPr>
          <w:p w:rsidR="00E7607B" w:rsidRDefault="004860F3">
            <w:pPr>
              <w:jc w:val="center"/>
            </w:pPr>
            <w:r>
              <w:rPr>
                <w:color w:val="000000"/>
                <w:sz w:val="24"/>
                <w:szCs w:val="24"/>
              </w:rPr>
              <w:t>7</w:t>
            </w:r>
          </w:p>
        </w:tc>
        <w:tc>
          <w:tcPr>
            <w:tcW w:w="1334" w:type="dxa"/>
            <w:vAlign w:val="center"/>
          </w:tcPr>
          <w:p w:rsidR="00E7607B" w:rsidRDefault="004860F3">
            <w:pPr>
              <w:jc w:val="center"/>
            </w:pPr>
            <w:r>
              <w:rPr>
                <w:color w:val="000000"/>
                <w:sz w:val="24"/>
                <w:szCs w:val="24"/>
              </w:rPr>
              <w:t>002230</w:t>
            </w:r>
          </w:p>
        </w:tc>
        <w:tc>
          <w:tcPr>
            <w:tcW w:w="1777" w:type="dxa"/>
            <w:vAlign w:val="center"/>
          </w:tcPr>
          <w:p w:rsidR="00E7607B" w:rsidRDefault="004860F3">
            <w:pPr>
              <w:jc w:val="center"/>
            </w:pPr>
            <w:r>
              <w:rPr>
                <w:color w:val="000000"/>
                <w:sz w:val="24"/>
                <w:szCs w:val="24"/>
              </w:rPr>
              <w:t>科大讯飞</w:t>
            </w:r>
          </w:p>
        </w:tc>
        <w:tc>
          <w:tcPr>
            <w:tcW w:w="1334" w:type="dxa"/>
            <w:vAlign w:val="center"/>
          </w:tcPr>
          <w:p w:rsidR="00E7607B" w:rsidRDefault="004860F3">
            <w:pPr>
              <w:jc w:val="right"/>
            </w:pPr>
            <w:r>
              <w:rPr>
                <w:color w:val="000000"/>
                <w:sz w:val="24"/>
                <w:szCs w:val="24"/>
              </w:rPr>
              <w:t>3,070,332</w:t>
            </w:r>
          </w:p>
        </w:tc>
        <w:tc>
          <w:tcPr>
            <w:tcW w:w="1924" w:type="dxa"/>
            <w:vAlign w:val="center"/>
          </w:tcPr>
          <w:p w:rsidR="00E7607B" w:rsidRDefault="004860F3">
            <w:pPr>
              <w:jc w:val="right"/>
            </w:pPr>
            <w:r>
              <w:rPr>
                <w:color w:val="000000"/>
                <w:sz w:val="24"/>
                <w:szCs w:val="24"/>
              </w:rPr>
              <w:t>105,573,950.72</w:t>
            </w:r>
          </w:p>
        </w:tc>
        <w:tc>
          <w:tcPr>
            <w:tcW w:w="1644" w:type="dxa"/>
            <w:vAlign w:val="center"/>
          </w:tcPr>
          <w:p w:rsidR="00E7607B" w:rsidRDefault="004860F3">
            <w:pPr>
              <w:jc w:val="right"/>
            </w:pPr>
            <w:r>
              <w:rPr>
                <w:color w:val="000000"/>
                <w:sz w:val="24"/>
                <w:szCs w:val="24"/>
              </w:rPr>
              <w:t>4.71</w:t>
            </w:r>
          </w:p>
        </w:tc>
      </w:tr>
      <w:tr w:rsidR="00E7607B">
        <w:trPr>
          <w:jc w:val="center"/>
        </w:trPr>
        <w:tc>
          <w:tcPr>
            <w:tcW w:w="855" w:type="dxa"/>
            <w:vAlign w:val="center"/>
          </w:tcPr>
          <w:p w:rsidR="00E7607B" w:rsidRDefault="004860F3">
            <w:pPr>
              <w:jc w:val="center"/>
            </w:pPr>
            <w:r>
              <w:rPr>
                <w:color w:val="000000"/>
                <w:sz w:val="24"/>
                <w:szCs w:val="24"/>
              </w:rPr>
              <w:t>8</w:t>
            </w:r>
          </w:p>
        </w:tc>
        <w:tc>
          <w:tcPr>
            <w:tcW w:w="1334" w:type="dxa"/>
            <w:vAlign w:val="center"/>
          </w:tcPr>
          <w:p w:rsidR="00E7607B" w:rsidRDefault="004860F3">
            <w:pPr>
              <w:jc w:val="center"/>
            </w:pPr>
            <w:r>
              <w:rPr>
                <w:color w:val="000000"/>
                <w:sz w:val="24"/>
                <w:szCs w:val="24"/>
              </w:rPr>
              <w:t>600529</w:t>
            </w:r>
          </w:p>
        </w:tc>
        <w:tc>
          <w:tcPr>
            <w:tcW w:w="1777" w:type="dxa"/>
            <w:vAlign w:val="center"/>
          </w:tcPr>
          <w:p w:rsidR="00E7607B" w:rsidRDefault="004860F3">
            <w:pPr>
              <w:jc w:val="center"/>
            </w:pPr>
            <w:r>
              <w:rPr>
                <w:color w:val="000000"/>
                <w:sz w:val="24"/>
                <w:szCs w:val="24"/>
              </w:rPr>
              <w:t>山东药玻</w:t>
            </w:r>
          </w:p>
        </w:tc>
        <w:tc>
          <w:tcPr>
            <w:tcW w:w="1334" w:type="dxa"/>
            <w:vAlign w:val="center"/>
          </w:tcPr>
          <w:p w:rsidR="00E7607B" w:rsidRDefault="004860F3">
            <w:pPr>
              <w:jc w:val="right"/>
            </w:pPr>
            <w:r>
              <w:rPr>
                <w:color w:val="000000"/>
                <w:sz w:val="24"/>
                <w:szCs w:val="24"/>
              </w:rPr>
              <w:t>2,616,566</w:t>
            </w:r>
          </w:p>
        </w:tc>
        <w:tc>
          <w:tcPr>
            <w:tcW w:w="1924" w:type="dxa"/>
            <w:vAlign w:val="center"/>
          </w:tcPr>
          <w:p w:rsidR="00E7607B" w:rsidRDefault="004860F3">
            <w:pPr>
              <w:jc w:val="right"/>
            </w:pPr>
            <w:r>
              <w:rPr>
                <w:color w:val="000000"/>
                <w:sz w:val="24"/>
                <w:szCs w:val="24"/>
              </w:rPr>
              <w:t>87,864,286.28</w:t>
            </w:r>
          </w:p>
        </w:tc>
        <w:tc>
          <w:tcPr>
            <w:tcW w:w="1644" w:type="dxa"/>
            <w:vAlign w:val="center"/>
          </w:tcPr>
          <w:p w:rsidR="00E7607B" w:rsidRDefault="004860F3">
            <w:pPr>
              <w:jc w:val="right"/>
            </w:pPr>
            <w:r>
              <w:rPr>
                <w:color w:val="000000"/>
                <w:sz w:val="24"/>
                <w:szCs w:val="24"/>
              </w:rPr>
              <w:t>3.92</w:t>
            </w:r>
          </w:p>
        </w:tc>
      </w:tr>
      <w:tr w:rsidR="00E7607B">
        <w:trPr>
          <w:jc w:val="center"/>
        </w:trPr>
        <w:tc>
          <w:tcPr>
            <w:tcW w:w="855" w:type="dxa"/>
            <w:vAlign w:val="center"/>
          </w:tcPr>
          <w:p w:rsidR="00E7607B" w:rsidRDefault="004860F3">
            <w:pPr>
              <w:jc w:val="center"/>
            </w:pPr>
            <w:r>
              <w:rPr>
                <w:color w:val="000000"/>
                <w:sz w:val="24"/>
                <w:szCs w:val="24"/>
              </w:rPr>
              <w:t>9</w:t>
            </w:r>
          </w:p>
        </w:tc>
        <w:tc>
          <w:tcPr>
            <w:tcW w:w="1334" w:type="dxa"/>
            <w:vAlign w:val="center"/>
          </w:tcPr>
          <w:p w:rsidR="00E7607B" w:rsidRDefault="004860F3">
            <w:pPr>
              <w:jc w:val="center"/>
            </w:pPr>
            <w:r>
              <w:rPr>
                <w:color w:val="000000"/>
                <w:sz w:val="24"/>
                <w:szCs w:val="24"/>
              </w:rPr>
              <w:t>002027</w:t>
            </w:r>
          </w:p>
        </w:tc>
        <w:tc>
          <w:tcPr>
            <w:tcW w:w="1777" w:type="dxa"/>
            <w:vAlign w:val="center"/>
          </w:tcPr>
          <w:p w:rsidR="00E7607B" w:rsidRDefault="004860F3">
            <w:pPr>
              <w:jc w:val="center"/>
            </w:pPr>
            <w:r>
              <w:rPr>
                <w:color w:val="000000"/>
                <w:sz w:val="24"/>
                <w:szCs w:val="24"/>
              </w:rPr>
              <w:t>分众传媒</w:t>
            </w:r>
          </w:p>
        </w:tc>
        <w:tc>
          <w:tcPr>
            <w:tcW w:w="1334" w:type="dxa"/>
            <w:vAlign w:val="center"/>
          </w:tcPr>
          <w:p w:rsidR="00E7607B" w:rsidRDefault="004860F3">
            <w:pPr>
              <w:jc w:val="right"/>
            </w:pPr>
            <w:r>
              <w:rPr>
                <w:color w:val="000000"/>
                <w:sz w:val="24"/>
                <w:szCs w:val="24"/>
              </w:rPr>
              <w:t>16,003,967</w:t>
            </w:r>
          </w:p>
        </w:tc>
        <w:tc>
          <w:tcPr>
            <w:tcW w:w="1924" w:type="dxa"/>
            <w:vAlign w:val="center"/>
          </w:tcPr>
          <w:p w:rsidR="00E7607B" w:rsidRDefault="004860F3">
            <w:pPr>
              <w:jc w:val="right"/>
            </w:pPr>
            <w:r>
              <w:rPr>
                <w:color w:val="000000"/>
                <w:sz w:val="24"/>
                <w:szCs w:val="24"/>
              </w:rPr>
              <w:t>70,737,534.14</w:t>
            </w:r>
          </w:p>
        </w:tc>
        <w:tc>
          <w:tcPr>
            <w:tcW w:w="1644" w:type="dxa"/>
            <w:vAlign w:val="center"/>
          </w:tcPr>
          <w:p w:rsidR="00E7607B" w:rsidRDefault="004860F3">
            <w:pPr>
              <w:jc w:val="right"/>
            </w:pPr>
            <w:r>
              <w:rPr>
                <w:color w:val="000000"/>
                <w:sz w:val="24"/>
                <w:szCs w:val="24"/>
              </w:rPr>
              <w:t>3.16</w:t>
            </w:r>
          </w:p>
        </w:tc>
      </w:tr>
      <w:tr w:rsidR="00E7607B">
        <w:trPr>
          <w:jc w:val="center"/>
        </w:trPr>
        <w:tc>
          <w:tcPr>
            <w:tcW w:w="855" w:type="dxa"/>
            <w:vAlign w:val="center"/>
          </w:tcPr>
          <w:p w:rsidR="00E7607B" w:rsidRDefault="004860F3">
            <w:pPr>
              <w:jc w:val="center"/>
            </w:pPr>
            <w:r>
              <w:rPr>
                <w:color w:val="000000"/>
                <w:sz w:val="24"/>
                <w:szCs w:val="24"/>
              </w:rPr>
              <w:t>10</w:t>
            </w:r>
          </w:p>
        </w:tc>
        <w:tc>
          <w:tcPr>
            <w:tcW w:w="1334" w:type="dxa"/>
            <w:vAlign w:val="center"/>
          </w:tcPr>
          <w:p w:rsidR="00E7607B" w:rsidRDefault="004860F3">
            <w:pPr>
              <w:jc w:val="center"/>
            </w:pPr>
            <w:r>
              <w:rPr>
                <w:color w:val="000000"/>
                <w:sz w:val="24"/>
                <w:szCs w:val="24"/>
              </w:rPr>
              <w:t>300146</w:t>
            </w:r>
          </w:p>
        </w:tc>
        <w:tc>
          <w:tcPr>
            <w:tcW w:w="1777" w:type="dxa"/>
            <w:vAlign w:val="center"/>
          </w:tcPr>
          <w:p w:rsidR="00E7607B" w:rsidRDefault="004860F3">
            <w:pPr>
              <w:jc w:val="center"/>
            </w:pPr>
            <w:r>
              <w:rPr>
                <w:color w:val="000000"/>
                <w:sz w:val="24"/>
                <w:szCs w:val="24"/>
              </w:rPr>
              <w:t>汤臣倍健</w:t>
            </w:r>
          </w:p>
        </w:tc>
        <w:tc>
          <w:tcPr>
            <w:tcW w:w="1334" w:type="dxa"/>
            <w:vAlign w:val="center"/>
          </w:tcPr>
          <w:p w:rsidR="00E7607B" w:rsidRDefault="004860F3">
            <w:pPr>
              <w:jc w:val="right"/>
            </w:pPr>
            <w:r>
              <w:rPr>
                <w:color w:val="000000"/>
                <w:sz w:val="24"/>
                <w:szCs w:val="24"/>
              </w:rPr>
              <w:t>4,123,784</w:t>
            </w:r>
          </w:p>
        </w:tc>
        <w:tc>
          <w:tcPr>
            <w:tcW w:w="1924" w:type="dxa"/>
            <w:vAlign w:val="center"/>
          </w:tcPr>
          <w:p w:rsidR="00E7607B" w:rsidRDefault="004860F3">
            <w:pPr>
              <w:jc w:val="right"/>
            </w:pPr>
            <w:r>
              <w:rPr>
                <w:color w:val="000000"/>
                <w:sz w:val="24"/>
                <w:szCs w:val="24"/>
              </w:rPr>
              <w:t>69,238,333.36</w:t>
            </w:r>
          </w:p>
        </w:tc>
        <w:tc>
          <w:tcPr>
            <w:tcW w:w="1644" w:type="dxa"/>
            <w:vAlign w:val="center"/>
          </w:tcPr>
          <w:p w:rsidR="00E7607B" w:rsidRDefault="004860F3">
            <w:pPr>
              <w:jc w:val="right"/>
            </w:pPr>
            <w:r>
              <w:rPr>
                <w:color w:val="000000"/>
                <w:sz w:val="24"/>
                <w:szCs w:val="24"/>
              </w:rPr>
              <w:t>3.09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100,250,000.00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4.48</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4,727,100.00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0.21</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104,977,100.00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4.69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E7607B">
        <w:trPr>
          <w:jc w:val="center"/>
        </w:trPr>
        <w:tc>
          <w:tcPr>
            <w:tcW w:w="850" w:type="dxa"/>
            <w:vAlign w:val="center"/>
          </w:tcPr>
          <w:p w:rsidR="00E7607B" w:rsidRDefault="004860F3">
            <w:pPr>
              <w:jc w:val="center"/>
            </w:pPr>
            <w:r>
              <w:rPr>
                <w:color w:val="000000"/>
                <w:sz w:val="24"/>
                <w:szCs w:val="24"/>
              </w:rPr>
              <w:t>1</w:t>
            </w:r>
          </w:p>
        </w:tc>
        <w:tc>
          <w:tcPr>
            <w:tcW w:w="1475" w:type="dxa"/>
            <w:vAlign w:val="center"/>
          </w:tcPr>
          <w:p w:rsidR="00E7607B" w:rsidRDefault="004860F3">
            <w:pPr>
              <w:jc w:val="center"/>
            </w:pPr>
            <w:r>
              <w:rPr>
                <w:color w:val="000000"/>
                <w:sz w:val="24"/>
                <w:szCs w:val="24"/>
              </w:rPr>
              <w:t>190405</w:t>
            </w:r>
          </w:p>
        </w:tc>
        <w:tc>
          <w:tcPr>
            <w:tcW w:w="1769" w:type="dxa"/>
            <w:vAlign w:val="center"/>
          </w:tcPr>
          <w:p w:rsidR="00E7607B" w:rsidRDefault="004860F3">
            <w:pPr>
              <w:jc w:val="center"/>
            </w:pPr>
            <w:r>
              <w:rPr>
                <w:color w:val="000000"/>
                <w:sz w:val="24"/>
                <w:szCs w:val="24"/>
              </w:rPr>
              <w:t>19</w:t>
            </w:r>
            <w:r>
              <w:rPr>
                <w:color w:val="000000"/>
                <w:sz w:val="24"/>
                <w:szCs w:val="24"/>
              </w:rPr>
              <w:t>农发</w:t>
            </w:r>
            <w:r>
              <w:rPr>
                <w:color w:val="000000"/>
                <w:sz w:val="24"/>
                <w:szCs w:val="24"/>
              </w:rPr>
              <w:t>05</w:t>
            </w:r>
          </w:p>
        </w:tc>
        <w:tc>
          <w:tcPr>
            <w:tcW w:w="1387" w:type="dxa"/>
            <w:vAlign w:val="center"/>
          </w:tcPr>
          <w:p w:rsidR="00E7607B" w:rsidRDefault="004860F3">
            <w:pPr>
              <w:jc w:val="right"/>
            </w:pPr>
            <w:r>
              <w:rPr>
                <w:color w:val="000000"/>
                <w:sz w:val="24"/>
                <w:szCs w:val="24"/>
              </w:rPr>
              <w:t>1,000,000</w:t>
            </w:r>
          </w:p>
        </w:tc>
        <w:tc>
          <w:tcPr>
            <w:tcW w:w="2150" w:type="dxa"/>
            <w:vAlign w:val="center"/>
          </w:tcPr>
          <w:p w:rsidR="00E7607B" w:rsidRDefault="004860F3">
            <w:pPr>
              <w:jc w:val="right"/>
            </w:pPr>
            <w:r>
              <w:rPr>
                <w:color w:val="000000"/>
                <w:sz w:val="24"/>
                <w:szCs w:val="24"/>
              </w:rPr>
              <w:t>100,250,000.00</w:t>
            </w:r>
          </w:p>
        </w:tc>
        <w:tc>
          <w:tcPr>
            <w:tcW w:w="1237" w:type="dxa"/>
            <w:vAlign w:val="center"/>
          </w:tcPr>
          <w:p w:rsidR="00E7607B" w:rsidRDefault="004860F3">
            <w:pPr>
              <w:jc w:val="right"/>
            </w:pPr>
            <w:r>
              <w:rPr>
                <w:color w:val="000000"/>
                <w:sz w:val="24"/>
                <w:szCs w:val="24"/>
              </w:rPr>
              <w:t>4.48</w:t>
            </w:r>
          </w:p>
        </w:tc>
      </w:tr>
      <w:tr w:rsidR="00E7607B">
        <w:trPr>
          <w:jc w:val="center"/>
        </w:trPr>
        <w:tc>
          <w:tcPr>
            <w:tcW w:w="850" w:type="dxa"/>
            <w:vAlign w:val="center"/>
          </w:tcPr>
          <w:p w:rsidR="00E7607B" w:rsidRDefault="004860F3">
            <w:pPr>
              <w:jc w:val="center"/>
            </w:pPr>
            <w:r>
              <w:rPr>
                <w:color w:val="000000"/>
                <w:sz w:val="24"/>
                <w:szCs w:val="24"/>
              </w:rPr>
              <w:t>2</w:t>
            </w:r>
          </w:p>
        </w:tc>
        <w:tc>
          <w:tcPr>
            <w:tcW w:w="1475" w:type="dxa"/>
            <w:vAlign w:val="center"/>
          </w:tcPr>
          <w:p w:rsidR="00E7607B" w:rsidRDefault="004860F3">
            <w:pPr>
              <w:jc w:val="center"/>
            </w:pPr>
            <w:r>
              <w:rPr>
                <w:color w:val="000000"/>
                <w:sz w:val="24"/>
                <w:szCs w:val="24"/>
              </w:rPr>
              <w:t>128102</w:t>
            </w:r>
          </w:p>
        </w:tc>
        <w:tc>
          <w:tcPr>
            <w:tcW w:w="1769" w:type="dxa"/>
            <w:vAlign w:val="center"/>
          </w:tcPr>
          <w:p w:rsidR="00E7607B" w:rsidRDefault="004860F3">
            <w:pPr>
              <w:jc w:val="center"/>
            </w:pPr>
            <w:r>
              <w:rPr>
                <w:color w:val="000000"/>
                <w:sz w:val="24"/>
                <w:szCs w:val="24"/>
              </w:rPr>
              <w:t>海大转债</w:t>
            </w:r>
          </w:p>
        </w:tc>
        <w:tc>
          <w:tcPr>
            <w:tcW w:w="1387" w:type="dxa"/>
            <w:vAlign w:val="center"/>
          </w:tcPr>
          <w:p w:rsidR="00E7607B" w:rsidRDefault="004860F3">
            <w:pPr>
              <w:jc w:val="right"/>
            </w:pPr>
            <w:r>
              <w:rPr>
                <w:color w:val="000000"/>
                <w:sz w:val="24"/>
                <w:szCs w:val="24"/>
              </w:rPr>
              <w:t>47,271</w:t>
            </w:r>
          </w:p>
        </w:tc>
        <w:tc>
          <w:tcPr>
            <w:tcW w:w="2150" w:type="dxa"/>
            <w:vAlign w:val="center"/>
          </w:tcPr>
          <w:p w:rsidR="00E7607B" w:rsidRDefault="004860F3">
            <w:pPr>
              <w:jc w:val="right"/>
            </w:pPr>
            <w:r>
              <w:rPr>
                <w:color w:val="000000"/>
                <w:sz w:val="24"/>
                <w:szCs w:val="24"/>
              </w:rPr>
              <w:t>4,727,100.00</w:t>
            </w:r>
          </w:p>
        </w:tc>
        <w:tc>
          <w:tcPr>
            <w:tcW w:w="1237" w:type="dxa"/>
            <w:vAlign w:val="center"/>
          </w:tcPr>
          <w:p w:rsidR="00E7607B" w:rsidRDefault="004860F3">
            <w:pPr>
              <w:jc w:val="right"/>
            </w:pPr>
            <w:r>
              <w:rPr>
                <w:color w:val="000000"/>
                <w:sz w:val="24"/>
                <w:szCs w:val="24"/>
              </w:rPr>
              <w:t>0.21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539,555.44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1,577,647.96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1,976,336.73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1,706,636.05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5,800,176.18</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E7607B">
        <w:trPr>
          <w:jc w:val="center"/>
        </w:trPr>
        <w:tc>
          <w:tcPr>
            <w:tcW w:w="1129" w:type="dxa"/>
            <w:vAlign w:val="center"/>
          </w:tcPr>
          <w:p w:rsidR="00E7607B" w:rsidRDefault="004860F3">
            <w:pPr>
              <w:jc w:val="center"/>
            </w:pPr>
            <w:r>
              <w:rPr>
                <w:color w:val="000000"/>
                <w:sz w:val="24"/>
                <w:szCs w:val="24"/>
              </w:rPr>
              <w:t>1</w:t>
            </w:r>
          </w:p>
        </w:tc>
        <w:tc>
          <w:tcPr>
            <w:tcW w:w="1356" w:type="dxa"/>
            <w:vAlign w:val="center"/>
          </w:tcPr>
          <w:p w:rsidR="00E7607B" w:rsidRDefault="004860F3">
            <w:pPr>
              <w:jc w:val="center"/>
            </w:pPr>
            <w:r>
              <w:rPr>
                <w:color w:val="000000"/>
                <w:sz w:val="24"/>
                <w:szCs w:val="24"/>
              </w:rPr>
              <w:t>002230</w:t>
            </w:r>
          </w:p>
        </w:tc>
        <w:tc>
          <w:tcPr>
            <w:tcW w:w="1355" w:type="dxa"/>
            <w:vAlign w:val="center"/>
          </w:tcPr>
          <w:p w:rsidR="00E7607B" w:rsidRDefault="004860F3">
            <w:pPr>
              <w:jc w:val="center"/>
            </w:pPr>
            <w:r>
              <w:rPr>
                <w:color w:val="000000"/>
                <w:sz w:val="24"/>
                <w:szCs w:val="24"/>
              </w:rPr>
              <w:t>科大讯飞</w:t>
            </w:r>
          </w:p>
        </w:tc>
        <w:tc>
          <w:tcPr>
            <w:tcW w:w="1880" w:type="dxa"/>
            <w:vAlign w:val="center"/>
          </w:tcPr>
          <w:p w:rsidR="00E7607B" w:rsidRDefault="004860F3">
            <w:pPr>
              <w:jc w:val="right"/>
            </w:pPr>
            <w:r>
              <w:rPr>
                <w:color w:val="000000"/>
                <w:sz w:val="24"/>
                <w:szCs w:val="24"/>
              </w:rPr>
              <w:t>3,319,690.00</w:t>
            </w:r>
          </w:p>
        </w:tc>
        <w:tc>
          <w:tcPr>
            <w:tcW w:w="1724" w:type="dxa"/>
            <w:vAlign w:val="center"/>
          </w:tcPr>
          <w:p w:rsidR="00E7607B" w:rsidRDefault="004860F3">
            <w:pPr>
              <w:jc w:val="right"/>
            </w:pPr>
            <w:r>
              <w:rPr>
                <w:color w:val="000000"/>
                <w:sz w:val="24"/>
                <w:szCs w:val="24"/>
              </w:rPr>
              <w:t>0.15</w:t>
            </w:r>
          </w:p>
        </w:tc>
        <w:tc>
          <w:tcPr>
            <w:tcW w:w="1424" w:type="dxa"/>
            <w:vAlign w:val="center"/>
          </w:tcPr>
          <w:p w:rsidR="00E7607B" w:rsidRDefault="004860F3">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1,987,963,361.52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200,338,166.51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196,982,935.60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1,991,318,592.43</w:t>
            </w:r>
          </w:p>
        </w:tc>
      </w:tr>
    </w:tbl>
    <w:p w:rsidR="00E7607B" w:rsidRDefault="004860F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lastRenderedPageBreak/>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E7607B" w:rsidRDefault="004860F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、中国证监会批准交银施罗德蓝筹股票证券投资基金募集的文件；</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、《交银施罗德蓝筹混合型证券投资基金基金合同》；</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、《交银施罗德蓝筹混合型证券投资基金招募说明书》；</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、《交银施罗德蓝筹混合型证券投资基金托管协议》；</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、关于募集交银施罗德蓝筹股票证券投资基金之法律意见书；</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E7607B" w:rsidRDefault="004860F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、报告期内交银施罗德蓝筹混合型证券投资基金在指定报刊上各项公告的原稿。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E7607B" w:rsidRDefault="004860F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0F3" w:rsidRDefault="004860F3" w:rsidP="00876D65">
      <w:r>
        <w:separator/>
      </w:r>
    </w:p>
  </w:endnote>
  <w:endnote w:type="continuationSeparator" w:id="0">
    <w:p w:rsidR="004860F3" w:rsidRDefault="004860F3"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724BB">
      <w:rPr>
        <w:noProof/>
        <w:kern w:val="0"/>
        <w:szCs w:val="21"/>
      </w:rPr>
      <w:t>6</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724BB">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0F3" w:rsidRDefault="004860F3" w:rsidP="00876D65">
      <w:r>
        <w:separator/>
      </w:r>
    </w:p>
  </w:footnote>
  <w:footnote w:type="continuationSeparator" w:id="0">
    <w:p w:rsidR="004860F3" w:rsidRDefault="004860F3"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交银施罗德蓝筹混合型证券投资基金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60F3"/>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24BB"/>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7607B"/>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4A1FE-24F4-422D-BA1E-AB6AA63F3C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12</Pages>
  <Words>1121</Words>
  <Characters>6393</Characters>
  <Application>Microsoft Office Word</Application>
  <DocSecurity>0</DocSecurity>
  <Lines>53</Lines>
  <Paragraphs>14</Paragraphs>
  <ScaleCrop>false</ScaleCrop>
  <Company/>
  <LinksUpToDate>false</LinksUpToDate>
  <CharactersWithSpaces>7500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2020-04-16T09:20:00Z</dcterms:modified>
</cp:coreProperties>
</file>