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交银施罗德稳利中短债债券型证券投资基金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交银稳利中短债债券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008204</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2019</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398,074,263.67</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在严格控制风险和保持较高流动性的前提下，力求获得高于业绩比较基准的投资收益。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中债总财富（</w:t>
            </w:r>
            <w:r w:rsidRPr="007F52FA">
              <w:rPr>
                <w:color w:val="000000"/>
                <w:kern w:val="0"/>
                <w:sz w:val="24"/>
              </w:rPr>
              <w:t>1-3</w:t>
            </w:r>
            <w:r w:rsidRPr="007F52FA">
              <w:rPr>
                <w:color w:val="000000"/>
                <w:kern w:val="0"/>
                <w:sz w:val="24"/>
              </w:rPr>
              <w:t>年）指数收益率</w:t>
            </w:r>
            <w:r w:rsidRPr="007F52FA">
              <w:rPr>
                <w:color w:val="000000"/>
                <w:kern w:val="0"/>
                <w:sz w:val="24"/>
              </w:rPr>
              <w:t>×80%+</w:t>
            </w:r>
            <w:r w:rsidRPr="007F52FA">
              <w:rPr>
                <w:color w:val="000000"/>
                <w:kern w:val="0"/>
                <w:sz w:val="24"/>
              </w:rPr>
              <w:t>一年期定期存款利率（税后）</w:t>
            </w:r>
            <w:r w:rsidRPr="007F52FA">
              <w:rPr>
                <w:color w:val="000000"/>
                <w:kern w:val="0"/>
                <w:sz w:val="24"/>
              </w:rPr>
              <w:t>×20%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交银稳利中短债债券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交银稳利中短债债券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008204</w:t>
            </w:r>
          </w:p>
        </w:tc>
        <w:tc>
          <w:tcPr>
            <w:tcW w:w="3048" w:type="dxa"/>
            <w:vAlign w:val="center"/>
          </w:tcPr>
          <w:p w:rsidR="00C23B30" w:rsidRPr="000E4C40" w:rsidRDefault="00C23B30" w:rsidP="00A52A9E">
            <w:pPr>
              <w:spacing w:before="29" w:line="288" w:lineRule="auto"/>
              <w:jc w:val="left"/>
              <w:rPr>
                <w:sz w:val="24"/>
              </w:rPr>
            </w:pPr>
            <w:r w:rsidRPr="000E4C40">
              <w:rPr>
                <w:sz w:val="24"/>
              </w:rPr>
              <w:t>008205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293,013,648.73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105,060,614.94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交银稳利中短债债券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交银稳利中短债债券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8,753,480.38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3,343,930.81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11,014,989.18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4,290,758.33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298,825,503.33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107,016,547.44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1.0198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1.0186</w:t>
            </w:r>
          </w:p>
        </w:tc>
      </w:tr>
    </w:tbl>
    <w:p w:rsidR="006455D4" w:rsidRDefault="00C0036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sidR="00CB152B">
        <w:rPr>
          <w:rFonts w:eastAsiaTheme="minorEastAsia"/>
          <w:color w:val="000000"/>
          <w:sz w:val="24"/>
        </w:rPr>
        <w:t xml:space="preserve"> </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交银稳利中短债债券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455D4">
        <w:trPr>
          <w:jc w:val="center"/>
        </w:trPr>
        <w:tc>
          <w:tcPr>
            <w:tcW w:w="1266" w:type="dxa"/>
            <w:vAlign w:val="center"/>
          </w:tcPr>
          <w:p w:rsidR="006455D4" w:rsidRDefault="00C0036A">
            <w:pPr>
              <w:jc w:val="left"/>
            </w:pPr>
            <w:r>
              <w:rPr>
                <w:color w:val="000000"/>
                <w:sz w:val="24"/>
              </w:rPr>
              <w:t>过去三个月</w:t>
            </w:r>
          </w:p>
        </w:tc>
        <w:tc>
          <w:tcPr>
            <w:tcW w:w="1267" w:type="dxa"/>
            <w:vAlign w:val="center"/>
          </w:tcPr>
          <w:p w:rsidR="006455D4" w:rsidRDefault="00C0036A">
            <w:pPr>
              <w:jc w:val="center"/>
            </w:pPr>
            <w:r>
              <w:rPr>
                <w:color w:val="000000"/>
                <w:sz w:val="24"/>
              </w:rPr>
              <w:t>1.88%</w:t>
            </w:r>
          </w:p>
        </w:tc>
        <w:tc>
          <w:tcPr>
            <w:tcW w:w="1267" w:type="dxa"/>
            <w:vAlign w:val="center"/>
          </w:tcPr>
          <w:p w:rsidR="006455D4" w:rsidRDefault="00C0036A">
            <w:pPr>
              <w:jc w:val="center"/>
            </w:pPr>
            <w:r>
              <w:rPr>
                <w:color w:val="000000"/>
                <w:sz w:val="24"/>
              </w:rPr>
              <w:t>0.07%</w:t>
            </w:r>
          </w:p>
        </w:tc>
        <w:tc>
          <w:tcPr>
            <w:tcW w:w="1267" w:type="dxa"/>
            <w:vAlign w:val="center"/>
          </w:tcPr>
          <w:p w:rsidR="006455D4" w:rsidRDefault="00C0036A">
            <w:pPr>
              <w:jc w:val="center"/>
            </w:pPr>
            <w:r>
              <w:rPr>
                <w:color w:val="000000"/>
                <w:sz w:val="24"/>
              </w:rPr>
              <w:t>1.52%</w:t>
            </w:r>
          </w:p>
        </w:tc>
        <w:tc>
          <w:tcPr>
            <w:tcW w:w="1267" w:type="dxa"/>
            <w:vAlign w:val="center"/>
          </w:tcPr>
          <w:p w:rsidR="006455D4" w:rsidRDefault="00C0036A">
            <w:pPr>
              <w:jc w:val="center"/>
            </w:pPr>
            <w:r>
              <w:rPr>
                <w:color w:val="000000"/>
                <w:sz w:val="24"/>
              </w:rPr>
              <w:t>0.05%</w:t>
            </w:r>
          </w:p>
        </w:tc>
        <w:tc>
          <w:tcPr>
            <w:tcW w:w="1267" w:type="dxa"/>
            <w:vAlign w:val="center"/>
          </w:tcPr>
          <w:p w:rsidR="006455D4" w:rsidRDefault="00C0036A">
            <w:pPr>
              <w:jc w:val="center"/>
            </w:pPr>
            <w:r>
              <w:rPr>
                <w:color w:val="000000"/>
                <w:sz w:val="24"/>
              </w:rPr>
              <w:t>0.36%</w:t>
            </w:r>
          </w:p>
        </w:tc>
        <w:tc>
          <w:tcPr>
            <w:tcW w:w="1267" w:type="dxa"/>
            <w:vAlign w:val="center"/>
          </w:tcPr>
          <w:p w:rsidR="006455D4" w:rsidRDefault="00C0036A">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交银稳利中短债债券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455D4">
        <w:trPr>
          <w:jc w:val="center"/>
        </w:trPr>
        <w:tc>
          <w:tcPr>
            <w:tcW w:w="1266" w:type="dxa"/>
            <w:vAlign w:val="center"/>
          </w:tcPr>
          <w:p w:rsidR="006455D4" w:rsidRDefault="00C0036A">
            <w:pPr>
              <w:jc w:val="left"/>
            </w:pPr>
            <w:r>
              <w:rPr>
                <w:color w:val="000000"/>
                <w:sz w:val="24"/>
              </w:rPr>
              <w:t>过去三个月</w:t>
            </w:r>
          </w:p>
        </w:tc>
        <w:tc>
          <w:tcPr>
            <w:tcW w:w="1267" w:type="dxa"/>
            <w:vAlign w:val="center"/>
          </w:tcPr>
          <w:p w:rsidR="006455D4" w:rsidRDefault="00C0036A">
            <w:pPr>
              <w:jc w:val="center"/>
            </w:pPr>
            <w:r>
              <w:rPr>
                <w:color w:val="000000"/>
                <w:sz w:val="24"/>
              </w:rPr>
              <w:t>1.78%</w:t>
            </w:r>
          </w:p>
        </w:tc>
        <w:tc>
          <w:tcPr>
            <w:tcW w:w="1267" w:type="dxa"/>
            <w:vAlign w:val="center"/>
          </w:tcPr>
          <w:p w:rsidR="006455D4" w:rsidRDefault="00C0036A">
            <w:pPr>
              <w:jc w:val="center"/>
            </w:pPr>
            <w:r>
              <w:rPr>
                <w:color w:val="000000"/>
                <w:sz w:val="24"/>
              </w:rPr>
              <w:t>0.07%</w:t>
            </w:r>
          </w:p>
        </w:tc>
        <w:tc>
          <w:tcPr>
            <w:tcW w:w="1267" w:type="dxa"/>
            <w:vAlign w:val="center"/>
          </w:tcPr>
          <w:p w:rsidR="006455D4" w:rsidRDefault="00C0036A">
            <w:pPr>
              <w:jc w:val="center"/>
            </w:pPr>
            <w:r>
              <w:rPr>
                <w:color w:val="000000"/>
                <w:sz w:val="24"/>
              </w:rPr>
              <w:t>1.52%</w:t>
            </w:r>
          </w:p>
        </w:tc>
        <w:tc>
          <w:tcPr>
            <w:tcW w:w="1267" w:type="dxa"/>
            <w:vAlign w:val="center"/>
          </w:tcPr>
          <w:p w:rsidR="006455D4" w:rsidRDefault="00C0036A">
            <w:pPr>
              <w:jc w:val="center"/>
            </w:pPr>
            <w:r>
              <w:rPr>
                <w:color w:val="000000"/>
                <w:sz w:val="24"/>
              </w:rPr>
              <w:t>0.05%</w:t>
            </w:r>
          </w:p>
        </w:tc>
        <w:tc>
          <w:tcPr>
            <w:tcW w:w="1267" w:type="dxa"/>
            <w:vAlign w:val="center"/>
          </w:tcPr>
          <w:p w:rsidR="006455D4" w:rsidRDefault="00C0036A">
            <w:pPr>
              <w:jc w:val="center"/>
            </w:pPr>
            <w:r>
              <w:rPr>
                <w:color w:val="000000"/>
                <w:sz w:val="24"/>
              </w:rPr>
              <w:t>0.26%</w:t>
            </w:r>
          </w:p>
        </w:tc>
        <w:tc>
          <w:tcPr>
            <w:tcW w:w="1267" w:type="dxa"/>
            <w:vAlign w:val="center"/>
          </w:tcPr>
          <w:p w:rsidR="006455D4" w:rsidRDefault="00C0036A">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交银施罗德稳利中短债债券型证券投资基金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2019</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交银稳利中短债债券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12</w:t>
      </w:r>
      <w:r w:rsidRPr="007F52FA">
        <w:rPr>
          <w:color w:val="000000"/>
          <w:sz w:val="24"/>
        </w:rPr>
        <w:t>月</w:t>
      </w:r>
      <w:r w:rsidRPr="007F52FA">
        <w:rPr>
          <w:color w:val="000000"/>
          <w:sz w:val="24"/>
        </w:rPr>
        <w:t>13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2020</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交银稳利中短债债券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2019</w:t>
      </w:r>
      <w:r w:rsidRPr="007F52FA">
        <w:rPr>
          <w:color w:val="000000"/>
          <w:sz w:val="24"/>
        </w:rPr>
        <w:t>年</w:t>
      </w:r>
      <w:r w:rsidRPr="007F52FA">
        <w:rPr>
          <w:color w:val="000000"/>
          <w:sz w:val="24"/>
        </w:rPr>
        <w:t>12</w:t>
      </w:r>
      <w:r w:rsidRPr="007F52FA">
        <w:rPr>
          <w:color w:val="000000"/>
          <w:sz w:val="24"/>
        </w:rPr>
        <w:t>月</w:t>
      </w:r>
      <w:r w:rsidRPr="007F52FA">
        <w:rPr>
          <w:color w:val="000000"/>
          <w:sz w:val="24"/>
        </w:rPr>
        <w:t>13</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w:t>
      </w:r>
      <w:r w:rsidRPr="007F52FA">
        <w:rPr>
          <w:color w:val="000000"/>
          <w:sz w:val="24"/>
        </w:rPr>
        <w:t>2020</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日，本基金尚处于建仓期。</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455D4">
        <w:trPr>
          <w:jc w:val="center"/>
        </w:trPr>
        <w:tc>
          <w:tcPr>
            <w:tcW w:w="946" w:type="dxa"/>
            <w:vAlign w:val="center"/>
          </w:tcPr>
          <w:p w:rsidR="006455D4" w:rsidRDefault="00C0036A">
            <w:pPr>
              <w:jc w:val="center"/>
            </w:pPr>
            <w:r>
              <w:rPr>
                <w:color w:val="000000"/>
                <w:sz w:val="24"/>
              </w:rPr>
              <w:t>黄莹洁</w:t>
            </w:r>
          </w:p>
        </w:tc>
        <w:tc>
          <w:tcPr>
            <w:tcW w:w="924" w:type="dxa"/>
            <w:vAlign w:val="center"/>
          </w:tcPr>
          <w:p w:rsidR="006455D4" w:rsidRDefault="00C0036A">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天债券、交银丰享收益债券、交银活期通货币、交银天利宝货币、交银裕隆纯债债券、交银天益宝货币、交银境尚收益债券、交银稳鑫短债债券、交银稳利中短债债券的基金经理</w:t>
            </w:r>
          </w:p>
        </w:tc>
        <w:tc>
          <w:tcPr>
            <w:tcW w:w="1202" w:type="dxa"/>
            <w:vAlign w:val="center"/>
          </w:tcPr>
          <w:p w:rsidR="006455D4" w:rsidRDefault="00C0036A">
            <w:pPr>
              <w:jc w:val="center"/>
            </w:pPr>
            <w:r>
              <w:rPr>
                <w:color w:val="000000"/>
                <w:sz w:val="24"/>
              </w:rPr>
              <w:t>2019-12-13</w:t>
            </w:r>
          </w:p>
        </w:tc>
        <w:tc>
          <w:tcPr>
            <w:tcW w:w="1300" w:type="dxa"/>
            <w:vAlign w:val="center"/>
          </w:tcPr>
          <w:p w:rsidR="006455D4" w:rsidRDefault="00C0036A">
            <w:pPr>
              <w:jc w:val="center"/>
            </w:pPr>
            <w:r>
              <w:rPr>
                <w:color w:val="000000"/>
                <w:sz w:val="24"/>
              </w:rPr>
              <w:t>-</w:t>
            </w:r>
          </w:p>
        </w:tc>
        <w:tc>
          <w:tcPr>
            <w:tcW w:w="1245" w:type="dxa"/>
            <w:vAlign w:val="center"/>
          </w:tcPr>
          <w:p w:rsidR="006455D4" w:rsidRDefault="00C0036A">
            <w:pPr>
              <w:jc w:val="center"/>
            </w:pPr>
            <w:r>
              <w:rPr>
                <w:color w:val="000000"/>
                <w:sz w:val="24"/>
              </w:rPr>
              <w:t>12</w:t>
            </w:r>
            <w:r>
              <w:rPr>
                <w:color w:val="000000"/>
                <w:sz w:val="24"/>
              </w:rPr>
              <w:t>年</w:t>
            </w:r>
          </w:p>
        </w:tc>
        <w:tc>
          <w:tcPr>
            <w:tcW w:w="3251" w:type="dxa"/>
            <w:vAlign w:val="center"/>
          </w:tcPr>
          <w:p w:rsidR="006455D4" w:rsidRDefault="00C0036A">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6455D4" w:rsidRDefault="00C0036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455D4" w:rsidRDefault="00C0036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455D4" w:rsidRDefault="00C0036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455D4" w:rsidRDefault="00C0036A">
      <w:pPr>
        <w:spacing w:before="29" w:line="288" w:lineRule="auto"/>
        <w:ind w:firstLineChars="200" w:firstLine="480"/>
        <w:rPr>
          <w:color w:val="000000"/>
          <w:sz w:val="24"/>
        </w:rPr>
      </w:pPr>
      <w:r>
        <w:rPr>
          <w:color w:val="000000"/>
          <w:sz w:val="24"/>
        </w:rPr>
        <w:t>本报告期内，债券收益率呈现震荡下行趋势，货币政策延续宽松，债市的主要行情来自国内新冠病毒疫情爆发和海外疫情扩散两个阶段，收益率曲线呈现牛市陡峭化。截止</w:t>
      </w:r>
      <w:r>
        <w:rPr>
          <w:color w:val="000000"/>
          <w:sz w:val="24"/>
        </w:rPr>
        <w:t>2020</w:t>
      </w:r>
      <w:r>
        <w:rPr>
          <w:color w:val="000000"/>
          <w:sz w:val="24"/>
        </w:rPr>
        <w:t>年</w:t>
      </w:r>
      <w:r>
        <w:rPr>
          <w:color w:val="000000"/>
          <w:sz w:val="24"/>
        </w:rPr>
        <w:t>3</w:t>
      </w:r>
      <w:r>
        <w:rPr>
          <w:color w:val="000000"/>
          <w:sz w:val="24"/>
        </w:rPr>
        <w:t>月</w:t>
      </w:r>
      <w:r>
        <w:rPr>
          <w:color w:val="000000"/>
          <w:sz w:val="24"/>
        </w:rPr>
        <w:t>31</w:t>
      </w:r>
      <w:r>
        <w:rPr>
          <w:color w:val="000000"/>
          <w:sz w:val="24"/>
        </w:rPr>
        <w:t>日，十年国债和十年国开债分别收于</w:t>
      </w:r>
      <w:r>
        <w:rPr>
          <w:color w:val="000000"/>
          <w:sz w:val="24"/>
        </w:rPr>
        <w:t>2.59%</w:t>
      </w:r>
      <w:r>
        <w:rPr>
          <w:color w:val="000000"/>
          <w:sz w:val="24"/>
        </w:rPr>
        <w:t>和</w:t>
      </w:r>
      <w:r>
        <w:rPr>
          <w:color w:val="000000"/>
          <w:sz w:val="24"/>
        </w:rPr>
        <w:t>2.95%</w:t>
      </w:r>
      <w:r>
        <w:rPr>
          <w:color w:val="000000"/>
          <w:sz w:val="24"/>
        </w:rPr>
        <w:t>，较</w:t>
      </w:r>
      <w:r>
        <w:rPr>
          <w:color w:val="000000"/>
          <w:sz w:val="24"/>
        </w:rPr>
        <w:t>2019</w:t>
      </w:r>
      <w:r>
        <w:rPr>
          <w:color w:val="000000"/>
          <w:sz w:val="24"/>
        </w:rPr>
        <w:t>年底分别下行</w:t>
      </w:r>
      <w:r>
        <w:rPr>
          <w:color w:val="000000"/>
          <w:sz w:val="24"/>
        </w:rPr>
        <w:t>55bp</w:t>
      </w:r>
      <w:r>
        <w:rPr>
          <w:color w:val="000000"/>
          <w:sz w:val="24"/>
        </w:rPr>
        <w:t>和</w:t>
      </w:r>
      <w:r>
        <w:rPr>
          <w:color w:val="000000"/>
          <w:sz w:val="24"/>
        </w:rPr>
        <w:t>63bp</w:t>
      </w:r>
      <w:r>
        <w:rPr>
          <w:color w:val="000000"/>
          <w:sz w:val="24"/>
        </w:rPr>
        <w:t>。</w:t>
      </w:r>
    </w:p>
    <w:p w:rsidR="006455D4" w:rsidRDefault="00C0036A">
      <w:pPr>
        <w:spacing w:before="29" w:line="288" w:lineRule="auto"/>
        <w:ind w:firstLineChars="200" w:firstLine="480"/>
        <w:rPr>
          <w:color w:val="000000"/>
          <w:sz w:val="24"/>
        </w:rPr>
      </w:pPr>
      <w:r>
        <w:rPr>
          <w:color w:val="000000"/>
          <w:sz w:val="24"/>
        </w:rPr>
        <w:t>基金操作方面，本基金仍然是以信用债票息策略为主，以</w:t>
      </w:r>
      <w:r>
        <w:rPr>
          <w:color w:val="000000"/>
          <w:sz w:val="24"/>
        </w:rPr>
        <w:t>1-3</w:t>
      </w:r>
      <w:r>
        <w:rPr>
          <w:color w:val="000000"/>
          <w:sz w:val="24"/>
        </w:rPr>
        <w:t>年中高等级信用债为底仓，同时择机配置了部分</w:t>
      </w:r>
      <w:r>
        <w:rPr>
          <w:color w:val="000000"/>
          <w:sz w:val="24"/>
        </w:rPr>
        <w:t>4-5</w:t>
      </w:r>
      <w:r>
        <w:rPr>
          <w:color w:val="000000"/>
          <w:sz w:val="24"/>
        </w:rPr>
        <w:t>年的高收益信用债，提高了组合静态收益。由于资金成本处于低位，本基金适度运用杠杆操作增厚组合收益。</w:t>
      </w:r>
    </w:p>
    <w:p w:rsidR="006455D4" w:rsidRDefault="00C0036A">
      <w:pPr>
        <w:spacing w:before="29" w:line="288" w:lineRule="auto"/>
        <w:ind w:firstLineChars="200" w:firstLine="480"/>
        <w:rPr>
          <w:color w:val="000000"/>
          <w:sz w:val="24"/>
        </w:rPr>
      </w:pPr>
      <w:r>
        <w:rPr>
          <w:color w:val="000000"/>
          <w:sz w:val="24"/>
        </w:rPr>
        <w:t>展望</w:t>
      </w:r>
      <w:r>
        <w:rPr>
          <w:color w:val="000000"/>
          <w:sz w:val="24"/>
        </w:rPr>
        <w:t>2020</w:t>
      </w:r>
      <w:r>
        <w:rPr>
          <w:color w:val="000000"/>
          <w:sz w:val="24"/>
        </w:rPr>
        <w:t>年二季度，海外疫情的变化和国内政策的应对将成为影响债券市场的主要因素。在全球经济受疫情影响时间拉长、程度加深的背景下，中国经济很难独善其身，在信用扩张和经济拐点出现之前货币政策仍将维持宽松。债券市场短期内或维持震荡偏强的走势。后期利率下行的空间来自海外危机模式下对避险资产的需求，可能的调整信号需观察财政刺激力度和海外疫情拐点，收益率明显上行的概率不大，短端利率仍将维持低位。</w:t>
      </w:r>
    </w:p>
    <w:p w:rsidR="00952A72" w:rsidRPr="007F52FA" w:rsidRDefault="00323F25" w:rsidP="007C14DF">
      <w:pPr>
        <w:spacing w:before="29" w:line="288" w:lineRule="auto"/>
        <w:ind w:firstLineChars="200" w:firstLine="480"/>
        <w:rPr>
          <w:color w:val="000000"/>
          <w:sz w:val="24"/>
        </w:rPr>
      </w:pPr>
      <w:r w:rsidRPr="007F52FA">
        <w:rPr>
          <w:color w:val="000000"/>
          <w:sz w:val="24"/>
        </w:rPr>
        <w:t>组合操作方面，本基金将会控制整体组合久期，辅以合理杠杆水平来增厚组合收益，同时特别关注信用风险。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423,484,900.00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423,484,900.00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98.42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1,342,496.35</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0.31</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5,452,187.09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430,279,583.44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AB4107" w:rsidRPr="008A409E" w:rsidRDefault="00AB4107" w:rsidP="00AB4107">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AB4107" w:rsidRDefault="00AB4107" w:rsidP="00AB4107">
      <w:pPr>
        <w:spacing w:before="29" w:line="360" w:lineRule="auto"/>
        <w:ind w:left="17"/>
        <w:rPr>
          <w:color w:val="000000"/>
          <w:sz w:val="24"/>
        </w:rPr>
      </w:pPr>
      <w:r w:rsidRPr="00FF0BBF">
        <w:rPr>
          <w:color w:val="000000"/>
          <w:sz w:val="24"/>
        </w:rPr>
        <w:t>本基金本报告期末未持有通过港股通投资的股票。</w:t>
      </w:r>
    </w:p>
    <w:p w:rsidR="00AB4107" w:rsidRPr="00AB4107" w:rsidRDefault="00AB4107" w:rsidP="007C14DF">
      <w:pPr>
        <w:autoSpaceDE w:val="0"/>
        <w:autoSpaceDN w:val="0"/>
        <w:adjustRightInd w:val="0"/>
        <w:spacing w:before="29" w:line="288" w:lineRule="auto"/>
        <w:jc w:val="left"/>
        <w:rPr>
          <w:color w:val="00000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19,800,000.00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4.88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1,000,900.00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1,000,900.00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0.25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402,684,000.00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99.22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423,484,900.00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104.35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455D4">
        <w:trPr>
          <w:jc w:val="center"/>
        </w:trPr>
        <w:tc>
          <w:tcPr>
            <w:tcW w:w="1075" w:type="dxa"/>
            <w:vAlign w:val="center"/>
          </w:tcPr>
          <w:p w:rsidR="006455D4" w:rsidRDefault="00C0036A">
            <w:pPr>
              <w:jc w:val="center"/>
            </w:pPr>
            <w:r>
              <w:rPr>
                <w:color w:val="000000"/>
                <w:sz w:val="24"/>
              </w:rPr>
              <w:t>1</w:t>
            </w:r>
          </w:p>
        </w:tc>
        <w:tc>
          <w:tcPr>
            <w:tcW w:w="1533" w:type="dxa"/>
            <w:vAlign w:val="center"/>
          </w:tcPr>
          <w:p w:rsidR="006455D4" w:rsidRDefault="00C0036A">
            <w:pPr>
              <w:jc w:val="center"/>
            </w:pPr>
            <w:r>
              <w:rPr>
                <w:color w:val="000000"/>
                <w:sz w:val="24"/>
              </w:rPr>
              <w:t>101762032</w:t>
            </w:r>
          </w:p>
        </w:tc>
        <w:tc>
          <w:tcPr>
            <w:tcW w:w="1533" w:type="dxa"/>
            <w:vAlign w:val="center"/>
          </w:tcPr>
          <w:p w:rsidR="006455D4" w:rsidRDefault="00C0036A">
            <w:pPr>
              <w:jc w:val="center"/>
            </w:pPr>
            <w:r>
              <w:rPr>
                <w:color w:val="000000"/>
                <w:sz w:val="24"/>
              </w:rPr>
              <w:t>17</w:t>
            </w:r>
            <w:r>
              <w:rPr>
                <w:color w:val="000000"/>
                <w:sz w:val="24"/>
              </w:rPr>
              <w:t>武进经发</w:t>
            </w:r>
            <w:r>
              <w:rPr>
                <w:color w:val="000000"/>
                <w:sz w:val="24"/>
              </w:rPr>
              <w:t>MTN001</w:t>
            </w:r>
          </w:p>
        </w:tc>
        <w:tc>
          <w:tcPr>
            <w:tcW w:w="1394" w:type="dxa"/>
            <w:vAlign w:val="center"/>
          </w:tcPr>
          <w:p w:rsidR="006455D4" w:rsidRDefault="00C0036A">
            <w:pPr>
              <w:jc w:val="right"/>
            </w:pPr>
            <w:r>
              <w:rPr>
                <w:color w:val="000000"/>
                <w:sz w:val="24"/>
              </w:rPr>
              <w:t>300,000</w:t>
            </w:r>
          </w:p>
        </w:tc>
        <w:tc>
          <w:tcPr>
            <w:tcW w:w="1944" w:type="dxa"/>
            <w:vAlign w:val="center"/>
          </w:tcPr>
          <w:p w:rsidR="006455D4" w:rsidRDefault="00C0036A">
            <w:pPr>
              <w:jc w:val="right"/>
            </w:pPr>
            <w:r>
              <w:rPr>
                <w:color w:val="000000"/>
                <w:sz w:val="24"/>
              </w:rPr>
              <w:t>31,968,000.00</w:t>
            </w:r>
          </w:p>
        </w:tc>
        <w:tc>
          <w:tcPr>
            <w:tcW w:w="1389" w:type="dxa"/>
            <w:vAlign w:val="center"/>
          </w:tcPr>
          <w:p w:rsidR="006455D4" w:rsidRDefault="00C0036A">
            <w:pPr>
              <w:jc w:val="right"/>
            </w:pPr>
            <w:r>
              <w:rPr>
                <w:color w:val="000000"/>
                <w:sz w:val="24"/>
              </w:rPr>
              <w:t>7.88</w:t>
            </w:r>
          </w:p>
        </w:tc>
      </w:tr>
      <w:tr w:rsidR="006455D4">
        <w:trPr>
          <w:jc w:val="center"/>
        </w:trPr>
        <w:tc>
          <w:tcPr>
            <w:tcW w:w="1075" w:type="dxa"/>
            <w:vAlign w:val="center"/>
          </w:tcPr>
          <w:p w:rsidR="006455D4" w:rsidRDefault="00C0036A">
            <w:pPr>
              <w:jc w:val="center"/>
            </w:pPr>
            <w:r>
              <w:rPr>
                <w:color w:val="000000"/>
                <w:sz w:val="24"/>
              </w:rPr>
              <w:t>2</w:t>
            </w:r>
          </w:p>
        </w:tc>
        <w:tc>
          <w:tcPr>
            <w:tcW w:w="1533" w:type="dxa"/>
            <w:vAlign w:val="center"/>
          </w:tcPr>
          <w:p w:rsidR="006455D4" w:rsidRDefault="00C0036A">
            <w:pPr>
              <w:jc w:val="center"/>
            </w:pPr>
            <w:r>
              <w:rPr>
                <w:color w:val="000000"/>
                <w:sz w:val="24"/>
              </w:rPr>
              <w:t>101773009</w:t>
            </w:r>
          </w:p>
        </w:tc>
        <w:tc>
          <w:tcPr>
            <w:tcW w:w="1533" w:type="dxa"/>
            <w:vAlign w:val="center"/>
          </w:tcPr>
          <w:p w:rsidR="006455D4" w:rsidRDefault="00C0036A">
            <w:pPr>
              <w:jc w:val="center"/>
            </w:pPr>
            <w:r>
              <w:rPr>
                <w:color w:val="000000"/>
                <w:sz w:val="24"/>
              </w:rPr>
              <w:t>17</w:t>
            </w:r>
            <w:r>
              <w:rPr>
                <w:color w:val="000000"/>
                <w:sz w:val="24"/>
              </w:rPr>
              <w:t>蓉经开</w:t>
            </w:r>
            <w:r>
              <w:rPr>
                <w:color w:val="000000"/>
                <w:sz w:val="24"/>
              </w:rPr>
              <w:t>MTN002</w:t>
            </w:r>
          </w:p>
        </w:tc>
        <w:tc>
          <w:tcPr>
            <w:tcW w:w="1394" w:type="dxa"/>
            <w:vAlign w:val="center"/>
          </w:tcPr>
          <w:p w:rsidR="006455D4" w:rsidRDefault="00C0036A">
            <w:pPr>
              <w:jc w:val="right"/>
            </w:pPr>
            <w:r>
              <w:rPr>
                <w:color w:val="000000"/>
                <w:sz w:val="24"/>
              </w:rPr>
              <w:t>300,000</w:t>
            </w:r>
          </w:p>
        </w:tc>
        <w:tc>
          <w:tcPr>
            <w:tcW w:w="1944" w:type="dxa"/>
            <w:vAlign w:val="center"/>
          </w:tcPr>
          <w:p w:rsidR="006455D4" w:rsidRDefault="00C0036A">
            <w:pPr>
              <w:jc w:val="right"/>
            </w:pPr>
            <w:r>
              <w:rPr>
                <w:color w:val="000000"/>
                <w:sz w:val="24"/>
              </w:rPr>
              <w:t>31,770,000.00</w:t>
            </w:r>
          </w:p>
        </w:tc>
        <w:tc>
          <w:tcPr>
            <w:tcW w:w="1389" w:type="dxa"/>
            <w:vAlign w:val="center"/>
          </w:tcPr>
          <w:p w:rsidR="006455D4" w:rsidRDefault="00C0036A">
            <w:pPr>
              <w:jc w:val="right"/>
            </w:pPr>
            <w:r>
              <w:rPr>
                <w:color w:val="000000"/>
                <w:sz w:val="24"/>
              </w:rPr>
              <w:t>7.83</w:t>
            </w:r>
          </w:p>
        </w:tc>
      </w:tr>
      <w:tr w:rsidR="006455D4">
        <w:trPr>
          <w:jc w:val="center"/>
        </w:trPr>
        <w:tc>
          <w:tcPr>
            <w:tcW w:w="1075" w:type="dxa"/>
            <w:vAlign w:val="center"/>
          </w:tcPr>
          <w:p w:rsidR="006455D4" w:rsidRDefault="00C0036A">
            <w:pPr>
              <w:jc w:val="center"/>
            </w:pPr>
            <w:r>
              <w:rPr>
                <w:color w:val="000000"/>
                <w:sz w:val="24"/>
              </w:rPr>
              <w:t>3</w:t>
            </w:r>
          </w:p>
        </w:tc>
        <w:tc>
          <w:tcPr>
            <w:tcW w:w="1533" w:type="dxa"/>
            <w:vAlign w:val="center"/>
          </w:tcPr>
          <w:p w:rsidR="006455D4" w:rsidRDefault="00C0036A">
            <w:pPr>
              <w:jc w:val="center"/>
            </w:pPr>
            <w:r>
              <w:rPr>
                <w:color w:val="000000"/>
                <w:sz w:val="24"/>
              </w:rPr>
              <w:t>101901335</w:t>
            </w:r>
          </w:p>
        </w:tc>
        <w:tc>
          <w:tcPr>
            <w:tcW w:w="1533" w:type="dxa"/>
            <w:vAlign w:val="center"/>
          </w:tcPr>
          <w:p w:rsidR="006455D4" w:rsidRDefault="00C0036A">
            <w:pPr>
              <w:jc w:val="center"/>
            </w:pPr>
            <w:r>
              <w:rPr>
                <w:color w:val="000000"/>
                <w:sz w:val="24"/>
              </w:rPr>
              <w:t>19</w:t>
            </w:r>
            <w:r>
              <w:rPr>
                <w:color w:val="000000"/>
                <w:sz w:val="24"/>
              </w:rPr>
              <w:t>黔铁投</w:t>
            </w:r>
            <w:r>
              <w:rPr>
                <w:color w:val="000000"/>
                <w:sz w:val="24"/>
              </w:rPr>
              <w:t>MTN002</w:t>
            </w:r>
          </w:p>
        </w:tc>
        <w:tc>
          <w:tcPr>
            <w:tcW w:w="1394" w:type="dxa"/>
            <w:vAlign w:val="center"/>
          </w:tcPr>
          <w:p w:rsidR="006455D4" w:rsidRDefault="00C0036A">
            <w:pPr>
              <w:jc w:val="right"/>
            </w:pPr>
            <w:r>
              <w:rPr>
                <w:color w:val="000000"/>
                <w:sz w:val="24"/>
              </w:rPr>
              <w:t>300,000</w:t>
            </w:r>
          </w:p>
        </w:tc>
        <w:tc>
          <w:tcPr>
            <w:tcW w:w="1944" w:type="dxa"/>
            <w:vAlign w:val="center"/>
          </w:tcPr>
          <w:p w:rsidR="006455D4" w:rsidRDefault="00C0036A">
            <w:pPr>
              <w:jc w:val="right"/>
            </w:pPr>
            <w:r>
              <w:rPr>
                <w:color w:val="000000"/>
                <w:sz w:val="24"/>
              </w:rPr>
              <w:t>30,963,000.00</w:t>
            </w:r>
          </w:p>
        </w:tc>
        <w:tc>
          <w:tcPr>
            <w:tcW w:w="1389" w:type="dxa"/>
            <w:vAlign w:val="center"/>
          </w:tcPr>
          <w:p w:rsidR="006455D4" w:rsidRDefault="00C0036A">
            <w:pPr>
              <w:jc w:val="right"/>
            </w:pPr>
            <w:r>
              <w:rPr>
                <w:color w:val="000000"/>
                <w:sz w:val="24"/>
              </w:rPr>
              <w:t>7.63</w:t>
            </w:r>
          </w:p>
        </w:tc>
      </w:tr>
      <w:tr w:rsidR="006455D4">
        <w:trPr>
          <w:jc w:val="center"/>
        </w:trPr>
        <w:tc>
          <w:tcPr>
            <w:tcW w:w="1075" w:type="dxa"/>
            <w:vAlign w:val="center"/>
          </w:tcPr>
          <w:p w:rsidR="006455D4" w:rsidRDefault="00C0036A">
            <w:pPr>
              <w:jc w:val="center"/>
            </w:pPr>
            <w:r>
              <w:rPr>
                <w:color w:val="000000"/>
                <w:sz w:val="24"/>
              </w:rPr>
              <w:t>4</w:t>
            </w:r>
          </w:p>
        </w:tc>
        <w:tc>
          <w:tcPr>
            <w:tcW w:w="1533" w:type="dxa"/>
            <w:vAlign w:val="center"/>
          </w:tcPr>
          <w:p w:rsidR="006455D4" w:rsidRDefault="00C0036A">
            <w:pPr>
              <w:jc w:val="center"/>
            </w:pPr>
            <w:r>
              <w:rPr>
                <w:color w:val="000000"/>
                <w:sz w:val="24"/>
              </w:rPr>
              <w:t>101801511</w:t>
            </w:r>
          </w:p>
        </w:tc>
        <w:tc>
          <w:tcPr>
            <w:tcW w:w="1533" w:type="dxa"/>
            <w:vAlign w:val="center"/>
          </w:tcPr>
          <w:p w:rsidR="006455D4" w:rsidRDefault="00C0036A">
            <w:pPr>
              <w:jc w:val="center"/>
            </w:pPr>
            <w:r>
              <w:rPr>
                <w:color w:val="000000"/>
                <w:sz w:val="24"/>
              </w:rPr>
              <w:t>18</w:t>
            </w:r>
            <w:r>
              <w:rPr>
                <w:color w:val="000000"/>
                <w:sz w:val="24"/>
              </w:rPr>
              <w:t>乌经开</w:t>
            </w:r>
            <w:r>
              <w:rPr>
                <w:color w:val="000000"/>
                <w:sz w:val="24"/>
              </w:rPr>
              <w:t>MTN001</w:t>
            </w:r>
          </w:p>
        </w:tc>
        <w:tc>
          <w:tcPr>
            <w:tcW w:w="1394" w:type="dxa"/>
            <w:vAlign w:val="center"/>
          </w:tcPr>
          <w:p w:rsidR="006455D4" w:rsidRDefault="00C0036A">
            <w:pPr>
              <w:jc w:val="right"/>
            </w:pPr>
            <w:r>
              <w:rPr>
                <w:color w:val="000000"/>
                <w:sz w:val="24"/>
              </w:rPr>
              <w:t>300,000</w:t>
            </w:r>
          </w:p>
        </w:tc>
        <w:tc>
          <w:tcPr>
            <w:tcW w:w="1944" w:type="dxa"/>
            <w:vAlign w:val="center"/>
          </w:tcPr>
          <w:p w:rsidR="006455D4" w:rsidRDefault="00C0036A">
            <w:pPr>
              <w:jc w:val="right"/>
            </w:pPr>
            <w:r>
              <w:rPr>
                <w:color w:val="000000"/>
                <w:sz w:val="24"/>
              </w:rPr>
              <w:t>30,861,000.00</w:t>
            </w:r>
          </w:p>
        </w:tc>
        <w:tc>
          <w:tcPr>
            <w:tcW w:w="1389" w:type="dxa"/>
            <w:vAlign w:val="center"/>
          </w:tcPr>
          <w:p w:rsidR="006455D4" w:rsidRDefault="00C0036A">
            <w:pPr>
              <w:jc w:val="right"/>
            </w:pPr>
            <w:r>
              <w:rPr>
                <w:color w:val="000000"/>
                <w:sz w:val="24"/>
              </w:rPr>
              <w:t>7.60</w:t>
            </w:r>
          </w:p>
        </w:tc>
      </w:tr>
      <w:tr w:rsidR="006455D4">
        <w:trPr>
          <w:jc w:val="center"/>
        </w:trPr>
        <w:tc>
          <w:tcPr>
            <w:tcW w:w="1075" w:type="dxa"/>
            <w:vAlign w:val="center"/>
          </w:tcPr>
          <w:p w:rsidR="006455D4" w:rsidRDefault="00C0036A">
            <w:pPr>
              <w:jc w:val="center"/>
            </w:pPr>
            <w:r>
              <w:rPr>
                <w:color w:val="000000"/>
                <w:sz w:val="24"/>
              </w:rPr>
              <w:t>5</w:t>
            </w:r>
          </w:p>
        </w:tc>
        <w:tc>
          <w:tcPr>
            <w:tcW w:w="1533" w:type="dxa"/>
            <w:vAlign w:val="center"/>
          </w:tcPr>
          <w:p w:rsidR="006455D4" w:rsidRDefault="00C0036A">
            <w:pPr>
              <w:jc w:val="center"/>
            </w:pPr>
            <w:r>
              <w:rPr>
                <w:color w:val="000000"/>
                <w:sz w:val="24"/>
              </w:rPr>
              <w:t>101900433</w:t>
            </w:r>
          </w:p>
        </w:tc>
        <w:tc>
          <w:tcPr>
            <w:tcW w:w="1533" w:type="dxa"/>
            <w:vAlign w:val="center"/>
          </w:tcPr>
          <w:p w:rsidR="006455D4" w:rsidRDefault="00C0036A">
            <w:pPr>
              <w:jc w:val="center"/>
            </w:pPr>
            <w:r>
              <w:rPr>
                <w:color w:val="000000"/>
                <w:sz w:val="24"/>
              </w:rPr>
              <w:t>19</w:t>
            </w:r>
            <w:r>
              <w:rPr>
                <w:color w:val="000000"/>
                <w:sz w:val="24"/>
              </w:rPr>
              <w:t>淮安国投</w:t>
            </w:r>
            <w:r>
              <w:rPr>
                <w:color w:val="000000"/>
                <w:sz w:val="24"/>
              </w:rPr>
              <w:t>MTN002</w:t>
            </w:r>
          </w:p>
        </w:tc>
        <w:tc>
          <w:tcPr>
            <w:tcW w:w="1394" w:type="dxa"/>
            <w:vAlign w:val="center"/>
          </w:tcPr>
          <w:p w:rsidR="006455D4" w:rsidRDefault="00C0036A">
            <w:pPr>
              <w:jc w:val="right"/>
            </w:pPr>
            <w:r>
              <w:rPr>
                <w:color w:val="000000"/>
                <w:sz w:val="24"/>
              </w:rPr>
              <w:t>300,000</w:t>
            </w:r>
          </w:p>
        </w:tc>
        <w:tc>
          <w:tcPr>
            <w:tcW w:w="1944" w:type="dxa"/>
            <w:vAlign w:val="center"/>
          </w:tcPr>
          <w:p w:rsidR="006455D4" w:rsidRDefault="00C0036A">
            <w:pPr>
              <w:jc w:val="right"/>
            </w:pPr>
            <w:r>
              <w:rPr>
                <w:color w:val="000000"/>
                <w:sz w:val="24"/>
              </w:rPr>
              <w:t>30,732,000.00</w:t>
            </w:r>
          </w:p>
        </w:tc>
        <w:tc>
          <w:tcPr>
            <w:tcW w:w="1389" w:type="dxa"/>
            <w:vAlign w:val="center"/>
          </w:tcPr>
          <w:p w:rsidR="006455D4" w:rsidRDefault="00C0036A">
            <w:pPr>
              <w:jc w:val="right"/>
            </w:pPr>
            <w:r>
              <w:rPr>
                <w:color w:val="000000"/>
                <w:sz w:val="24"/>
              </w:rPr>
              <w:t>7.57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8,946.49</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5,443,240.60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5,452,187.09</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C0036A" w:rsidRPr="007F52FA" w:rsidRDefault="00C0036A" w:rsidP="00C0036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本基金本报告期期末未持有股票。</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交银稳利中短债债券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交银稳利中短债债券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722,523,490.02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268,948,681.14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429,509,841.29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163,888,066.20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293,013,648.73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105,060,614.94</w:t>
            </w:r>
          </w:p>
        </w:tc>
      </w:tr>
    </w:tbl>
    <w:p w:rsidR="006455D4" w:rsidRDefault="00C0036A">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、中国证监会准予交银施罗德稳利中短债债券型证券投资基金募集注册的文件；</w:t>
      </w:r>
      <w:r>
        <w:rPr>
          <w:rFonts w:eastAsiaTheme="minorEastAsia"/>
          <w:color w:val="000000"/>
          <w:sz w:val="24"/>
        </w:rPr>
        <w:t xml:space="preserve"> </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、《交银施罗德稳利中短债债券型证券投资基金基金合同》；</w:t>
      </w:r>
      <w:r>
        <w:rPr>
          <w:rFonts w:eastAsiaTheme="minorEastAsia"/>
          <w:color w:val="000000"/>
          <w:sz w:val="24"/>
        </w:rPr>
        <w:t xml:space="preserve"> </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、《交银施罗德稳利中短债债券型证券投资基金招募说明书》；</w:t>
      </w:r>
      <w:r>
        <w:rPr>
          <w:rFonts w:eastAsiaTheme="minorEastAsia"/>
          <w:color w:val="000000"/>
          <w:sz w:val="24"/>
        </w:rPr>
        <w:t xml:space="preserve"> </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、《交银施罗德稳利中短债债券型证券投资基金托管协议》；</w:t>
      </w:r>
      <w:r>
        <w:rPr>
          <w:rFonts w:eastAsiaTheme="minorEastAsia"/>
          <w:color w:val="000000"/>
          <w:sz w:val="24"/>
        </w:rPr>
        <w:t xml:space="preserve"> </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、关于申请募集注册交银施罗德稳利中短债债券型证券投资基金的法律意见书；</w:t>
      </w:r>
      <w:r>
        <w:rPr>
          <w:rFonts w:eastAsiaTheme="minorEastAsia"/>
          <w:color w:val="000000"/>
          <w:sz w:val="24"/>
        </w:rPr>
        <w:t xml:space="preserve"> </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、报告期内交银施罗德稳利中短债债券型证券投资基金在指定报刊上各项公告的原稿。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6455D4" w:rsidRDefault="00C0036A">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7C089D">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7C089D">
      <w:rPr>
        <w:noProof/>
        <w:kern w:val="0"/>
        <w:szCs w:val="21"/>
      </w:rPr>
      <w:t>12</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5AD1" w:rsidRDefault="00685AD1">
      <w:r>
        <w:separator/>
      </w:r>
    </w:p>
  </w:footnote>
  <w:footnote w:type="continuationSeparator" w:id="0">
    <w:p w:rsidR="00685AD1" w:rsidRDefault="00685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交银施罗德稳利中短债债券型证券投资基金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55D4"/>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089D"/>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4107"/>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36A"/>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152B"/>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7C08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11D59-86A3-46DB-8E4C-ADBB912D9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12</Pages>
  <Words>997</Words>
  <Characters>5685</Characters>
  <Application>Microsoft Office Word</Application>
  <DocSecurity>0</DocSecurity>
  <Lines>47</Lines>
  <Paragraphs>13</Paragraphs>
  <ScaleCrop>false</ScaleCrop>
  <Company>TRT. Ltd. Co.</Company>
  <LinksUpToDate>false</LinksUpToDate>
  <CharactersWithSpaces>6669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408</cp:revision>
  <cp:lastPrinted>2007-07-19T00:46:00Z</cp:lastPrinted>
  <dcterms:created xsi:type="dcterms:W3CDTF">2014-01-17T06:19:00Z</dcterms:created>
  <dcterms:modified xsi:type="dcterms:W3CDTF">2020-04-20T05:45:00Z</dcterms:modified>
</cp:coreProperties>
</file>