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12658D" w:rsidRDefault="0012658D" w:rsidRPr="00324C76">
      <w:pPr>
        <w:autoSpaceDE w:val="0"/>
        <w:autoSpaceDN w:val="0"/>
        <w:adjustRightInd w:val="0"/>
        <w:spacing w:before="29" w:line="288" w:lineRule="auto"/>
        <w:jc w:val="left"/>
        <w:rPr>
          <w:color w:val="000000"/>
          <w:kern w:val="0"/>
          <w:sz w:val="24"/>
        </w:rPr>
      </w:pPr>
    </w:p>
    <w:p w:rsidP="00B04217" w:rsidR="0012658D" w:rsidRDefault="0012658D" w:rsidRPr="006C615F">
      <w:pPr>
        <w:spacing w:before="29" w:line="288" w:lineRule="auto"/>
        <w:jc w:val="center"/>
        <w:rPr>
          <w:b/>
          <w:sz w:val="36"/>
          <w:szCs w:val="36"/>
        </w:rPr>
      </w:pPr>
      <w:r w:rsidRPr="006C615F">
        <w:rPr>
          <w:b/>
          <w:sz w:val="36"/>
          <w:szCs w:val="36"/>
        </w:rPr>
        <w:t/>
      </w:r>
      <w:proofErr w:type="spellStart"/>
      <w:proofErr w:type="gramStart"/>
      <w:r w:rsidRPr="006C615F">
        <w:rPr>
          <w:b/>
          <w:sz w:val="36"/>
          <w:szCs w:val="36"/>
        </w:rPr>
        <w:t/>
      </w:r>
      <w:proofErr w:type="spellEnd"/>
      <w:proofErr w:type="gramEnd"/>
      <w:r w:rsidRPr="006C615F">
        <w:rPr>
          <w:b/>
          <w:sz w:val="36"/>
          <w:szCs w:val="36"/>
        </w:rPr>
        <w:t>交银施罗德深证300价值交易型开放式指数证券投资基金联接基金</w:t>
      </w:r>
    </w:p>
    <w:p w:rsidP="00B04217" w:rsidR="0012658D" w:rsidRDefault="0012658D" w:rsidRPr="006C615F">
      <w:pPr>
        <w:spacing w:before="29" w:line="288" w:lineRule="auto"/>
        <w:jc w:val="center"/>
        <w:rPr>
          <w:b/>
          <w:sz w:val="36"/>
          <w:szCs w:val="36"/>
        </w:rPr>
      </w:pPr>
      <w:r w:rsidRPr="006C615F">
        <w:rPr>
          <w:b/>
          <w:sz w:val="36"/>
          <w:szCs w:val="36"/>
        </w:rPr>
        <w:t/>
      </w:r>
      <w:proofErr w:type="spellStart"/>
      <w:r w:rsidRPr="006C615F">
        <w:rPr>
          <w:b/>
          <w:sz w:val="36"/>
          <w:szCs w:val="36"/>
        </w:rPr>
        <w:t/>
      </w:r>
      <w:proofErr w:type="spellEnd"/>
      <w:r w:rsidRPr="006C615F">
        <w:rPr>
          <w:b/>
          <w:sz w:val="36"/>
          <w:szCs w:val="36"/>
        </w:rPr>
        <w:t>2020年第1季度报告</w:t>
      </w:r>
    </w:p>
    <w:p w:rsidP="00B04217" w:rsidR="00943748" w:rsidRDefault="003251EE" w:rsidRPr="006C615F">
      <w:pPr>
        <w:spacing w:before="29" w:line="288" w:lineRule="auto"/>
        <w:jc w:val="center"/>
        <w:rPr>
          <w:b/>
          <w:sz w:val="36"/>
          <w:szCs w:val="36"/>
        </w:rPr>
      </w:pPr>
      <w:r w:rsidRPr="006C615F">
        <w:rPr>
          <w:b/>
          <w:sz w:val="36"/>
          <w:szCs w:val="36"/>
        </w:rPr>
        <w:t/>
      </w:r>
      <w:proofErr w:type="spellStart"/>
      <w:proofErr w:type="gramStart"/>
      <w:r w:rsidRPr="006C615F">
        <w:rPr>
          <w:b/>
          <w:sz w:val="36"/>
          <w:szCs w:val="36"/>
        </w:rPr>
        <w:t/>
      </w:r>
      <w:proofErr w:type="spellEnd"/>
      <w:proofErr w:type="gramEnd"/>
      <w:r w:rsidRPr="006C615F">
        <w:rPr>
          <w:b/>
          <w:sz w:val="36"/>
          <w:szCs w:val="36"/>
        </w:rPr>
        <w:t>2020年3月31日</w:t>
      </w: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rPr>
          <w:b/>
          <w:sz w:val="24"/>
        </w:rPr>
      </w:pP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基金管理人：</w:t>
      </w:r>
      <w:r w:rsidR="00446302" w:rsidRPr="006C615F">
        <w:rPr>
          <w:b/>
          <w:color w:val="000000"/>
          <w:sz w:val="24"/>
        </w:rPr>
        <w:t/>
      </w:r>
      <w:proofErr w:type="spellStart"/>
      <w:proofErr w:type="gramStart"/>
      <w:r w:rsidR="00446302" w:rsidRPr="006C615F">
        <w:rPr>
          <w:b/>
          <w:color w:val="000000"/>
          <w:sz w:val="24"/>
        </w:rPr>
        <w:t/>
      </w:r>
      <w:proofErr w:type="spellEnd"/>
      <w:proofErr w:type="gramEnd"/>
      <w:r w:rsidR="00446302" w:rsidRPr="006C615F">
        <w:rPr>
          <w:b/>
          <w:color w:val="000000"/>
          <w:sz w:val="24"/>
        </w:rPr>
        <w:t>交银施罗德基金管理有限公司</w:t>
      </w: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基金托管人：</w:t>
      </w:r>
      <w:r w:rsidR="00446302" w:rsidRPr="006C615F">
        <w:rPr>
          <w:b/>
          <w:color w:val="000000"/>
          <w:sz w:val="24"/>
        </w:rPr>
        <w:t/>
      </w:r>
      <w:proofErr w:type="spellStart"/>
      <w:proofErr w:type="gramStart"/>
      <w:r w:rsidR="00446302" w:rsidRPr="006C615F">
        <w:rPr>
          <w:b/>
          <w:color w:val="000000"/>
          <w:sz w:val="24"/>
        </w:rPr>
        <w:t/>
      </w:r>
      <w:proofErr w:type="spellEnd"/>
      <w:proofErr w:type="gramEnd"/>
      <w:r w:rsidR="00446302" w:rsidRPr="006C615F">
        <w:rPr>
          <w:b/>
          <w:color w:val="000000"/>
          <w:sz w:val="24"/>
        </w:rPr>
        <w:t>中国农业银行股份有限公司</w:t>
      </w:r>
    </w:p>
    <w:p w:rsidP="00B04217" w:rsidR="00943748" w:rsidRDefault="00943748" w:rsidRPr="006C615F">
      <w:pPr>
        <w:spacing w:before="29" w:line="288" w:lineRule="auto"/>
        <w:ind w:firstLine="2168" w:firstLineChars="900"/>
        <w:rPr>
          <w:b/>
          <w:color w:val="000000"/>
          <w:sz w:val="24"/>
        </w:rPr>
        <w:sectPr w:rsidR="00943748" w:rsidRPr="006C615F" w:rsidSect="00E74491">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6C615F">
        <w:rPr>
          <w:b/>
          <w:color w:val="000000"/>
          <w:sz w:val="24"/>
        </w:rPr>
        <w:t>报告送出日期：</w:t>
      </w:r>
      <w:r w:rsidR="00AB5C7D" w:rsidRPr="006C615F">
        <w:rPr>
          <w:b/>
          <w:color w:val="000000"/>
          <w:sz w:val="24"/>
        </w:rPr>
        <w:t/>
      </w:r>
      <w:proofErr w:type="spellStart"/>
      <w:proofErr w:type="gramStart"/>
      <w:r w:rsidR="00AB5C7D" w:rsidRPr="006C615F">
        <w:rPr>
          <w:b/>
          <w:color w:val="000000"/>
          <w:sz w:val="24"/>
        </w:rPr>
        <w:t/>
      </w:r>
      <w:r w:rsidR="003251EE" w:rsidRPr="006C615F">
        <w:rPr>
          <w:b/>
          <w:color w:val="000000"/>
          <w:sz w:val="24"/>
        </w:rPr>
        <w:t/>
      </w:r>
      <w:proofErr w:type="spellEnd"/>
      <w:proofErr w:type="gramEnd"/>
      <w:r w:rsidR="00AB5C7D" w:rsidRPr="006C615F">
        <w:rPr>
          <w:b/>
          <w:color w:val="000000"/>
          <w:sz w:val="24"/>
        </w:rPr>
        <w:t>二〇二〇年四月二十二日</w:t>
      </w:r>
    </w:p>
    <w:p w:rsidP="0048293C" w:rsidR="00220542" w:rsidRDefault="00220542" w:rsidRPr="00324C76">
      <w:pPr>
        <w:pStyle w:val="1"/>
        <w:spacing w:after="312" w:afterLines="100" w:before="312" w:before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B04217" w:rsidR="00220542" w:rsidRDefault="00446302" w:rsidRPr="00324C76">
      <w:pPr>
        <w:spacing w:before="29" w:line="288" w:lineRule="auto"/>
        <w:ind w:firstLine="480" w:firstLineChars="200"/>
        <w:rPr>
          <w:color w:val="000000"/>
          <w:sz w:val="24"/>
        </w:rPr>
      </w:pPr>
      <w:r w:rsidRPr="00324C76">
        <w:rPr>
          <w:color w:val="000000"/>
          <w:sz w:val="24"/>
        </w:rPr>
        <w:t/>
      </w:r>
      <w:proofErr w:type="spellStart"/>
      <w:proofErr w:type="gramStart"/>
      <w:r w:rsidRPr="00324C76">
        <w:rPr>
          <w:color w:val="000000"/>
          <w:sz w:val="24"/>
        </w:rPr>
        <w:t/>
      </w:r>
      <w:proofErr w:type="spellEnd"/>
      <w:proofErr w:type="gramEnd"/>
      <w:r w:rsidRPr="00324C76">
        <w:rPr>
          <w:color w:val="000000"/>
          <w:sz w:val="24"/>
        </w:rPr>
        <w:t>本报告期自2020年1月1日起至3月31日止。</w:t>
      </w:r>
    </w:p>
    <w:p w:rsidP="00B04217" w:rsidR="002A5D65" w:rsidRDefault="002A5D65" w:rsidRPr="00324C76">
      <w:pPr>
        <w:spacing w:before="29" w:line="288" w:lineRule="auto"/>
        <w:ind w:firstLine="480" w:firstLineChars="200"/>
        <w:rPr>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P="00B04217" w:rsidR="00B72596" w:rsidRDefault="00B72596" w:rsidRPr="00324C76">
      <w:pPr>
        <w:pStyle w:val="2"/>
        <w:keepNext w:val="0"/>
        <w:keepLines w:val="0"/>
        <w:spacing w:after="0" w:before="29" w:line="288" w:lineRule="auto"/>
        <w:rPr>
          <w:rFonts w:ascii="Times New Roman" w:cs="Times New Roman" w:hAnsi="Times New Roman"/>
          <w:szCs w:val="24"/>
        </w:rPr>
      </w:pPr>
      <w:bookmarkStart w:id="0" w:name="_Toc245193810"/>
      <w:r w:rsidRPr="00324C76">
        <w:rPr>
          <w:rFonts w:ascii="Times New Roman" w:cs="Times New Roman" w:hAnsi="Times New Roman"/>
          <w:szCs w:val="24"/>
        </w:rPr>
        <w:t>2.1</w:t>
      </w:r>
      <w:bookmarkEnd w:id="0"/>
      <w:r w:rsidR="00597E06">
        <w:rPr>
          <w:rFonts w:ascii="Times New Roman" w:cs="Times New Roman" w:hAnsi="Times New Roman"/>
          <w:szCs w:val="24"/>
        </w:rPr>
        <w:t xml:space="preserve"> </w:t>
      </w:r>
      <w:r w:rsidR="00D33822" w:rsidRPr="00324C76">
        <w:rPr>
          <w:rFonts w:ascii="Times New Roman" w:cs="Times New Roman" w:hAnsi="Times New Roman"/>
          <w:szCs w:val="24"/>
        </w:rPr>
        <w:t>基金基本情况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kern w:val="0"/>
                <w:sz w:val="24"/>
              </w:rPr>
            </w:pPr>
            <w:r w:rsidRPr="00324C76">
              <w:rPr>
                <w:kern w:val="0"/>
                <w:sz w:val="24"/>
              </w:rPr>
              <w:t>基金简称</w:t>
            </w:r>
          </w:p>
        </w:tc>
        <w:tc>
          <w:tcPr>
            <w:tcW w:type="dxa" w:w="5845"/>
            <w:gridSpan w:val="2"/>
            <w:vAlign w:val="center"/>
          </w:tcPr>
          <w:p w:rsidP="00B04217" w:rsidR="00446302" w:rsidRDefault="00446302"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交银深证300价值ETF联接</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519706</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基金运作方式</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契约型开放式</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基金合同生效日</w:t>
            </w:r>
          </w:p>
        </w:tc>
        <w:tc>
          <w:tcPr>
            <w:tcW w:type="dxa" w:w="5845"/>
            <w:gridSpan w:val="2"/>
            <w:vAlign w:val="center"/>
          </w:tcPr>
          <w:p w:rsidP="00B04217" w:rsidR="00446302" w:rsidRDefault="00C26024"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2011年9月28日</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报告期末基金份额总额</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36,942,076.76</w:t>
            </w:r>
            <w:r w:rsidR="0083349B" w:rsidRPr="00324C76">
              <w:rPr>
                <w:color w:val="000000"/>
                <w:kern w:val="0"/>
                <w:sz w:val="24"/>
              </w:rPr>
              <w:t>份</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投资目标</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紧密跟踪标的指数，追求跟踪偏离度与跟踪误差最小化。</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投资策略</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基金通过把全部或接近全部的基金资产投资于目标ETF、标的指数成份股和备选成份股进行被动式指数化投资，正常情况下投资于目标ETF的资产比例不低于基金资产净值的90%，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业绩比较基准</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深证300价值价格指数收益率×95%＋银行活期存款税后收益率×5%</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风险收益特征</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基金属ETF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基金管理人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交银施罗德基金管理有限公司</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基金托管人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中国农业银行股份有限公司</w:t>
            </w:r>
          </w:p>
        </w:tc>
      </w:tr>
    </w:tbl>
    <w:p w:rsidP="00B04217" w:rsidR="00D6057D" w:rsidRDefault="00D6057D" w:rsidRPr="00324C76">
      <w:pPr>
        <w:autoSpaceDE w:val="0"/>
        <w:autoSpaceDN w:val="0"/>
        <w:adjustRightInd w:val="0"/>
        <w:spacing w:before="29" w:line="288" w:lineRule="auto"/>
        <w:jc w:val="left"/>
        <w:rPr>
          <w:kern w:val="0"/>
          <w:sz w:val="24"/>
        </w:rPr>
      </w:pPr>
    </w:p>
    <w:p w:rsidP="00B04217" w:rsidR="00B72596" w:rsidRDefault="00B72596" w:rsidRPr="00324C76">
      <w:pPr>
        <w:pStyle w:val="2"/>
        <w:keepNext w:val="0"/>
        <w:keepLines w:val="0"/>
        <w:spacing w:after="0" w:before="29" w:line="288" w:lineRule="auto"/>
        <w:rPr>
          <w:rFonts w:ascii="Times New Roman" w:cs="Times New Roman" w:hAnsi="Times New Roman"/>
          <w:szCs w:val="24"/>
        </w:rPr>
      </w:pPr>
      <w:r w:rsidRPr="00324C76">
        <w:rPr>
          <w:rFonts w:ascii="Times New Roman" w:cs="Times New Roman" w:hAnsi="Times New Roman"/>
          <w:szCs w:val="24"/>
        </w:rPr>
        <w:t>2.1.1</w:t>
      </w:r>
      <w:r w:rsidR="00597E06">
        <w:rPr>
          <w:rFonts w:ascii="Times New Roman" w:cs="Times New Roman" w:hAnsi="Times New Roman"/>
          <w:szCs w:val="24"/>
        </w:rPr>
        <w:t xml:space="preserve"> </w:t>
      </w:r>
      <w:r w:rsidRPr="00324C76">
        <w:rPr>
          <w:rFonts w:ascii="Times New Roman" w:cs="Times New Roman" w:hAnsi="Times New Roman"/>
          <w:szCs w:val="24"/>
        </w:rPr>
        <w:t>目标</w:t>
      </w:r>
      <w:r w:rsidR="00D6057D" w:rsidRPr="00324C76">
        <w:rPr>
          <w:rFonts w:ascii="Times New Roman" w:cs="Times New Roman" w:hAnsi="Times New Roman"/>
          <w:szCs w:val="24"/>
        </w:rPr>
        <w:t>基金</w:t>
      </w:r>
      <w:r w:rsidR="00156E40" w:rsidRPr="00324C76">
        <w:rPr>
          <w:rFonts w:ascii="Times New Roman" w:cs="Times New Roman" w:hAnsi="Times New Roman"/>
          <w:szCs w:val="24"/>
        </w:rPr>
        <w:t>基本情况</w:t>
      </w:r>
    </w:p>
    <w:tbl>
      <w:tblPr>
        <w:tblW w:type="dxa" w:w="8868"/>
        <w:jc w:val="center"/>
        <w:tblLayout w:type="fixed"/>
        <w:tblLook w:firstColumn="0" w:firstRow="0" w:lastColumn="0" w:lastRow="0" w:noHBand="0" w:noVBand="0" w:val="0000"/>
      </w:tblPr>
      <w:tblGrid>
        <w:gridCol w:w="2855"/>
        <w:gridCol w:w="6013"/>
      </w:tblGrid>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深证300价值交易型开放式指数证券投资基金</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159913</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交易型开放式</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003D1893" w:rsidRPr="00324C76">
              <w:rPr>
                <w:sz w:val="24"/>
              </w:rPr>
              <w:t/>
            </w:r>
            <w:proofErr w:type="spellStart"/>
            <w:r w:rsidR="003D1893" w:rsidRPr="00324C76">
              <w:rPr>
                <w:sz w:val="24"/>
              </w:rPr>
              <w:t/>
            </w:r>
            <w:proofErr w:type="spellEnd"/>
            <w:r w:rsidR="003D1893" w:rsidRPr="00324C76">
              <w:rPr>
                <w:sz w:val="24"/>
              </w:rPr>
              <w:t/>
            </w:r>
            <w:r w:rsidRPr="00324C76">
              <w:rPr>
                <w:sz w:val="24"/>
              </w:rPr>
              <w:t>2011年9月22日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lastRenderedPageBreak/>
              <w:t/>
            </w:r>
            <w:proofErr w:type="spellStart"/>
            <w:r w:rsidRPr="00324C76">
              <w:rPr>
                <w:sz w:val="24"/>
              </w:rPr>
              <w:t/>
            </w:r>
            <w:r w:rsidRPr="00324C76">
              <w:rPr>
                <w:sz w:val="24"/>
              </w:rPr>
              <w:lastRenderedPageBreak/>
              <w:t/>
            </w:r>
            <w:proofErr w:type="spellEnd"/>
            <w:r w:rsidRPr="00324C76">
              <w:rPr>
                <w:sz w:val="24"/>
              </w:rPr>
              <w:t>深圳证券交易所</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00F840F0" w:rsidRPr="00324C76">
              <w:rPr>
                <w:sz w:val="24"/>
              </w:rPr>
              <w:t/>
            </w:r>
            <w:proofErr w:type="spellStart"/>
            <w:r w:rsidR="00F840F0" w:rsidRPr="00324C76">
              <w:rPr>
                <w:sz w:val="24"/>
              </w:rPr>
              <w:t/>
            </w:r>
            <w:proofErr w:type="spellEnd"/>
            <w:r w:rsidR="00F840F0" w:rsidRPr="00324C76">
              <w:rPr>
                <w:sz w:val="24"/>
              </w:rPr>
              <w:t/>
            </w:r>
            <w:r w:rsidRPr="00324C76">
              <w:rPr>
                <w:sz w:val="24"/>
              </w:rPr>
              <w:t>2011年10月25日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交银施罗德基金管理有限公司</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中国农业银行股份有限公司</w:t>
            </w:r>
          </w:p>
        </w:tc>
      </w:tr>
    </w:tbl>
    <w:p w:rsidP="00B04217" w:rsidR="006B4B1E" w:rsidRDefault="006B4B1E" w:rsidRPr="00324C76">
      <w:pPr>
        <w:autoSpaceDE w:val="0"/>
        <w:autoSpaceDN w:val="0"/>
        <w:adjustRightInd w:val="0"/>
        <w:spacing w:before="29" w:line="288" w:lineRule="auto"/>
        <w:jc w:val="left"/>
        <w:rPr>
          <w:color w:val="000000"/>
          <w:sz w:val="24"/>
        </w:rPr>
      </w:pPr>
    </w:p>
    <w:p w:rsidP="00B04217" w:rsidR="00156E40" w:rsidRDefault="00156E40" w:rsidRPr="00324C76">
      <w:pPr>
        <w:pStyle w:val="2"/>
        <w:keepNext w:val="0"/>
        <w:keepLines w:val="0"/>
        <w:spacing w:after="0" w:before="29" w:line="288" w:lineRule="auto"/>
        <w:rPr>
          <w:rFonts w:ascii="Times New Roman" w:cs="Times New Roman" w:hAnsi="Times New Roman"/>
          <w:szCs w:val="24"/>
        </w:rPr>
      </w:pPr>
      <w:smartTag w:element="chsdate" w:uri="urn:schemas-microsoft-com:office:smarttags">
        <w:smartTagPr>
          <w:attr w:name="IsROCDate" w:val="False"/>
          <w:attr w:name="IsLunarDate" w:val="False"/>
          <w:attr w:name="Day" w:val="30"/>
          <w:attr w:name="Month" w:val="12"/>
          <w:attr w:name="Year" w:val="1899"/>
        </w:smartTagPr>
        <w:r w:rsidRPr="00324C76">
          <w:rPr>
            <w:rFonts w:ascii="Times New Roman" w:cs="Times New Roman" w:hAnsi="Times New Roman"/>
            <w:szCs w:val="24"/>
          </w:rPr>
          <w:t>2.1.2</w:t>
        </w:r>
        <w:r w:rsidR="00597E06">
          <w:rPr>
            <w:rFonts w:ascii="Times New Roman" w:cs="Times New Roman" w:hAnsi="Times New Roman"/>
            <w:szCs w:val="24"/>
          </w:rPr>
          <w:t xml:space="preserve"> </w:t>
        </w:r>
      </w:smartTag>
      <w:r w:rsidR="00B51C7C" w:rsidRPr="00324C76">
        <w:rPr>
          <w:rFonts w:ascii="Times New Roman" w:cs="Times New Roman" w:hAnsi="Times New Roman"/>
          <w:szCs w:val="24"/>
        </w:rPr>
        <w:t>目标基金产品说明</w:t>
      </w:r>
    </w:p>
    <w:tbl>
      <w:tblPr>
        <w:tblW w:type="dxa" w:w="8868"/>
        <w:jc w:val="center"/>
        <w:tblLook w:firstColumn="0" w:firstRow="0" w:lastColumn="0" w:lastRow="0" w:noHBand="0" w:noVBand="0" w:val="0000"/>
      </w:tblPr>
      <w:tblGrid>
        <w:gridCol w:w="2956"/>
        <w:gridCol w:w="5912"/>
      </w:tblGrid>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紧密跟踪标的指数，追求跟踪偏离度和跟踪误差最小化。</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本基金绝大部分资产采用完全复制法，跟踪深证300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深证300价值价格指数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P="00B04217" w:rsidR="002A5D65" w:rsidRDefault="002A5D65" w:rsidRPr="00324C76">
      <w:pPr>
        <w:autoSpaceDE w:val="0"/>
        <w:autoSpaceDN w:val="0"/>
        <w:adjustRightInd w:val="0"/>
        <w:spacing w:before="29" w:line="288" w:lineRule="auto"/>
        <w:jc w:val="left"/>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07"/>
        <w:gridCol w:w="2706"/>
        <w:gridCol w:w="2555"/>
      </w:tblGrid>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roofErr w:type="spellStart"/>
            <w:r w:rsidR="00076821" w:rsidRPr="00324C76">
              <w:rPr>
                <w:kern w:val="0"/>
                <w:sz w:val="24"/>
              </w:rPr>
              <w:t/>
            </w:r>
            <w:proofErr w:type="spellEnd"/>
            <w:r w:rsidR="00076821" w:rsidRPr="00324C76">
              <w:rPr>
                <w:kern w:val="0"/>
                <w:sz w:val="24"/>
              </w:rPr>
              <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BC3740" w:rsidRPr="00324C76">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
            </w:r>
            <w:proofErr w:type="spellStart"/>
            <w:r w:rsidRPr="00324C76">
              <w:rPr>
                <w:color w:val="000000"/>
                <w:sz w:val="24"/>
              </w:rPr>
              <w:t/>
            </w:r>
            <w:proofErr w:type="spellEnd"/>
            <w:r w:rsidRPr="00324C76">
              <w:rPr>
                <w:color w:val="000000"/>
                <w:sz w:val="24"/>
              </w:rPr>
              <w:t>2020年1月1日-</w:t>
            </w:r>
            <w:proofErr w:type="spellStart"/>
            <w:r w:rsidRPr="00324C76">
              <w:rPr>
                <w:color w:val="000000"/>
                <w:sz w:val="24"/>
              </w:rPr>
              <w:t/>
            </w:r>
            <w:proofErr w:type="spellEnd"/>
            <w:r w:rsidRPr="00324C76">
              <w:rPr>
                <w:color w:val="000000"/>
                <w:sz w:val="24"/>
              </w:rPr>
              <w:t>2020年3月31日</w:t>
            </w:r>
            <w:r w:rsidR="00F53C6A" w:rsidRPr="00324C76">
              <w:rPr>
                <w:color w:val="000000"/>
                <w:kern w:val="0"/>
                <w:sz w:val="24"/>
              </w:rPr>
              <w:t>)</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roofErr w:type="spellStart"/>
            <w:r w:rsidR="00A7041B" w:rsidRPr="00324C76">
              <w:rPr>
                <w:color w:val="000000"/>
                <w:sz w:val="24"/>
              </w:rPr>
              <w:t/>
            </w:r>
            <w:proofErr w:type="spellEnd"/>
            <w:r w:rsidR="00A7041B" w:rsidRPr="00324C76">
              <w:rPr>
                <w:color w:val="000000"/>
                <w:sz w:val="24"/>
              </w:rPr>
              <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1,879,138.10</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2.</w:t>
            </w:r>
            <w:r w:rsidRPr="00324C76">
              <w:rPr>
                <w:kern w:val="0"/>
                <w:sz w:val="24"/>
              </w:rPr>
              <w:t>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-10,023,312.30</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-0.2626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61,672,871.21</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1.669</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B04217" w:rsidR="00E27AF2" w:rsidRDefault="00E27AF2"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P="00B04217" w:rsidR="00220542" w:rsidRDefault="00220542" w:rsidRPr="00324C76">
      <w:pPr>
        <w:autoSpaceDE w:val="0"/>
        <w:autoSpaceDN w:val="0"/>
        <w:adjustRightInd w:val="0"/>
        <w:spacing w:before="29" w:line="288" w:lineRule="auto"/>
        <w:jc w:val="left"/>
        <w:rPr>
          <w:b/>
          <w:kern w:val="0"/>
          <w:sz w:val="24"/>
        </w:rPr>
      </w:pPr>
      <w:smartTag w:element="chsdate" w:uri="urn:schemas-microsoft-com:office:smarttags">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E27AF2" w:rsidRPr="00324C76" w:rsidTr="00896BE4">
        <w:trPr>
          <w:jc w:val="center"/>
        </w:trPr>
        <w:tc>
          <w:tcPr>
            <w:tcW w:type="dxa" w:w="1395"/>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roofErr w:type="spellStart"/>
            <w:r w:rsidR="00756731" w:rsidRPr="00324C76">
              <w:rPr>
                <w:color w:val="000000"/>
                <w:sz w:val="24"/>
              </w:rPr>
              <w:t/>
            </w:r>
            <w:proofErr w:type="spellEnd"/>
            <w:r w:rsidR="00756731" w:rsidRPr="00324C76">
              <w:rPr>
                <w:color w:val="000000"/>
                <w:sz w:val="24"/>
              </w:rPr>
              <w:t/>
            </w:r>
          </w:p>
        </w:tc>
        <w:tc>
          <w:tcPr>
            <w:tcW w:type="dxa" w:w="1092"/>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type="dxa" w:w="116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type="dxa" w:w="118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type="dxa" w:w="1188"/>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type="dxa" w:w="1199"/>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type="dxa" w:w="1204"/>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-13.16%</w:t>
            </w:r>
          </w:p>
        </w:tc>
        <w:tc>
          <w:tcPr>
            <w:vAlign w:val="center"/>
          </w:tcPr>
          <w:p>
            <w:pPr>
              <w:jc w:val="center"/>
            </w:pPr>
            <w:r>
              <w:rPr>
                <w:color w:val="000000"/>
                <w:sz w:val="24"/>
              </w:rPr>
              <w:t>2.03%</w:t>
            </w:r>
          </w:p>
        </w:tc>
        <w:tc>
          <w:tcPr>
            <w:vAlign w:val="center"/>
          </w:tcPr>
          <w:p>
            <w:pPr>
              <w:jc w:val="center"/>
            </w:pPr>
            <w:r>
              <w:rPr>
                <w:color w:val="000000"/>
                <w:sz w:val="24"/>
              </w:rPr>
              <w:t>-13.73%</w:t>
            </w:r>
          </w:p>
        </w:tc>
        <w:tc>
          <w:tcPr>
            <w:vAlign w:val="center"/>
          </w:tcPr>
          <w:p>
            <w:pPr>
              <w:jc w:val="center"/>
            </w:pPr>
            <w:r>
              <w:rPr>
                <w:color w:val="000000"/>
                <w:sz w:val="24"/>
              </w:rPr>
              <w:t>2.11%</w:t>
            </w:r>
          </w:p>
        </w:tc>
        <w:tc>
          <w:tcPr>
            <w:vAlign w:val="center"/>
          </w:tcPr>
          <w:p>
            <w:pPr>
              <w:jc w:val="center"/>
            </w:pPr>
            <w:r>
              <w:rPr>
                <w:color w:val="000000"/>
                <w:sz w:val="24"/>
              </w:rPr>
              <w:t>0.57%</w:t>
            </w:r>
          </w:p>
        </w:tc>
        <w:tc>
          <w:tcPr>
            <w:vAlign w:val="center"/>
          </w:tcPr>
          <w:p>
            <w:pPr>
              <w:jc w:val="center"/>
            </w:pPr>
            <w:r>
              <w:rPr>
                <w:color w:val="000000"/>
                <w:sz w:val="24"/>
              </w:rPr>
              <w:t>-0.08%</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spacing w:before="29" w:line="288" w:lineRule="auto"/>
        <w:rPr>
          <w:b/>
          <w:kern w:val="0"/>
          <w:sz w:val="24"/>
        </w:rPr>
      </w:pPr>
      <w:r w:rsidRPr="00324C76">
        <w:rPr>
          <w:b/>
          <w:kern w:val="0"/>
          <w:sz w:val="24"/>
        </w:rPr>
        <w:t>3.2.2</w:t>
      </w:r>
      <w:r w:rsidR="00491158" w:rsidRPr="004739A8">
        <w:rPr>
          <w:rFonts w:hint="eastAsia"/>
          <w:b/>
          <w:kern w:val="0"/>
          <w:sz w:val="24"/>
        </w:rPr>
        <w:t/>
      </w:r>
      <w:proofErr w:type="spellStart"/>
      <w:r w:rsidR="00491158" w:rsidRPr="004739A8">
        <w:rPr>
          <w:rFonts w:hint="eastAsia"/>
          <w:b/>
          <w:kern w:val="0"/>
          <w:sz w:val="24"/>
        </w:rPr>
        <w:t/>
      </w:r>
      <w:proofErr w:type="spellEnd"/>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P="00B04217" w:rsidR="00402ED1" w:rsidRDefault="00402ED1" w:rsidRPr="00324C76">
      <w:pPr>
        <w:spacing w:before="29" w:line="288" w:lineRule="auto"/>
        <w:jc w:val="center"/>
        <w:rPr>
          <w:sz w:val="24"/>
        </w:rPr>
      </w:pPr>
      <w:r w:rsidRPr="00324C76">
        <w:rPr>
          <w:sz w:val="24"/>
        </w:rPr>
        <w:t/>
      </w:r>
      <w:proofErr w:type="spellStart"/>
      <w:r w:rsidRPr="00324C76">
        <w:rPr>
          <w:sz w:val="24"/>
        </w:rPr>
        <w:t/>
      </w:r>
      <w:proofErr w:type="spellEnd"/>
      <w:r w:rsidRPr="00324C76">
        <w:rPr>
          <w:sz w:val="24"/>
        </w:rPr>
        <w:t>交银施罗德深证300价值交易型开放式指数证券投资基金联接基金</w:t>
      </w:r>
    </w:p>
    <w:p w:rsidP="00B04217" w:rsidR="00402ED1" w:rsidRDefault="00F00C35" w:rsidRPr="00324C76">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P="00B04217" w:rsidR="00BA6DE7" w:rsidRDefault="00BA6DE7" w:rsidRPr="00324C76">
      <w:pPr>
        <w:spacing w:before="29" w:line="288" w:lineRule="auto"/>
        <w:jc w:val="center"/>
        <w:rPr>
          <w:sz w:val="24"/>
        </w:rPr>
      </w:pPr>
      <w:r w:rsidRPr="00324C76">
        <w:rPr>
          <w:color w:val="000000"/>
          <w:kern w:val="0"/>
          <w:sz w:val="24"/>
        </w:rPr>
        <w:t>（</w:t>
      </w:r>
      <w:r w:rsidR="003251EE" w:rsidRPr="00324C76">
        <w:rPr>
          <w:color w:val="000000"/>
          <w:kern w:val="0"/>
          <w:sz w:val="24"/>
        </w:rPr>
        <w:t/>
      </w:r>
      <w:proofErr w:type="spellStart"/>
      <w:r w:rsidR="003251EE" w:rsidRPr="00324C76">
        <w:rPr>
          <w:color w:val="000000"/>
          <w:kern w:val="0"/>
          <w:sz w:val="24"/>
        </w:rPr>
        <w:t/>
      </w:r>
      <w:proofErr w:type="spellEnd"/>
      <w:r w:rsidR="003251EE" w:rsidRPr="00324C76">
        <w:rPr>
          <w:color w:val="000000"/>
          <w:kern w:val="0"/>
          <w:sz w:val="24"/>
        </w:rPr>
        <w:t>2011年9月28日</w:t>
      </w:r>
      <w:r w:rsidRPr="00324C76">
        <w:rPr>
          <w:color w:val="000000"/>
          <w:kern w:val="0"/>
          <w:sz w:val="24"/>
        </w:rPr>
        <w:t>至</w:t>
      </w: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2020年3月31日</w:t>
      </w:r>
      <w:r w:rsidRPr="00324C76">
        <w:rPr>
          <w:color w:val="000000"/>
          <w:kern w:val="0"/>
          <w:sz w:val="24"/>
        </w:rPr>
        <w:t>）</w:t>
      </w:r>
    </w:p>
    <w:p w:rsidP="00B04217" w:rsidR="00402ED1" w:rsidRDefault="0029290C" w:rsidRPr="00324C76">
      <w:pPr>
        <w:tabs>
          <w:tab w:pos="1800" w:val="left"/>
        </w:tabs>
        <w:spacing w:before="29" w:line="288" w:lineRule="auto"/>
        <w:jc w:val="center"/>
        <w:rPr>
          <w:color w:val="000000"/>
          <w:sz w:val="24"/>
        </w:rPr>
      </w:pPr>
      <w:r w:rsidRPr="00324C76">
        <w:rPr>
          <w:noProof/>
          <w:color w:val="000000"/>
          <w:sz w:val="24"/>
        </w:rPr>
        <w:lastRenderedPageBreak/>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B04217" w:rsidR="00402ED1" w:rsidRDefault="00402ED1"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r w:rsidR="00C26024"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注：本基金建仓期为自基金合同生效日起的6个月。截至建仓期结束，本基金各项资产配置比例符合基金合同及招募说明书有关投资比例的约定。</w:t>
      </w:r>
    </w:p>
    <w:p w:rsidP="00B04217" w:rsidR="00163AE8" w:rsidRDefault="00163AE8" w:rsidRPr="00324C76">
      <w:pPr>
        <w:tabs>
          <w:tab w:pos="1800" w:val="left"/>
        </w:tabs>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E27AF2" w:rsidRPr="00324C76" w:rsidTr="00E42623">
        <w:trPr>
          <w:trHeight w:val="292"/>
          <w:jc w:val="center"/>
        </w:trPr>
        <w:tc>
          <w:tcPr>
            <w:tcW w:type="dxa" w:w="851"/>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姓名</w:t>
            </w:r>
          </w:p>
        </w:tc>
        <w:tc>
          <w:tcPr>
            <w:tcW w:type="dxa" w:w="850"/>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职务</w:t>
            </w:r>
          </w:p>
        </w:tc>
        <w:tc>
          <w:tcPr>
            <w:tcW w:type="dxa" w:w="3119"/>
            <w:gridSpan w:val="2"/>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type="dxa" w:w="1417"/>
            <w:vMerge w:val="restart"/>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type="dxa" w:w="2694"/>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type="dxa" w:w="851"/>
            <w:vMerge/>
            <w:vAlign w:val="center"/>
          </w:tcPr>
          <w:p w:rsidP="00B04217" w:rsidR="00E27AF2" w:rsidRDefault="00E27AF2" w:rsidRPr="00324C76">
            <w:pPr>
              <w:widowControl/>
              <w:spacing w:before="29" w:line="288" w:lineRule="auto"/>
              <w:jc w:val="left"/>
              <w:rPr>
                <w:color w:val="000000"/>
                <w:kern w:val="0"/>
                <w:sz w:val="24"/>
              </w:rPr>
            </w:pPr>
          </w:p>
        </w:tc>
        <w:tc>
          <w:tcPr>
            <w:tcW w:type="dxa" w:w="850"/>
            <w:vMerge/>
            <w:vAlign w:val="center"/>
          </w:tcPr>
          <w:p w:rsidP="00B04217" w:rsidR="00E27AF2" w:rsidRDefault="00E27AF2" w:rsidRPr="00324C76">
            <w:pPr>
              <w:widowControl/>
              <w:spacing w:before="29" w:line="288" w:lineRule="auto"/>
              <w:jc w:val="left"/>
              <w:rPr>
                <w:color w:val="000000"/>
                <w:kern w:val="0"/>
                <w:sz w:val="24"/>
              </w:rPr>
            </w:pPr>
          </w:p>
        </w:tc>
        <w:tc>
          <w:tcPr>
            <w:tcW w:type="dxa" w:w="1560"/>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type="dxa" w:w="1559"/>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type="dxa" w:w="1417"/>
            <w:vMerge/>
            <w:vAlign w:val="center"/>
          </w:tcPr>
          <w:p w:rsidP="00B04217" w:rsidR="00E27AF2" w:rsidRDefault="00E27AF2" w:rsidRPr="00324C76">
            <w:pPr>
              <w:widowControl/>
              <w:spacing w:before="29" w:line="288" w:lineRule="auto"/>
              <w:jc w:val="left"/>
              <w:rPr>
                <w:color w:val="000000"/>
                <w:kern w:val="0"/>
                <w:sz w:val="24"/>
              </w:rPr>
            </w:pPr>
          </w:p>
        </w:tc>
        <w:tc>
          <w:tcPr>
            <w:tcW w:type="dxa" w:w="2694"/>
            <w:vMerge/>
            <w:vAlign w:val="center"/>
          </w:tcPr>
          <w:p w:rsidP="00B04217" w:rsidR="00E27AF2" w:rsidRDefault="00E27AF2" w:rsidRPr="00324C76">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交银创业板50指数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B04217" w:rsidR="00220542" w:rsidRDefault="00E27AF2" w:rsidRPr="00324C76">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P="00B04217" w:rsidR="00220542"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P="00B04217" w:rsidR="005D278A" w:rsidRDefault="005D278A" w:rsidRPr="00324C76">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B04217" w:rsidR="005D278A"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报告期内本公司严格执行公平交易制度，公平对待旗下各投资组合，未发现任何违反公平交易的行为。</w:t>
      </w:r>
    </w:p>
    <w:p w:rsidP="00B04217" w:rsidR="005D278A" w:rsidRDefault="005D278A" w:rsidRPr="00324C76">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P="00B04217" w:rsidR="005D278A"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B04217" w:rsidR="00220542" w:rsidRDefault="00220542" w:rsidRPr="00324C76">
      <w:pPr>
        <w:spacing w:before="29" w:line="288" w:lineRule="auto"/>
        <w:ind w:firstLine="480" w:firstLineChars="200"/>
        <w:rPr>
          <w:sz w:val="24"/>
        </w:rPr>
      </w:pPr>
    </w:p>
    <w:p w:rsidP="00B04217" w:rsidR="004D6E34" w:rsidRDefault="00360A1E" w:rsidRPr="00324C76">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新冠疫情对全球经济和资本市场均产生较大冲击。国内经济短期的不确定性有所增加，内外需受疫情影响呈现较大幅走低，生产端也因为推迟复工复产而显著回落。三月以来国内疫情得到有效控制，各行各业陆续复工复产，未来随疫情进一步缓解，外部事件影响或将逐步减弱。一季度资本市场受疫情黑天鹅冲击，整体波动较2019年底明显加大。作为跟踪基准指数的指数基金，一季度基金总体呈现宽幅震荡的走势。</w:t>
      </w:r>
    </w:p>
    <w:p w:rsidP="00B04217" w:rsidR="004D6E34"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展望2020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A股市场维持谨慎乐观的看法。</w:t>
      </w:r>
    </w:p>
    <w:p w:rsidP="00B04217" w:rsidR="0092140D" w:rsidRDefault="0092140D" w:rsidRPr="00324C76">
      <w:pPr>
        <w:spacing w:before="29" w:line="288" w:lineRule="auto"/>
        <w:ind w:firstLine="480" w:firstLineChars="200"/>
        <w:rPr>
          <w:color w:val="000000"/>
          <w:sz w:val="24"/>
        </w:rPr>
      </w:pPr>
    </w:p>
    <w:p w:rsidP="00B04217" w:rsidR="004D6E34" w:rsidRDefault="00360A1E" w:rsidRPr="00324C76">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P="00B04217" w:rsidR="004D6E34"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本基金（各类）份额净值及业绩表现请见“3.1主要财务指标” 及“3.2.1 本报告期基金份额净值增长率及其与同期业绩比较基准收益率的比较”部分披露。</w:t>
      </w:r>
    </w:p>
    <w:p w:rsidP="00B04217" w:rsidR="008A22A5" w:rsidRDefault="008A22A5" w:rsidRPr="00324C76">
      <w:pPr>
        <w:spacing w:before="29" w:line="288" w:lineRule="auto"/>
        <w:rPr>
          <w:kern w:val="0"/>
          <w:sz w:val="24"/>
        </w:rPr>
      </w:pPr>
    </w:p>
    <w:p w:rsidP="00700422" w:rsidR="00700422" w:rsidRDefault="0070042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700422" w:rsidR="00700422" w:rsidRDefault="00700422">
      <w:pPr>
        <w:spacing w:before="29" w:line="288" w:lineRule="auto"/>
        <w:ind w:firstLine="480" w:firstLineChars="200"/>
        <w:rPr>
          <w:color w:val="000000"/>
          <w:sz w:val="24"/>
        </w:rPr>
      </w:pPr>
      <w:r w:rsidRPr="002070B4">
        <w:rPr>
          <w:color w:val="000000"/>
          <w:sz w:val="24"/>
        </w:rPr>
        <w:t>本基金本报告期内无需预警说明。</w:t>
      </w:r>
    </w:p>
    <w:p w:rsidP="00B04217" w:rsidR="0092140D" w:rsidRDefault="0092140D" w:rsidRPr="00324C76">
      <w:pPr>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P="00BA170A" w:rsidR="00BA170A" w:rsidRDefault="00BA170A">
      <w:pPr>
        <w:autoSpaceDE w:val="0"/>
        <w:autoSpaceDN w:val="0"/>
        <w:adjustRightInd w:val="0"/>
        <w:spacing w:line="360" w:lineRule="auto"/>
        <w:jc w:val="left"/>
        <w:rPr>
          <w:rFonts w:eastAsiaTheme="minorEastAsia"/>
          <w:b/>
          <w:color w:themeColor="text1" w:val="000000"/>
          <w:kern w:val="0"/>
          <w:sz w:val="24"/>
        </w:rPr>
      </w:pPr>
      <w:r w:rsidRPr="00AE0465">
        <w:rPr>
          <w:rFonts w:eastAsiaTheme="minorEastAsia"/>
          <w:b/>
          <w:color w:themeColor="text1" w:val="000000"/>
          <w:kern w:val="0"/>
          <w:sz w:val="24"/>
        </w:rPr>
        <w:t xml:space="preserve">5.1 </w:t>
      </w:r>
      <w:r w:rsidRPr="00AE0465">
        <w:rPr>
          <w:rFonts w:eastAsiaTheme="minorEastAsia"/>
          <w:b/>
          <w:color w:themeColor="text1" w:val="000000"/>
          <w:kern w:val="0"/>
          <w:sz w:val="24"/>
        </w:rPr>
        <w:t>报告期末基金资产组合情况</w:t>
      </w:r>
    </w:p>
    <w:p w:rsidP="005F16FA" w:rsidR="005F16FA" w:rsidRDefault="005F16FA" w:rsidRPr="005F16FA">
      <w:pPr>
        <w:autoSpaceDE w:val="0"/>
        <w:autoSpaceDN w:val="0"/>
        <w:adjustRightInd w:val="0"/>
        <w:spacing w:line="360" w:lineRule="auto"/>
        <w:jc w:val="right"/>
        <w:rPr>
          <w:rFonts w:eastAsiaTheme="minorEastAsia"/>
          <w:color w:themeColor="text1" w:val="000000"/>
          <w:kern w:val="0"/>
          <w:sz w:val="24"/>
        </w:rPr>
      </w:pPr>
      <w:r w:rsidRPr="005F16FA">
        <w:rPr>
          <w:rFonts w:eastAsiaTheme="minorEastAsia" w:hint="eastAsia"/>
          <w:color w:themeColor="text1" w:val="000000"/>
          <w:kern w:val="0"/>
          <w:sz w:val="24"/>
        </w:rPr>
        <w:t/>
      </w:r>
      <w:proofErr w:type="spellStart"/>
      <w:r w:rsidRPr="005F16FA">
        <w:rPr>
          <w:rFonts w:eastAsiaTheme="minorEastAsia" w:hint="eastAsia"/>
          <w:color w:themeColor="text1" w:val="000000"/>
          <w:kern w:val="0"/>
          <w:sz w:val="24"/>
        </w:rPr>
        <w:t/>
      </w:r>
      <w:proofErr w:type="spellEnd"/>
      <w:r w:rsidRPr="005F16FA">
        <w:rPr>
          <w:rFonts w:eastAsiaTheme="minorEastAsia" w:hint="eastAsia"/>
          <w:color w:themeColor="text1" w:val="000000"/>
          <w:kern w:val="0"/>
          <w:sz w:val="24"/>
        </w:rPr>
        <w:t/>
      </w:r>
      <w:r w:rsidRPr="005F16FA">
        <w:rPr>
          <w:rFonts w:eastAsiaTheme="minorEastAsia" w:hint="eastAsia"/>
          <w:color w:themeColor="text1" w:val="000000"/>
          <w:kern w:val="0"/>
          <w:sz w:val="24"/>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lastRenderedPageBreak/>
              <w:t>序号</w:t>
            </w:r>
          </w:p>
        </w:tc>
        <w:tc>
          <w:tcPr>
            <w:tcW w:type="dxa" w:w="2824"/>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项目</w:t>
            </w:r>
          </w:p>
        </w:tc>
        <w:tc>
          <w:tcPr>
            <w:tcW w:type="dxa" w:w="2552"/>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金额</w:t>
            </w:r>
          </w:p>
        </w:tc>
        <w:tc>
          <w:tcPr>
            <w:tcW w:type="dxa" w:w="2801"/>
            <w:vAlign w:val="center"/>
          </w:tcPr>
          <w:p w:rsidP="002D2971" w:rsidR="00BA170A" w:rsidRDefault="00644EC3"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占基金总资产的比例</w:t>
            </w:r>
            <w:r>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1</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权益投资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1,499,259.20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2.41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其中：股票</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1,499,259.20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2.41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2</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ascii="宋体" w:hAnsi="宋体" w:hint="eastAsia"/>
                <w:sz w:val="24"/>
              </w:rPr>
              <w:t>基金投资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hint="eastAsia"/>
                <w:color w:themeColor="text1" w:val="000000"/>
                <w:sz w:val="24"/>
              </w:rPr>
              <w:t>56,449,437.50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hint="eastAsia"/>
                <w:color w:themeColor="text1" w:val="000000"/>
                <w:sz w:val="24"/>
              </w:rPr>
              <w:t>90.65</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3</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固定收益投资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其中：债券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AE0465" w:rsidR="00BA170A" w:rsidRDefault="00BA170A" w:rsidRPr="00AE0465">
            <w:pPr>
              <w:autoSpaceDE w:val="0"/>
              <w:autoSpaceDN w:val="0"/>
              <w:adjustRightInd w:val="0"/>
              <w:spacing w:before="29" w:line="360" w:lineRule="auto"/>
              <w:ind w:firstLine="720" w:firstLineChars="300" w:left="17"/>
              <w:jc w:val="left"/>
              <w:rPr>
                <w:rFonts w:eastAsiaTheme="minorEastAsia"/>
                <w:color w:themeColor="text1" w:val="000000"/>
                <w:sz w:val="24"/>
              </w:rPr>
            </w:pPr>
            <w:r w:rsidRPr="00AE0465">
              <w:rPr>
                <w:rFonts w:eastAsiaTheme="minorEastAsia"/>
                <w:color w:themeColor="text1" w:val="000000"/>
                <w:sz w:val="24"/>
              </w:rPr>
              <w:t>资产支持证券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4</w:t>
            </w:r>
          </w:p>
        </w:tc>
        <w:tc>
          <w:tcPr>
            <w:tcW w:type="dxa" w:w="2824"/>
            <w:vAlign w:val="center"/>
          </w:tcPr>
          <w:p w:rsidP="002D2971" w:rsidR="00BA170A" w:rsidRDefault="00BA170A" w:rsidRPr="00AE0465">
            <w:pPr>
              <w:spacing w:before="29" w:line="360" w:lineRule="auto"/>
              <w:ind w:left="105" w:leftChars="50"/>
              <w:rPr>
                <w:rFonts w:eastAsiaTheme="minorEastAsia"/>
                <w:color w:themeColor="text1" w:val="000000"/>
                <w:sz w:val="24"/>
              </w:rPr>
            </w:pPr>
            <w:r w:rsidRPr="00AE0465">
              <w:rPr>
                <w:rFonts w:eastAsiaTheme="minorEastAsia"/>
                <w:color w:themeColor="text1" w:val="000000"/>
                <w:sz w:val="24"/>
              </w:rPr>
              <w:t>贵金属投资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5</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金融衍生品投资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r w:rsidRPr="00AE0465">
              <w:rPr>
                <w:rFonts w:eastAsiaTheme="minorEastAsia"/>
                <w:color w:themeColor="text1" w:val="000000"/>
                <w:sz w:val="24"/>
              </w:rPr>
              <w:lastRenderedPageBreak/>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lastRenderedPageBreak/>
              <w:t>6</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其中：买断式回购的买入返售金融资产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7</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银行存款和结算备付金合计</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3,891,570.01</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6.25</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8</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其他各项资产</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432,080.65</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0.69</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9</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合计</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62,272,347.36</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100.00</w:t>
            </w:r>
          </w:p>
        </w:tc>
      </w:tr>
    </w:tbl>
    <w:p w:rsidP="00B04217" w:rsidR="00D83335" w:rsidRDefault="00D83335" w:rsidRPr="00324C76">
      <w:pPr>
        <w:autoSpaceDE w:val="0"/>
        <w:autoSpaceDN w:val="0"/>
        <w:adjustRightInd w:val="0"/>
        <w:spacing w:before="29" w:line="288" w:lineRule="auto"/>
        <w:jc w:val="left"/>
        <w:rPr>
          <w:sz w:val="24"/>
        </w:rPr>
      </w:pPr>
    </w:p>
    <w:p w:rsidP="00B04217" w:rsidR="00D83335" w:rsidRDefault="00D83335" w:rsidRPr="00324C76">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1265"/>
        <w:gridCol w:w="1266"/>
        <w:gridCol w:w="1267"/>
        <w:gridCol w:w="1267"/>
        <w:gridCol w:w="1267"/>
        <w:gridCol w:w="1268"/>
        <w:gridCol w:w="1268"/>
      </w:tblGrid>
      <w:tr w:rsidR="00AD036A" w:rsidRPr="00324C76" w:rsidTr="00E42623">
        <w:trPr>
          <w:jc w:val="center"/>
        </w:trPr>
        <w:tc>
          <w:tcPr>
            <w:tcW w:type="dxa" w:w="1215"/>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序号</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基金名称</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基金类型</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运作方式</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管理人</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占基金资产净值比</w:t>
            </w:r>
            <w:r w:rsidRPr="00324C76">
              <w:rPr>
                <w:kern w:val="0"/>
                <w:sz w:val="24"/>
              </w:rPr>
              <w:lastRenderedPageBreak/>
              <w:t>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深证300价值交易型开放式指数证券投资基金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56,449,437.50</w:t>
            </w:r>
          </w:p>
        </w:tc>
        <w:tc>
          <w:tcPr>
            <w:vAlign w:val="center"/>
          </w:tcPr>
          <w:p>
            <w:pPr>
              <w:jc w:val="right"/>
            </w:pPr>
            <w:r>
              <w:rPr>
                <w:sz w:val="24"/>
              </w:rPr>
              <w:t>91.53</w:t>
            </w:r>
          </w:p>
        </w:tc>
      </w:tr>
    </w:tbl>
    <w:p w:rsidP="00B04217" w:rsidR="00C640D9" w:rsidRDefault="00C640D9"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P="000D27BF" w:rsidR="000D27BF" w:rsidRDefault="000D27BF">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Pr>
          <w:rFonts w:eastAsiaTheme="minorEastAsia" w:hint="eastAsia"/>
          <w:b/>
          <w:color w:themeColor="text1" w:val="000000"/>
          <w:kern w:val="0"/>
          <w:sz w:val="24"/>
        </w:rPr>
        <w:t>5.3</w:t>
      </w:r>
      <w:r w:rsidRPr="004A3846">
        <w:rPr>
          <w:rFonts w:eastAsiaTheme="minorEastAsia" w:hint="eastAsia"/>
          <w:b/>
          <w:color w:themeColor="text1" w:val="000000"/>
          <w:kern w:val="0"/>
          <w:sz w:val="24"/>
        </w:rPr>
        <w:t>.1</w:t>
      </w:r>
      <w:r w:rsidRPr="004A3846">
        <w:rPr>
          <w:rFonts w:eastAsiaTheme="minorEastAsia" w:hint="eastAsia"/>
          <w:b/>
          <w:color w:themeColor="text1" w:val="000000"/>
          <w:kern w:val="0"/>
          <w:sz w:val="24"/>
        </w:rPr>
        <w:t>报告期末按行业分类的境内股票投资组合</w:t>
      </w:r>
    </w:p>
    <w:p w:rsidP="00D17C3D" w:rsidR="00D17C3D" w:rsidRDefault="00D17C3D" w:rsidRPr="005312D8">
      <w:pPr>
        <w:autoSpaceDE w:val="0"/>
        <w:autoSpaceDN w:val="0"/>
        <w:adjustRightInd w:val="0"/>
        <w:spacing w:before="29" w:line="288" w:lineRule="auto"/>
        <w:ind w:left="15"/>
        <w:jc w:val="right"/>
        <w:rPr>
          <w:color w:val="000000"/>
          <w:kern w:val="0"/>
          <w:sz w:val="24"/>
        </w:rPr>
      </w:pPr>
      <w:r w:rsidRPr="005312D8">
        <w:rPr>
          <w:color w:val="000000"/>
          <w:sz w:val="24"/>
        </w:rPr>
        <w:t/>
      </w:r>
      <w:proofErr w:type="spellStart"/>
      <w:r w:rsidRPr="005312D8">
        <w:rPr>
          <w:color w:val="000000"/>
          <w:sz w:val="24"/>
        </w:rPr>
        <w:t/>
      </w:r>
      <w:proofErr w:type="spellEnd"/>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bottom w:type="dxa" w:w="-1"/>
        </w:tblCellMar>
        <w:tblLook w:firstColumn="0" w:firstRow="0" w:lastColumn="0" w:lastRow="0" w:noHBand="0" w:noVBand="0" w:val="0000"/>
      </w:tblPr>
      <w:tblGrid>
        <w:gridCol w:w="845"/>
        <w:gridCol w:w="3453"/>
        <w:gridCol w:w="3115"/>
        <w:gridCol w:w="1455"/>
      </w:tblGrid>
      <w:tr w:rsidR="003634D5" w:rsidRPr="00324C76" w:rsidTr="00EF1D5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代码</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行业类别</w:t>
            </w:r>
            <w:r w:rsidR="000E0611" w:rsidRPr="00324C76">
              <w:rPr>
                <w:sz w:val="24"/>
              </w:rPr>
              <w:t/>
            </w:r>
            <w:proofErr w:type="spellStart"/>
            <w:r w:rsidR="000E0611" w:rsidRPr="00324C76">
              <w:rPr>
                <w:sz w:val="24"/>
              </w:rPr>
              <w:t/>
            </w:r>
            <w:proofErr w:type="spellEnd"/>
            <w:r w:rsidR="000E0611" w:rsidRPr="00324C76">
              <w:rPr>
                <w:sz w:val="24"/>
              </w:rPr>
              <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C78B5" w:rsidR="003634D5" w:rsidRDefault="003634D5" w:rsidRPr="00324C76">
            <w:pPr>
              <w:adjustRightInd w:val="0"/>
              <w:snapToGrid w:val="0"/>
              <w:spacing w:before="29" w:line="288" w:lineRule="auto"/>
              <w:jc w:val="center"/>
              <w:rPr>
                <w:sz w:val="24"/>
              </w:rPr>
            </w:pPr>
            <w:r w:rsidRPr="00324C76">
              <w:rPr>
                <w:sz w:val="24"/>
              </w:rPr>
              <w:t>公允价值</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A</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农、林、牧、渔业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
            </w:r>
            <w:proofErr w:type="spellStart"/>
            <w:r w:rsidRPr="00324C76">
              <w:rPr>
                <w:sz w:val="24"/>
              </w:rPr>
              <w:t/>
            </w:r>
            <w:proofErr w:type="spellEnd"/>
            <w:r w:rsidRPr="00324C76">
              <w:rPr>
                <w:sz w:val="24"/>
              </w:rPr>
              <w:t>7,095.00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
            </w:r>
            <w:proofErr w:type="spellStart"/>
            <w:r w:rsidRPr="00324C76">
              <w:rPr>
                <w:sz w:val="24"/>
              </w:rPr>
              <w:t/>
            </w:r>
            <w:proofErr w:type="spellEnd"/>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B</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采矿业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74B0F"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9,965.00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74B0F"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C</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制造业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1,008,253.20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1.63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D</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电力、热力、燃气及水生产和供应业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19,089.00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0.03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lastRenderedPageBreak/>
              <w:t>E</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建筑业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16,289.00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F</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批发和零售业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32,926.00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0.05</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G</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交通运输、仓储和邮政业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11,076.00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H</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住宿和餐饮业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027942">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I</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027942" w:rsidR="003634D5" w:rsidRDefault="003634D5" w:rsidRPr="00324C76">
            <w:pPr>
              <w:adjustRightInd w:val="0"/>
              <w:snapToGrid w:val="0"/>
              <w:spacing w:before="29" w:line="288" w:lineRule="auto"/>
              <w:rPr>
                <w:sz w:val="24"/>
              </w:rPr>
            </w:pPr>
            <w:r w:rsidRPr="00324C76">
              <w:rPr>
                <w:sz w:val="24"/>
              </w:rPr>
              <w:t>信息传输、软件和信息技术服务业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11,202.00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J</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金融业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165,892.00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r w:rsidRPr="00324C76">
              <w:rPr>
                <w:sz w:val="24"/>
              </w:rPr>
              <w:lastRenderedPageBreak/>
              <w:t/>
            </w:r>
            <w:proofErr w:type="spellEnd"/>
            <w:r w:rsidRPr="00324C76">
              <w:rPr>
                <w:sz w:val="24"/>
              </w:rPr>
              <w:t>0.27</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K</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房地产业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200,556.00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0.33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L</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租赁和商务服务业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4,930.00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M</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科学研究和技术服务业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N</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水利、环境和公共设施管理业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11,986.00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0.02</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O</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居民服务、修理和其他服务业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P</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教育</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r w:rsidRPr="00324C76">
              <w:rPr>
                <w:sz w:val="24"/>
              </w:rPr>
              <w:lastRenderedPageBreak/>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Q</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卫生和社会工作</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R</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文化、体育和娱乐业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S</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综合</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合计</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1,499,259.20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2.43</w:t>
            </w:r>
          </w:p>
        </w:tc>
      </w:tr>
    </w:tbl>
    <w:p w:rsidP="000D27BF" w:rsidR="000D27BF" w:rsidRDefault="000D27BF"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Pr>
          <w:rFonts w:asciiTheme="minorEastAsia" w:eastAsiaTheme="minorEastAsia" w:hAnsiTheme="minorEastAsia" w:hint="eastAsia"/>
          <w:b/>
          <w:bCs/>
          <w:color w:themeColor="text1" w:val="000000"/>
          <w:kern w:val="0"/>
          <w:sz w:val="24"/>
        </w:rPr>
        <w:t>5.3</w:t>
      </w:r>
      <w:r w:rsidRPr="008A409E">
        <w:rPr>
          <w:rFonts w:asciiTheme="minorEastAsia" w:eastAsiaTheme="minorEastAsia" w:hAnsiTheme="minorEastAsia" w:hint="eastAsia"/>
          <w:b/>
          <w:bCs/>
          <w:color w:themeColor="text1" w:val="000000"/>
          <w:kern w:val="0"/>
          <w:sz w:val="24"/>
        </w:rPr>
        <w:t>.2报告期末按行业分类的</w:t>
      </w:r>
      <w:r w:rsidR="0047622F">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0D27BF" w:rsidR="000D27BF" w:rsidRDefault="000D27BF">
      <w:pPr>
        <w:spacing w:before="29" w:line="360" w:lineRule="auto"/>
        <w:ind w:left="17"/>
        <w:rPr>
          <w:color w:val="000000"/>
          <w:sz w:val="24"/>
        </w:rPr>
      </w:pPr>
      <w:r w:rsidRPr="00FF0BBF">
        <w:rPr>
          <w:color w:val="000000"/>
          <w:sz w:val="24"/>
        </w:rPr>
        <w:lastRenderedPageBreak/>
        <w:t/>
      </w:r>
      <w:proofErr w:type="spellStart"/>
      <w:r w:rsidRPr="00FF0BBF">
        <w:rPr>
          <w:color w:val="000000"/>
          <w:sz w:val="24"/>
        </w:rPr>
        <w:t/>
      </w:r>
      <w:proofErr w:type="spellEnd"/>
      <w:r w:rsidRPr="00FF0BBF">
        <w:rPr>
          <w:color w:val="000000"/>
          <w:sz w:val="24"/>
        </w:rPr>
        <w:t/>
      </w:r>
      <w:proofErr w:type="spellStart"/>
      <w:r w:rsidRPr="00FF0BBF">
        <w:rPr>
          <w:color w:val="000000"/>
          <w:sz w:val="24"/>
        </w:rPr>
        <w:t/>
      </w:r>
      <w:proofErr w:type="spellEnd"/>
      <w:r w:rsidRPr="00FF0BBF">
        <w:rPr>
          <w:color w:val="000000"/>
          <w:sz w:val="24"/>
        </w:rPr>
        <w:t>本基金本报告期末未持有通过港股通投资的股票。</w:t>
      </w:r>
    </w:p>
    <w:p w:rsidP="00B04217" w:rsidR="00220542" w:rsidRDefault="00220542" w:rsidRPr="000D27BF">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49"/>
        <w:gridCol w:w="1327"/>
        <w:gridCol w:w="1621"/>
        <w:gridCol w:w="1769"/>
        <w:gridCol w:w="2211"/>
        <w:gridCol w:w="1091"/>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股票代码</w:t>
            </w:r>
          </w:p>
        </w:tc>
        <w:tc>
          <w:tcPr>
            <w:tcW w:type="dxa" w:w="1559"/>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股票名称</w:t>
            </w:r>
          </w:p>
        </w:tc>
        <w:tc>
          <w:tcPr>
            <w:tcW w:type="dxa" w:w="17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type="dxa" w:w="2126"/>
            <w:vAlign w:val="center"/>
          </w:tcPr>
          <w:p w:rsidP="00B04217" w:rsidR="00BA574A" w:rsidRDefault="00BA574A" w:rsidRPr="00324C76">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049"/>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3,300</w:t>
            </w:r>
          </w:p>
        </w:tc>
        <w:tc>
          <w:tcPr>
            <w:vAlign w:val="center"/>
          </w:tcPr>
          <w:p>
            <w:pPr>
              <w:jc w:val="right"/>
            </w:pPr>
            <w:r>
              <w:rPr>
                <w:color w:val="000000"/>
                <w:sz w:val="24"/>
              </w:rPr>
              <w:t>172,260.00</w:t>
            </w:r>
          </w:p>
        </w:tc>
        <w:tc>
          <w:tcPr>
            <w:vAlign w:val="center"/>
          </w:tcPr>
          <w:p>
            <w:pPr>
              <w:jc w:val="right"/>
            </w:pPr>
            <w:r>
              <w:rPr>
                <w:color w:val="000000"/>
                <w:sz w:val="24"/>
              </w:rPr>
              <w:t>0.28</w:t>
            </w:r>
          </w:p>
        </w:tc>
      </w:tr>
      <w:tr>
        <w:tc>
          <w:tcPr>
            <w:vAlign w:val="center"/>
          </w:tcPr>
          <w:p>
            <w:pPr>
              <w:jc w:val="center"/>
            </w:pPr>
            <w:r>
              <w:rPr>
                <w:color w:val="000000"/>
                <w:sz w:val="24"/>
              </w:rPr>
              <w:t>2</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3,530</w:t>
            </w:r>
          </w:p>
        </w:tc>
        <w:tc>
          <w:tcPr>
            <w:vAlign w:val="center"/>
          </w:tcPr>
          <w:p>
            <w:pPr>
              <w:jc w:val="right"/>
            </w:pPr>
            <w:r>
              <w:rPr>
                <w:color w:val="000000"/>
                <w:sz w:val="24"/>
              </w:rPr>
              <w:t>170,922.60</w:t>
            </w:r>
          </w:p>
        </w:tc>
        <w:tc>
          <w:tcPr>
            <w:vAlign w:val="center"/>
          </w:tcPr>
          <w:p>
            <w:pPr>
              <w:jc w:val="right"/>
            </w:pPr>
            <w:r>
              <w:rPr>
                <w:color w:val="000000"/>
                <w:sz w:val="24"/>
              </w:rPr>
              <w:t>0.28</w:t>
            </w:r>
          </w:p>
        </w:tc>
      </w:tr>
      <w:tr>
        <w:tc>
          <w:tcPr>
            <w:vAlign w:val="center"/>
          </w:tcPr>
          <w:p>
            <w:pPr>
              <w:jc w:val="center"/>
            </w:pPr>
            <w:r>
              <w:rPr>
                <w:color w:val="000000"/>
                <w:sz w:val="24"/>
              </w:rPr>
              <w:t>3</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4,100</w:t>
            </w:r>
          </w:p>
        </w:tc>
        <w:tc>
          <w:tcPr>
            <w:vAlign w:val="center"/>
          </w:tcPr>
          <w:p>
            <w:pPr>
              <w:jc w:val="right"/>
            </w:pPr>
            <w:r>
              <w:rPr>
                <w:color w:val="000000"/>
                <w:sz w:val="24"/>
              </w:rPr>
              <w:t>105,165.00</w:t>
            </w:r>
          </w:p>
        </w:tc>
        <w:tc>
          <w:tcPr>
            <w:vAlign w:val="center"/>
          </w:tcPr>
          <w:p>
            <w:pPr>
              <w:jc w:val="right"/>
            </w:pPr>
            <w:r>
              <w:rPr>
                <w:color w:val="000000"/>
                <w:sz w:val="24"/>
              </w:rPr>
              <w:t>0.17</w:t>
            </w:r>
          </w:p>
        </w:tc>
      </w:tr>
      <w:tr>
        <w:tc>
          <w:tcPr>
            <w:vAlign w:val="center"/>
          </w:tcPr>
          <w:p>
            <w:pPr>
              <w:jc w:val="center"/>
            </w:pPr>
            <w:r>
              <w:rPr>
                <w:color w:val="000000"/>
                <w:sz w:val="24"/>
              </w:rPr>
              <w:t>4</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6,600</w:t>
            </w:r>
          </w:p>
        </w:tc>
        <w:tc>
          <w:tcPr>
            <w:vAlign w:val="center"/>
          </w:tcPr>
          <w:p>
            <w:pPr>
              <w:jc w:val="right"/>
            </w:pPr>
            <w:r>
              <w:rPr>
                <w:color w:val="000000"/>
                <w:sz w:val="24"/>
              </w:rPr>
              <w:t>84,480.00</w:t>
            </w:r>
          </w:p>
        </w:tc>
        <w:tc>
          <w:tcPr>
            <w:vAlign w:val="center"/>
          </w:tcPr>
          <w:p>
            <w:pPr>
              <w:jc w:val="right"/>
            </w:pPr>
            <w:r>
              <w:rPr>
                <w:color w:val="000000"/>
                <w:sz w:val="24"/>
              </w:rPr>
              <w:t>0.14</w:t>
            </w:r>
          </w:p>
        </w:tc>
      </w:tr>
      <w:tr>
        <w:tc>
          <w:tcPr>
            <w:vAlign w:val="center"/>
          </w:tcPr>
          <w:p>
            <w:pPr>
              <w:jc w:val="center"/>
            </w:pPr>
            <w:r>
              <w:rPr>
                <w:color w:val="000000"/>
                <w:sz w:val="24"/>
              </w:rPr>
              <w:t>5</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18,200</w:t>
            </w:r>
          </w:p>
        </w:tc>
        <w:tc>
          <w:tcPr>
            <w:vAlign w:val="center"/>
          </w:tcPr>
          <w:p>
            <w:pPr>
              <w:jc w:val="right"/>
            </w:pPr>
            <w:r>
              <w:rPr>
                <w:color w:val="000000"/>
                <w:sz w:val="24"/>
              </w:rPr>
              <w:t>67,522.00</w:t>
            </w:r>
          </w:p>
        </w:tc>
        <w:tc>
          <w:tcPr>
            <w:vAlign w:val="center"/>
          </w:tcPr>
          <w:p>
            <w:pPr>
              <w:jc w:val="right"/>
            </w:pPr>
            <w:r>
              <w:rPr>
                <w:color w:val="000000"/>
                <w:sz w:val="24"/>
              </w:rPr>
              <w:t>0.11</w:t>
            </w:r>
          </w:p>
        </w:tc>
      </w:tr>
      <w:tr>
        <w:tc>
          <w:tcPr>
            <w:vAlign w:val="center"/>
          </w:tcPr>
          <w:p>
            <w:pPr>
              <w:jc w:val="center"/>
            </w:pPr>
            <w:r>
              <w:rPr>
                <w:color w:val="000000"/>
                <w:sz w:val="24"/>
              </w:rPr>
              <w:t>6</w:t>
            </w:r>
          </w:p>
        </w:tc>
        <w:tc>
          <w:tcPr>
            <w:vAlign w:val="center"/>
          </w:tcPr>
          <w:p>
            <w:pPr>
              <w:jc w:val="center"/>
            </w:pPr>
            <w:r>
              <w:rPr>
                <w:color w:val="000000"/>
                <w:sz w:val="24"/>
              </w:rPr>
              <w:t>000338</w:t>
            </w:r>
          </w:p>
        </w:tc>
        <w:tc>
          <w:tcPr>
            <w:vAlign w:val="center"/>
          </w:tcPr>
          <w:p>
            <w:pPr>
              <w:jc w:val="center"/>
            </w:pPr>
            <w:r>
              <w:rPr>
                <w:color w:val="000000"/>
                <w:sz w:val="24"/>
              </w:rPr>
              <w:t>潍柴动力</w:t>
            </w:r>
          </w:p>
        </w:tc>
        <w:tc>
          <w:tcPr>
            <w:vAlign w:val="center"/>
          </w:tcPr>
          <w:p>
            <w:pPr>
              <w:jc w:val="right"/>
            </w:pPr>
            <w:r>
              <w:rPr>
                <w:color w:val="000000"/>
                <w:sz w:val="24"/>
              </w:rPr>
              <w:t>3,200</w:t>
            </w:r>
          </w:p>
        </w:tc>
        <w:tc>
          <w:tcPr>
            <w:vAlign w:val="center"/>
          </w:tcPr>
          <w:p>
            <w:pPr>
              <w:jc w:val="right"/>
            </w:pPr>
            <w:r>
              <w:rPr>
                <w:color w:val="000000"/>
                <w:sz w:val="24"/>
              </w:rPr>
              <w:t>38,272.00</w:t>
            </w:r>
          </w:p>
        </w:tc>
        <w:tc>
          <w:tcPr>
            <w:vAlign w:val="center"/>
          </w:tcPr>
          <w:p>
            <w:pPr>
              <w:jc w:val="right"/>
            </w:pPr>
            <w:r>
              <w:rPr>
                <w:color w:val="000000"/>
                <w:sz w:val="24"/>
              </w:rPr>
              <w:t>0.06</w:t>
            </w:r>
          </w:p>
        </w:tc>
      </w:tr>
      <w:tr>
        <w:tc>
          <w:tcPr>
            <w:vAlign w:val="center"/>
          </w:tcPr>
          <w:p>
            <w:pPr>
              <w:jc w:val="center"/>
            </w:pPr>
            <w:r>
              <w:rPr>
                <w:color w:val="000000"/>
                <w:sz w:val="24"/>
              </w:rPr>
              <w:t>7</w:t>
            </w:r>
          </w:p>
        </w:tc>
        <w:tc>
          <w:tcPr>
            <w:vAlign w:val="center"/>
          </w:tcPr>
          <w:p>
            <w:pPr>
              <w:jc w:val="center"/>
            </w:pPr>
            <w:r>
              <w:rPr>
                <w:color w:val="000000"/>
                <w:sz w:val="24"/>
              </w:rPr>
              <w:t>000568</w:t>
            </w:r>
          </w:p>
        </w:tc>
        <w:tc>
          <w:tcPr>
            <w:vAlign w:val="center"/>
          </w:tcPr>
          <w:p>
            <w:pPr>
              <w:jc w:val="center"/>
            </w:pPr>
            <w:r>
              <w:rPr>
                <w:color w:val="000000"/>
                <w:sz w:val="24"/>
              </w:rPr>
              <w:t>泸州老窖</w:t>
            </w:r>
          </w:p>
        </w:tc>
        <w:tc>
          <w:tcPr>
            <w:vAlign w:val="center"/>
          </w:tcPr>
          <w:p>
            <w:pPr>
              <w:jc w:val="right"/>
            </w:pPr>
            <w:r>
              <w:rPr>
                <w:color w:val="000000"/>
                <w:sz w:val="24"/>
              </w:rPr>
              <w:t>500</w:t>
            </w:r>
          </w:p>
        </w:tc>
        <w:tc>
          <w:tcPr>
            <w:vAlign w:val="center"/>
          </w:tcPr>
          <w:p>
            <w:pPr>
              <w:jc w:val="right"/>
            </w:pPr>
            <w:r>
              <w:rPr>
                <w:color w:val="000000"/>
                <w:sz w:val="24"/>
              </w:rPr>
              <w:t>36,825.00</w:t>
            </w:r>
          </w:p>
        </w:tc>
        <w:tc>
          <w:tcPr>
            <w:vAlign w:val="center"/>
          </w:tcPr>
          <w:p>
            <w:pPr>
              <w:jc w:val="right"/>
            </w:pPr>
            <w:r>
              <w:rPr>
                <w:color w:val="000000"/>
                <w:sz w:val="24"/>
              </w:rPr>
              <w:t>0.06</w:t>
            </w:r>
          </w:p>
        </w:tc>
      </w:tr>
      <w:tr>
        <w:tc>
          <w:tcPr>
            <w:vAlign w:val="center"/>
          </w:tcPr>
          <w:p>
            <w:pPr>
              <w:jc w:val="center"/>
            </w:pPr>
            <w:r>
              <w:rPr>
                <w:color w:val="000000"/>
                <w:sz w:val="24"/>
              </w:rPr>
              <w:t>8</w:t>
            </w:r>
          </w:p>
        </w:tc>
        <w:tc>
          <w:tcPr>
            <w:vAlign w:val="center"/>
          </w:tcPr>
          <w:p>
            <w:pPr>
              <w:jc w:val="center"/>
            </w:pPr>
            <w:r>
              <w:rPr>
                <w:color w:val="000000"/>
                <w:sz w:val="24"/>
              </w:rPr>
              <w:t>001979</w:t>
            </w:r>
          </w:p>
        </w:tc>
        <w:tc>
          <w:tcPr>
            <w:vAlign w:val="center"/>
          </w:tcPr>
          <w:p>
            <w:pPr>
              <w:jc w:val="center"/>
            </w:pPr>
            <w:r>
              <w:rPr>
                <w:color w:val="000000"/>
                <w:sz w:val="24"/>
              </w:rPr>
              <w:t>招商蛇口</w:t>
            </w:r>
          </w:p>
        </w:tc>
        <w:tc>
          <w:tcPr>
            <w:vAlign w:val="center"/>
          </w:tcPr>
          <w:p>
            <w:pPr>
              <w:jc w:val="right"/>
            </w:pPr>
            <w:r>
              <w:rPr>
                <w:color w:val="000000"/>
                <w:sz w:val="24"/>
              </w:rPr>
              <w:t>2,200</w:t>
            </w:r>
          </w:p>
        </w:tc>
        <w:tc>
          <w:tcPr>
            <w:vAlign w:val="center"/>
          </w:tcPr>
          <w:p>
            <w:pPr>
              <w:jc w:val="right"/>
            </w:pPr>
            <w:r>
              <w:rPr>
                <w:color w:val="000000"/>
                <w:sz w:val="24"/>
              </w:rPr>
              <w:t>36,256.00</w:t>
            </w:r>
          </w:p>
        </w:tc>
        <w:tc>
          <w:tcPr>
            <w:vAlign w:val="center"/>
          </w:tcPr>
          <w:p>
            <w:pPr>
              <w:jc w:val="right"/>
            </w:pPr>
            <w:r>
              <w:rPr>
                <w:color w:val="000000"/>
                <w:sz w:val="24"/>
              </w:rPr>
              <w:t>0.06</w:t>
            </w:r>
          </w:p>
        </w:tc>
      </w:tr>
      <w:tr>
        <w:tc>
          <w:tcPr>
            <w:vAlign w:val="center"/>
          </w:tcPr>
          <w:p>
            <w:pPr>
              <w:jc w:val="center"/>
            </w:pPr>
            <w:r>
              <w:rPr>
                <w:color w:val="000000"/>
                <w:sz w:val="24"/>
              </w:rPr>
              <w:t>9</w:t>
            </w:r>
          </w:p>
        </w:tc>
        <w:tc>
          <w:tcPr>
            <w:vAlign w:val="center"/>
          </w:tcPr>
          <w:p>
            <w:pPr>
              <w:jc w:val="center"/>
            </w:pPr>
            <w:r>
              <w:rPr>
                <w:color w:val="000000"/>
                <w:sz w:val="24"/>
              </w:rPr>
              <w:t>000100</w:t>
            </w:r>
          </w:p>
        </w:tc>
        <w:tc>
          <w:tcPr>
            <w:vAlign w:val="center"/>
          </w:tcPr>
          <w:p>
            <w:pPr>
              <w:jc w:val="center"/>
            </w:pPr>
            <w:r>
              <w:rPr>
                <w:color w:val="000000"/>
                <w:sz w:val="24"/>
              </w:rPr>
              <w:t>TCL科技</w:t>
            </w:r>
          </w:p>
        </w:tc>
        <w:tc>
          <w:tcPr>
            <w:vAlign w:val="center"/>
          </w:tcPr>
          <w:p>
            <w:pPr>
              <w:jc w:val="right"/>
            </w:pPr>
            <w:r>
              <w:rPr>
                <w:color w:val="000000"/>
                <w:sz w:val="24"/>
              </w:rPr>
              <w:t>8,700</w:t>
            </w:r>
          </w:p>
        </w:tc>
        <w:tc>
          <w:tcPr>
            <w:vAlign w:val="center"/>
          </w:tcPr>
          <w:p>
            <w:pPr>
              <w:jc w:val="right"/>
            </w:pPr>
            <w:r>
              <w:rPr>
                <w:color w:val="000000"/>
                <w:sz w:val="24"/>
              </w:rPr>
              <w:t>36,018.00</w:t>
            </w:r>
          </w:p>
        </w:tc>
        <w:tc>
          <w:tcPr>
            <w:vAlign w:val="center"/>
          </w:tcPr>
          <w:p>
            <w:pPr>
              <w:jc w:val="right"/>
            </w:pPr>
            <w:r>
              <w:rPr>
                <w:color w:val="000000"/>
                <w:sz w:val="24"/>
              </w:rPr>
              <w:t>0.06</w:t>
            </w:r>
          </w:p>
        </w:tc>
      </w:tr>
      <w:tr>
        <w:tc>
          <w:tcPr>
            <w:vAlign w:val="center"/>
          </w:tcPr>
          <w:p>
            <w:pPr>
              <w:jc w:val="center"/>
            </w:pPr>
            <w:r>
              <w:rPr>
                <w:color w:val="000000"/>
                <w:sz w:val="24"/>
              </w:rPr>
              <w:t>10</w:t>
            </w:r>
          </w:p>
        </w:tc>
        <w:tc>
          <w:tcPr>
            <w:vAlign w:val="center"/>
          </w:tcPr>
          <w:p>
            <w:pPr>
              <w:jc w:val="center"/>
            </w:pPr>
            <w:r>
              <w:rPr>
                <w:color w:val="000000"/>
                <w:sz w:val="24"/>
              </w:rPr>
              <w:t>002304</w:t>
            </w:r>
          </w:p>
        </w:tc>
        <w:tc>
          <w:tcPr>
            <w:vAlign w:val="center"/>
          </w:tcPr>
          <w:p>
            <w:pPr>
              <w:jc w:val="center"/>
            </w:pPr>
            <w:r>
              <w:rPr>
                <w:color w:val="000000"/>
                <w:sz w:val="24"/>
              </w:rPr>
              <w:t>洋河股份</w:t>
            </w:r>
          </w:p>
        </w:tc>
        <w:tc>
          <w:tcPr>
            <w:vAlign w:val="center"/>
          </w:tcPr>
          <w:p>
            <w:pPr>
              <w:jc w:val="right"/>
            </w:pPr>
            <w:r>
              <w:rPr>
                <w:color w:val="000000"/>
                <w:sz w:val="24"/>
              </w:rPr>
              <w:t>400</w:t>
            </w:r>
          </w:p>
        </w:tc>
        <w:tc>
          <w:tcPr>
            <w:vAlign w:val="center"/>
          </w:tcPr>
          <w:p>
            <w:pPr>
              <w:jc w:val="right"/>
            </w:pPr>
            <w:r>
              <w:rPr>
                <w:color w:val="000000"/>
                <w:sz w:val="24"/>
              </w:rPr>
              <w:t>33,548.00</w:t>
            </w:r>
          </w:p>
        </w:tc>
        <w:tc>
          <w:tcPr>
            <w:vAlign w:val="center"/>
          </w:tcPr>
          <w:p>
            <w:pPr>
              <w:jc w:val="right"/>
            </w:pPr>
            <w:r>
              <w:rPr>
                <w:color w:val="000000"/>
                <w:sz w:val="24"/>
              </w:rPr>
              <w:t>0.05</w:t>
            </w:r>
          </w:p>
        </w:tc>
      </w:tr>
    </w:tbl>
    <w:p w:rsidP="00B04217" w:rsidR="00BA574A" w:rsidRDefault="00BA574A"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本基金本报告期末未持有债券。</w:t>
      </w: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lastRenderedPageBreak/>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本基金本报告期末未持有债券。</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本基金本报告期末未持有资产支持证券。</w:t>
      </w:r>
    </w:p>
    <w:p w:rsidP="00B04217" w:rsidR="00220542" w:rsidRDefault="00220542" w:rsidRPr="00324C76">
      <w:pPr>
        <w:autoSpaceDE w:val="0"/>
        <w:autoSpaceDN w:val="0"/>
        <w:adjustRightInd w:val="0"/>
        <w:spacing w:before="29" w:line="288" w:lineRule="auto"/>
        <w:jc w:val="left"/>
        <w:rPr>
          <w:kern w:val="0"/>
          <w:sz w:val="24"/>
        </w:rPr>
      </w:pPr>
    </w:p>
    <w:p w:rsidP="00B04217" w:rsidR="002A089C" w:rsidRDefault="002A089C" w:rsidRPr="00324C76">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P="00B04217" w:rsidR="002A089C" w:rsidRDefault="002A089C" w:rsidRPr="002124AD">
      <w:pPr>
        <w:autoSpaceDE w:val="0"/>
        <w:autoSpaceDN w:val="0"/>
        <w:adjustRightInd w:val="0"/>
        <w:spacing w:before="29" w:line="288" w:lineRule="auto"/>
        <w:jc w:val="left"/>
        <w:rPr>
          <w:sz w:val="24"/>
        </w:rPr>
      </w:pPr>
      <w:r w:rsidRPr="002124AD">
        <w:rPr>
          <w:sz w:val="24"/>
        </w:rPr>
        <w:t/>
      </w:r>
      <w:proofErr w:type="spellStart"/>
      <w:r w:rsidRPr="002124AD">
        <w:rPr>
          <w:sz w:val="24"/>
        </w:rPr>
        <w:t/>
      </w:r>
      <w:proofErr w:type="spellEnd"/>
      <w:r w:rsidRPr="002124AD">
        <w:rPr>
          <w:sz w:val="24"/>
        </w:rPr>
        <w:t/>
      </w:r>
      <w:proofErr w:type="spellStart"/>
      <w:r w:rsidRPr="002124AD">
        <w:rPr>
          <w:sz w:val="24"/>
        </w:rPr>
        <w:t/>
      </w:r>
      <w:proofErr w:type="spellEnd"/>
      <w:r w:rsidRPr="002124AD">
        <w:rPr>
          <w:sz w:val="24"/>
        </w:rPr>
        <w:t>本基金本报告期末未持有贵金属。</w:t>
      </w:r>
    </w:p>
    <w:p w:rsidP="00B04217" w:rsidR="002A089C" w:rsidRDefault="002A089C" w:rsidRPr="00324C76">
      <w:pPr>
        <w:autoSpaceDE w:val="0"/>
        <w:autoSpaceDN w:val="0"/>
        <w:adjustRightInd w:val="0"/>
        <w:spacing w:before="29" w:line="288" w:lineRule="auto"/>
        <w:jc w:val="left"/>
        <w:rPr>
          <w:kern w:val="0"/>
          <w:sz w:val="24"/>
        </w:rPr>
      </w:pPr>
    </w:p>
    <w:p w:rsidP="00B04217" w:rsidR="008D6BC7" w:rsidRDefault="008D6BC7" w:rsidRPr="00324C76">
      <w:pPr>
        <w:autoSpaceDE w:val="0"/>
        <w:autoSpaceDN w:val="0"/>
        <w:adjustRightInd w:val="0"/>
        <w:spacing w:before="29" w:line="288" w:lineRule="auto"/>
        <w:jc w:val="left"/>
        <w:rPr>
          <w:b/>
          <w:kern w:val="0"/>
          <w:sz w:val="24"/>
        </w:rPr>
      </w:pPr>
      <w:r w:rsidRPr="00324C76">
        <w:rPr>
          <w:b/>
          <w:kern w:val="0"/>
          <w:sz w:val="24"/>
        </w:rPr>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P="00B04217" w:rsidR="008D6BC7" w:rsidRDefault="008D6BC7"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本基金本报告期末未持有权证。</w:t>
      </w:r>
    </w:p>
    <w:p w:rsidP="00B04217" w:rsidR="008D6BC7" w:rsidRDefault="008D6BC7" w:rsidRPr="00324C76">
      <w:pPr>
        <w:autoSpaceDE w:val="0"/>
        <w:autoSpaceDN w:val="0"/>
        <w:adjustRightInd w:val="0"/>
        <w:spacing w:before="29" w:line="288" w:lineRule="auto"/>
        <w:jc w:val="left"/>
        <w:rPr>
          <w:kern w:val="0"/>
          <w:sz w:val="24"/>
        </w:rPr>
      </w:pPr>
    </w:p>
    <w:p w:rsidP="00B04217" w:rsidR="00C73818" w:rsidRDefault="009F2BEF" w:rsidRPr="00324C76">
      <w:pPr>
        <w:adjustRightInd w:val="0"/>
        <w:snapToGrid w:val="0"/>
        <w:spacing w:before="29" w:line="288" w:lineRule="auto"/>
        <w:rPr>
          <w:b/>
          <w:sz w:val="24"/>
        </w:rPr>
      </w:pPr>
      <w:r w:rsidRPr="00324C76">
        <w:rPr>
          <w:b/>
          <w:sz w:val="24"/>
        </w:rPr>
        <w:t/>
      </w:r>
      <w:proofErr w:type="spellStart"/>
      <w:r w:rsidRPr="00324C76">
        <w:rPr>
          <w:b/>
          <w:sz w:val="24"/>
        </w:rPr>
        <w:t/>
      </w:r>
      <w:proofErr w:type="spellEnd"/>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P="00B04217" w:rsidR="00C73818" w:rsidRDefault="00046A8E"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本基金本报告期末未持有股指期货。</w:t>
      </w:r>
    </w:p>
    <w:p w:rsidP="00B04217" w:rsidR="00046A8E" w:rsidRDefault="00046A8E" w:rsidRPr="00324C76">
      <w:pPr>
        <w:autoSpaceDE w:val="0"/>
        <w:autoSpaceDN w:val="0"/>
        <w:adjustRightInd w:val="0"/>
        <w:spacing w:before="29" w:line="288" w:lineRule="auto"/>
        <w:jc w:val="left"/>
        <w:rPr>
          <w:sz w:val="24"/>
        </w:rPr>
      </w:pPr>
    </w:p>
    <w:p w:rsidP="00B04217" w:rsidR="008D6BC7" w:rsidRDefault="008D6BC7" w:rsidRPr="00324C76">
      <w:pPr>
        <w:adjustRightInd w:val="0"/>
        <w:snapToGrid w:val="0"/>
        <w:spacing w:before="29" w:line="288" w:lineRule="auto"/>
        <w:rPr>
          <w:b/>
          <w:sz w:val="24"/>
        </w:rPr>
      </w:pPr>
      <w:r w:rsidRPr="00324C76">
        <w:rPr>
          <w:b/>
          <w:sz w:val="24"/>
        </w:rPr>
        <w:t/>
      </w:r>
      <w:proofErr w:type="spellStart"/>
      <w:r w:rsidRPr="00324C76">
        <w:rPr>
          <w:b/>
          <w:sz w:val="24"/>
        </w:rPr>
        <w:t/>
      </w:r>
      <w:proofErr w:type="spellEnd"/>
      <w:r w:rsidRPr="00324C76">
        <w:rPr>
          <w:b/>
          <w:sz w:val="24"/>
        </w:rPr>
        <w:t>5.11</w:t>
      </w:r>
      <w:r w:rsidRPr="00324C76">
        <w:rPr>
          <w:b/>
          <w:sz w:val="24"/>
        </w:rPr>
        <w:t>报告期末本基金投资的国债期货交易情况说明</w:t>
      </w:r>
    </w:p>
    <w:p w:rsidP="00B04217" w:rsidR="008D6BC7" w:rsidRDefault="008D6BC7"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本基金本报告期末未持有国债期货。</w:t>
      </w:r>
    </w:p>
    <w:p w:rsidP="00B04217" w:rsidR="000A7493" w:rsidRDefault="000A7493"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P="00BD6051" w:rsidR="00786656" w:rsidRDefault="00786656" w:rsidRPr="00120EC8">
      <w:pPr>
        <w:autoSpaceDE w:val="0"/>
        <w:autoSpaceDN w:val="0"/>
        <w:adjustRightInd w:val="0"/>
        <w:spacing w:before="29" w:line="288" w:lineRule="auto"/>
        <w:rPr>
          <w:kern w:val="0"/>
          <w:sz w:val="24"/>
        </w:rPr>
      </w:pPr>
      <w:r w:rsidRPr="00970A7F">
        <w:rPr>
          <w:b/>
          <w:kern w:val="0"/>
          <w:sz w:val="24"/>
        </w:rPr>
        <w:t/>
      </w:r>
      <w:proofErr w:type="gramStart"/>
      <w:r w:rsidRPr="00970A7F">
        <w:rPr>
          <w:b/>
          <w:kern w:val="0"/>
          <w:sz w:val="24"/>
        </w:rPr>
        <w:t/>
      </w:r>
      <w:proofErr w:type="gramEnd"/>
      <w:r w:rsidRPr="00970A7F">
        <w:rPr>
          <w:b/>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P="00BD6051" w:rsidR="00786656" w:rsidRDefault="00786656" w:rsidRPr="00120EC8">
      <w:pPr>
        <w:autoSpaceDE w:val="0"/>
        <w:autoSpaceDN w:val="0"/>
        <w:adjustRightInd w:val="0"/>
        <w:spacing w:before="29" w:line="288" w:lineRule="auto"/>
        <w:rPr>
          <w:kern w:val="0"/>
          <w:sz w:val="24"/>
        </w:rPr>
      </w:pPr>
      <w:bookmarkStart w:id="3" w:name="_GoBack"/>
      <w:r w:rsidRPr="00970A7F">
        <w:rPr>
          <w:b/>
          <w:kern w:val="0"/>
          <w:sz w:val="24"/>
        </w:rPr>
        <w:t/>
      </w:r>
      <w:proofErr w:type="gramStart"/>
      <w:r w:rsidRPr="00970A7F">
        <w:rPr>
          <w:b/>
          <w:kern w:val="0"/>
          <w:sz w:val="24"/>
        </w:rPr>
        <w:t/>
      </w:r>
      <w:proofErr w:type="gramEnd"/>
      <w:r w:rsidRPr="00970A7F">
        <w:rPr>
          <w:b/>
          <w:kern w:val="0"/>
          <w:sz w:val="24"/>
        </w:rPr>
        <w:t>5.12.2</w:t>
      </w:r>
      <w:bookmarkEnd w:id="3"/>
      <w:r w:rsidRPr="00120EC8">
        <w:rPr>
          <w:kern w:val="0"/>
          <w:sz w:val="24"/>
        </w:rPr>
        <w:t>本基金投资的前十名股票中，没有超出基金合同规定的备选股票库之外的股票。</w:t>
      </w:r>
    </w:p>
    <w:p w:rsidP="00B04217" w:rsidR="00220542" w:rsidRDefault="007D10B0" w:rsidRPr="00390F9A">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P="000A02AE" w:rsidR="000A02AE" w:rsidRDefault="000A02AE" w:rsidRPr="00120EC8">
      <w:pPr>
        <w:autoSpaceDE w:val="0"/>
        <w:autoSpaceDN w:val="0"/>
        <w:adjustRightInd w:val="0"/>
        <w:spacing w:before="29" w:line="288" w:lineRule="auto"/>
        <w:jc w:val="right"/>
        <w:rPr>
          <w:kern w:val="0"/>
          <w:sz w:val="24"/>
        </w:rPr>
      </w:pPr>
      <w:r w:rsidRPr="000A02AE">
        <w:rPr>
          <w:rFonts w:hint="eastAsia"/>
          <w:kern w:val="0"/>
          <w:sz w:val="24"/>
        </w:rPr>
        <w:t/>
      </w:r>
      <w:proofErr w:type="spellStart"/>
      <w:r w:rsidRPr="000A02AE">
        <w:rPr>
          <w:rFonts w:hint="eastAsia"/>
          <w:kern w:val="0"/>
          <w:sz w:val="24"/>
        </w:rPr>
        <w:t/>
      </w:r>
      <w:proofErr w:type="spellEnd"/>
      <w:r w:rsidRPr="000A02AE">
        <w:rPr>
          <w:rFonts w:hint="eastAsia"/>
          <w:kern w:val="0"/>
          <w:sz w:val="24"/>
        </w:rPr>
        <w:t/>
      </w:r>
      <w:r w:rsidRPr="000A02AE">
        <w:rPr>
          <w:rFonts w:hint="eastAsia"/>
          <w:kern w:val="0"/>
          <w:sz w:val="24"/>
        </w:rPr>
        <w:t>金额单位：人民币元</w:t>
      </w:r>
    </w:p>
    <w:tbl>
      <w:tblPr>
        <w:tblStyle w:val="af7"/>
        <w:tblW w:type="dxa" w:w="8868"/>
        <w:jc w:val="center"/>
        <w:tblLook w:firstColumn="1" w:firstRow="1" w:lastColumn="0" w:lastRow="0" w:noHBand="0" w:noVBand="1" w:val="04A0"/>
      </w:tblPr>
      <w:tblGrid>
        <w:gridCol w:w="1244"/>
        <w:gridCol w:w="2781"/>
        <w:gridCol w:w="4843"/>
      </w:tblGrid>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type="dxa" w:w="2761"/>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type="dxa" w:w="4808"/>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11,005.49</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2</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283,627.75</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3</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4</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1,065.77</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5</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136,381.64</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6</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7</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8</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9</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432,080.65</w:t>
            </w:r>
          </w:p>
        </w:tc>
      </w:tr>
    </w:tbl>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本基金本报告期末未持有处于转股期的可转换债券。</w:t>
      </w:r>
    </w:p>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P="00B04217" w:rsidR="00220542" w:rsidRDefault="00A40C1C" w:rsidRPr="00324C76">
      <w:pPr>
        <w:autoSpaceDE w:val="0"/>
        <w:autoSpaceDN w:val="0"/>
        <w:adjustRightInd w:val="0"/>
        <w:spacing w:before="29" w:line="288" w:lineRule="auto"/>
        <w:jc w:val="left"/>
        <w:rPr>
          <w:sz w:val="24"/>
        </w:rPr>
      </w:pPr>
      <w:r w:rsidRPr="00324C76">
        <w:rPr>
          <w:sz w:val="24"/>
        </w:rPr>
        <w:t>本基金本报告期末前十名股票中不存在流通受限情况。</w:t>
      </w:r>
    </w:p>
    <w:p w:rsidP="00B04217" w:rsidR="00A40C1C" w:rsidRDefault="00B31ADE" w:rsidRPr="00390F9A">
      <w:pPr>
        <w:spacing w:before="29" w:line="288" w:lineRule="auto"/>
        <w:rPr>
          <w:b/>
          <w:color w:val="000000"/>
          <w:kern w:val="0"/>
          <w:sz w:val="24"/>
        </w:rPr>
      </w:pPr>
      <w:r w:rsidRPr="00390F9A">
        <w:rPr>
          <w:b/>
          <w:color w:val="000000"/>
          <w:kern w:val="0"/>
          <w:sz w:val="24"/>
        </w:rPr>
        <w:t/>
      </w:r>
      <w:proofErr w:type="spellStart"/>
      <w:r w:rsidRPr="00390F9A">
        <w:rPr>
          <w:b/>
          <w:color w:val="000000"/>
          <w:kern w:val="0"/>
          <w:sz w:val="24"/>
        </w:rPr>
        <w:t/>
      </w:r>
      <w:proofErr w:type="spellEnd"/>
      <w:r w:rsidRPr="00390F9A">
        <w:rPr>
          <w:b/>
          <w:color w:val="000000"/>
          <w:kern w:val="0"/>
          <w:sz w:val="24"/>
        </w:rPr>
        <w:t/>
      </w:r>
      <w:r w:rsidR="007D10B0" w:rsidRPr="00390F9A">
        <w:rPr>
          <w:b/>
          <w:kern w:val="0"/>
          <w:sz w:val="24"/>
        </w:rPr>
        <w:t>5.12.6</w:t>
      </w:r>
      <w:r w:rsidR="00A40C1C" w:rsidRPr="00390F9A">
        <w:rPr>
          <w:b/>
          <w:color w:val="000000"/>
          <w:kern w:val="0"/>
          <w:sz w:val="24"/>
        </w:rPr>
        <w:t>投资组合报告附注的其他文字描述部分</w:t>
      </w:r>
    </w:p>
    <w:p w:rsidP="00B04217" w:rsidR="002620C9" w:rsidRDefault="00A40C1C" w:rsidRPr="00324C76">
      <w:pPr>
        <w:spacing w:before="29" w:line="288" w:lineRule="auto"/>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由于四舍五入的原因，分项之和与合计项之间可能存在尾差。</w:t>
      </w:r>
    </w:p>
    <w:p w:rsidP="00B04217" w:rsidR="00232D92" w:rsidRDefault="00232D92" w:rsidRPr="00324C76">
      <w:pPr>
        <w:spacing w:before="29" w:line="288" w:lineRule="auto"/>
        <w:rPr>
          <w:color w:val="000000"/>
          <w:sz w:val="24"/>
        </w:rPr>
      </w:pPr>
    </w:p>
    <w:p w:rsidP="0048293C" w:rsidR="00220542" w:rsidRDefault="00805F23" w:rsidRPr="00324C76">
      <w:pPr>
        <w:pStyle w:val="1"/>
        <w:spacing w:after="312" w:afterLines="100" w:before="312" w:beforeLines="100" w:line="288" w:lineRule="auto"/>
        <w:jc w:val="center"/>
        <w:rPr>
          <w:kern w:val="0"/>
          <w:sz w:val="24"/>
          <w:szCs w:val="24"/>
        </w:rPr>
      </w:pPr>
      <w:r w:rsidRPr="00C51B4E">
        <w:rPr>
          <w:rFonts w:eastAsiaTheme="minorEastAsia"/>
          <w:color w:themeColor="text1" w:val="000000"/>
          <w:kern w:val="0"/>
          <w:sz w:val="21"/>
          <w:szCs w:val="21"/>
        </w:rPr>
        <w:lastRenderedPageBreak/>
        <w:t/>
      </w:r>
      <w:proofErr w:type="spellStart"/>
      <w:r w:rsidRPr="00C51B4E">
        <w:rPr>
          <w:rFonts w:eastAsiaTheme="minorEastAsia"/>
          <w:color w:themeColor="text1" w:val="000000"/>
          <w:kern w:val="0"/>
          <w:sz w:val="21"/>
          <w:szCs w:val="21"/>
        </w:rPr>
        <w:t/>
      </w:r>
      <w:proofErr w:type="spellEnd"/>
      <w:r w:rsidRPr="00C51B4E">
        <w:rPr>
          <w:rFonts w:eastAsiaTheme="minorEastAsia"/>
          <w:color w:themeColor="text1" w:val="000000"/>
          <w:kern w:val="0"/>
          <w:sz w:val="21"/>
          <w:szCs w:val="21"/>
        </w:rPr>
        <w:t>§6</w:t>
      </w:r>
      <w:r>
        <w:rPr>
          <w:rFonts w:eastAsiaTheme="minorEastAsia" w:hint="eastAsia"/>
          <w:color w:themeColor="text1" w:val="000000"/>
          <w:kern w:val="0"/>
          <w:sz w:val="21"/>
          <w:szCs w:val="21"/>
        </w:rPr>
        <w:t xml:space="preserve"> </w:t>
      </w:r>
      <w:r w:rsidR="00C66A9E">
        <w:rPr>
          <w:rFonts w:eastAsiaTheme="minorEastAsia"/>
          <w:color w:themeColor="text1" w:val="000000"/>
          <w:kern w:val="0"/>
          <w:sz w:val="21"/>
          <w:szCs w:val="21"/>
        </w:rPr>
        <w:t xml:space="preserve"> </w:t>
      </w:r>
      <w:r w:rsidR="00220542" w:rsidRPr="00324C76">
        <w:rPr>
          <w:kern w:val="0"/>
          <w:sz w:val="24"/>
          <w:szCs w:val="24"/>
        </w:rPr>
        <w:t>开放式基金份额变动</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单位：份</w:t>
      </w:r>
    </w:p>
    <w:tbl>
      <w:tblPr>
        <w:tblW w:type="dxa" w:w="8868"/>
        <w:jc w:val="center"/>
        <w:tblLayout w:type="fixed"/>
        <w:tblLook w:firstColumn="0" w:firstRow="0" w:lastColumn="0" w:lastRow="0" w:noHBand="0" w:noVBand="0" w:val="0000"/>
      </w:tblPr>
      <w:tblGrid>
        <w:gridCol w:w="4734"/>
        <w:gridCol w:w="4134"/>
      </w:tblGrid>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006B68"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r w:rsidR="00A40C1C" w:rsidRPr="00324C76">
              <w:rPr>
                <w:color w:val="000000"/>
                <w:sz w:val="24"/>
              </w:rPr>
              <w:t>38,598,424.59</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9,724,956.17</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
            </w:r>
            <w:proofErr w:type="spellStart"/>
            <w:r w:rsidR="006973EC" w:rsidRPr="00324C76">
              <w:rPr>
                <w:color w:val="000000"/>
                <w:kern w:val="0"/>
                <w:sz w:val="24"/>
              </w:rPr>
              <w:t/>
            </w:r>
            <w:proofErr w:type="spellEnd"/>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11,381,304.00</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F11CB"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36,942,076.76</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P="00B04217" w:rsidR="00220542" w:rsidRDefault="00A40C1C"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 xml:space="preserve">    2、如果本报告期间发生转换出业务，则总赎回份额中包含该业务。</w:t>
      </w:r>
    </w:p>
    <w:p w:rsidP="00B04217" w:rsidR="00035465" w:rsidRDefault="00035465">
      <w:pPr>
        <w:autoSpaceDE w:val="0"/>
        <w:autoSpaceDN w:val="0"/>
        <w:adjustRightInd w:val="0"/>
        <w:spacing w:before="29" w:line="288" w:lineRule="auto"/>
        <w:jc w:val="left"/>
        <w:rPr>
          <w:sz w:val="24"/>
        </w:rPr>
      </w:pPr>
    </w:p>
    <w:p w:rsidP="0048293C" w:rsidR="00F229B7" w:rsidRDefault="00805F23" w:rsidRPr="00F229B7">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
      </w:r>
      <w:proofErr w:type="spellStart"/>
      <w:r>
        <w:rPr>
          <w:rFonts w:eastAsiaTheme="minorEastAsia"/>
          <w:color w:val="000000"/>
          <w:kern w:val="0"/>
          <w:sz w:val="24"/>
          <w:szCs w:val="24"/>
        </w:rPr>
        <w:t/>
      </w:r>
      <w:proofErr w:type="spellEnd"/>
      <w:r>
        <w:rPr>
          <w:rFonts w:eastAsiaTheme="minorEastAsia"/>
          <w:color w:val="000000"/>
          <w:kern w:val="0"/>
          <w:sz w:val="24"/>
          <w:szCs w:val="24"/>
        </w:rPr>
        <w:t>§</w:t>
      </w:r>
      <w:r>
        <w:rPr>
          <w:rFonts w:eastAsiaTheme="minorEastAsia" w:hint="eastAsia"/>
          <w:color w:val="000000"/>
          <w:kern w:val="0"/>
          <w:sz w:val="24"/>
          <w:szCs w:val="24"/>
        </w:rPr>
        <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P="00B04217" w:rsidR="00F229B7" w:rsidRDefault="00F229B7" w:rsidRPr="00F229B7">
      <w:pPr>
        <w:spacing w:line="288" w:lineRule="auto"/>
        <w:jc w:val="left"/>
        <w:rPr>
          <w:sz w:val="24"/>
        </w:rPr>
      </w:pPr>
      <w:r w:rsidRPr="00F229B7">
        <w:rPr>
          <w:b/>
          <w:sz w:val="24"/>
        </w:rPr>
        <w:t/>
      </w:r>
      <w:proofErr w:type="spellStart"/>
      <w:r w:rsidRPr="00F229B7">
        <w:rPr>
          <w:b/>
          <w:sz w:val="24"/>
        </w:rPr>
        <w:t/>
      </w:r>
      <w:proofErr w:type="spellEnd"/>
      <w:r w:rsidRPr="00F229B7">
        <w:rPr>
          <w:b/>
          <w:sz w:val="24"/>
        </w:rPr>
        <w:t xml:space="preserve">7.1 </w:t>
      </w:r>
      <w:r w:rsidRPr="00F229B7">
        <w:rPr>
          <w:b/>
          <w:sz w:val="24"/>
        </w:rPr>
        <w:t>基金管理人持有本基金份额变动情况</w:t>
      </w:r>
    </w:p>
    <w:p w:rsidP="00B04217" w:rsidR="00F229B7" w:rsidRDefault="00F229B7" w:rsidRPr="00F229B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sz w:val="24"/>
        </w:rPr>
        <w:t/>
      </w:r>
      <w:proofErr w:type="spellStart"/>
      <w:r w:rsidRPr="00F229B7">
        <w:rPr>
          <w:rFonts w:eastAsiaTheme="minorEastAsia"/>
          <w:sz w:val="24"/>
        </w:rPr>
        <w:t/>
      </w:r>
      <w:proofErr w:type="spellEnd"/>
      <w:r w:rsidRPr="00F229B7">
        <w:rPr>
          <w:rFonts w:eastAsiaTheme="minorEastAsia"/>
          <w:sz w:val="24"/>
        </w:rPr>
        <w:t/>
      </w:r>
      <w:r w:rsidRPr="00F229B7">
        <w:rPr>
          <w:rFonts w:eastAsiaTheme="minorEastAsia" w:hAnsiTheme="minorEastAsia"/>
          <w:color w:val="000000"/>
          <w:kern w:val="0"/>
          <w:sz w:val="24"/>
        </w:rPr>
        <w:t>单位：份</w:t>
      </w:r>
    </w:p>
    <w:tbl>
      <w:tblPr>
        <w:tblW w:type="dxa" w:w="8868"/>
        <w:jc w:val="center"/>
        <w:tblLayout w:type="fixed"/>
        <w:tblLook w:firstColumn="1" w:firstRow="1" w:lastColumn="0" w:lastRow="0" w:noHBand="0" w:noVBand="1" w:val="04A0"/>
      </w:tblPr>
      <w:tblGrid>
        <w:gridCol w:w="5308"/>
        <w:gridCol w:w="3560"/>
      </w:tblGrid>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r w:rsidRPr="00F229B7">
              <w:rPr>
                <w:rFonts w:eastAsiaTheme="minorEastAsia"/>
                <w:szCs w:val="24"/>
              </w:rPr>
              <w:t/>
            </w:r>
            <w:proofErr w:type="spellStart"/>
            <w:r w:rsidRPr="00F229B7">
              <w:rPr>
                <w:rFonts w:eastAsiaTheme="minorEastAsia"/>
                <w:szCs w:val="24"/>
              </w:rPr>
              <w:t/>
            </w:r>
            <w:proofErr w:type="spellEnd"/>
            <w:r w:rsidRPr="00F229B7">
              <w:rPr>
                <w:rFonts w:eastAsiaTheme="minorEastAsia"/>
                <w:szCs w:val="24"/>
              </w:rPr>
              <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rFonts w:eastAsiaTheme="minorEastAsia"/>
                <w:color w:val="000000"/>
                <w:kern w:val="0"/>
                <w:sz w:val="24"/>
              </w:rPr>
              <w:t/>
            </w:r>
            <w:proofErr w:type="spellStart"/>
            <w:r w:rsidRPr="00F229B7">
              <w:rPr>
                <w:rFonts w:eastAsiaTheme="minorEastAsia"/>
                <w:color w:val="000000"/>
                <w:kern w:val="0"/>
                <w:sz w:val="24"/>
              </w:rPr>
              <w:t/>
            </w:r>
            <w:proofErr w:type="spellEnd"/>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rFonts w:eastAsiaTheme="minorEastAsia"/>
                <w:color w:val="000000"/>
                <w:kern w:val="0"/>
                <w:sz w:val="24"/>
              </w:rPr>
              <w:t/>
            </w:r>
            <w:proofErr w:type="spellStart"/>
            <w:r w:rsidRPr="00F229B7">
              <w:rPr>
                <w:rFonts w:eastAsiaTheme="minorEastAsia"/>
                <w:color w:val="000000"/>
                <w:kern w:val="0"/>
                <w:sz w:val="24"/>
              </w:rPr>
              <w:t/>
            </w:r>
            <w:proofErr w:type="spellEnd"/>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color w:val="000000"/>
                <w:sz w:val="24"/>
              </w:rPr>
              <w:t>报告期期末管理人持有的本基金份额</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sz w:val="24"/>
              </w:rPr>
            </w:pP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13,122,703.41</w:t>
            </w:r>
          </w:p>
        </w:tc>
      </w:tr>
      <w:tr w:rsidR="00F229B7" w:rsidRPr="00F229B7" w:rsidTr="00784955">
        <w:trPr>
          <w:jc w:val="center"/>
        </w:trPr>
        <w:tc>
          <w:tcPr>
            <w:tcW w:type="dxa" w:w="5308"/>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type="dxa" w:w="3560"/>
            <w:tcBorders>
              <w:top w:color="000000" w:space="0" w:sz="8" w:val="single"/>
              <w:left w:color="000000" w:space="0" w:sz="8" w:val="single"/>
              <w:bottom w:color="000000" w:space="0" w:sz="8" w:val="single"/>
              <w:right w:color="000000" w:space="0" w:sz="8" w:val="single"/>
            </w:tcBorders>
            <w:vAlign w:val="center"/>
            <w:hideMark/>
          </w:tcPr>
          <w:p w:rsidP="00B04217" w:rsidR="00F229B7" w:rsidRDefault="00F229B7" w:rsidRPr="00F229B7">
            <w:pPr>
              <w:spacing w:line="288" w:lineRule="auto"/>
              <w:jc w:val="right"/>
              <w:rPr>
                <w:rFonts w:eastAsiaTheme="minorEastAsia"/>
                <w:color w:val="000000"/>
                <w:kern w:val="0"/>
                <w:sz w:val="24"/>
              </w:rPr>
            </w:pP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35.52</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B04217" w:rsidR="00F20F7C" w:rsidRDefault="00F229B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lastRenderedPageBreak/>
        <w:t/>
      </w:r>
      <w:r w:rsidR="00784955">
        <w:rPr>
          <w:rFonts w:eastAsiaTheme="minorEastAsia" w:hint="eastAsia"/>
          <w:color w:val="000000"/>
          <w:sz w:val="24"/>
        </w:rPr>
        <w:t/>
      </w: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2、如果本报告期间发生转换出业务，则总赎回份额中包含该业务。</w:t>
      </w:r>
    </w:p>
    <w:p w:rsidP="00B04217" w:rsidR="00F20F7C" w:rsidRDefault="00F20F7C">
      <w:pPr>
        <w:autoSpaceDE w:val="0"/>
        <w:autoSpaceDN w:val="0"/>
        <w:adjustRightInd w:val="0"/>
        <w:spacing w:before="29" w:line="288" w:lineRule="auto"/>
        <w:jc w:val="left"/>
        <w:rPr>
          <w:rFonts w:eastAsiaTheme="minorEastAsia"/>
          <w:color w:val="000000"/>
          <w:sz w:val="24"/>
        </w:rPr>
      </w:pPr>
    </w:p>
    <w:p w:rsidP="009744C4" w:rsidR="00F20F7C" w:rsidRDefault="00F229B7" w:rsidRPr="00F20F7C">
      <w:pPr>
        <w:spacing w:line="288" w:lineRule="auto"/>
        <w:jc w:val="left"/>
        <w:rPr>
          <w:rFonts w:eastAsiaTheme="minorEastAsia"/>
          <w:b/>
          <w:color w:val="000000"/>
          <w:sz w:val="24"/>
        </w:rPr>
      </w:pPr>
      <w:r w:rsidRPr="00F20F7C">
        <w:rPr>
          <w:b/>
          <w:sz w:val="24"/>
        </w:rPr>
        <w:t/>
      </w:r>
      <w:proofErr w:type="spellStart"/>
      <w:r w:rsidRPr="00F20F7C">
        <w:rPr>
          <w:b/>
          <w:sz w:val="24"/>
        </w:rPr>
        <w:t/>
      </w:r>
      <w:proofErr w:type="spellEnd"/>
      <w:r w:rsidRPr="00F20F7C">
        <w:rPr>
          <w:b/>
          <w:sz w:val="24"/>
        </w:rPr>
        <w:t xml:space="preserve">7.2 </w:t>
      </w:r>
      <w:r w:rsidRPr="00F20F7C">
        <w:rPr>
          <w:rFonts w:hint="eastAsia"/>
          <w:b/>
          <w:sz w:val="24"/>
        </w:rPr>
        <w:t>基金管理人运用固有资金投资本基金交易明细</w:t>
      </w:r>
    </w:p>
    <w:p w:rsidP="00B04217" w:rsidR="00EF07DC" w:rsidRDefault="00EF07DC"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本基金管理人本报告期内未进行本基金的申购、赎回、红利再投等。</w:t>
      </w:r>
    </w:p>
    <w:p w:rsidP="00B04217" w:rsidR="00016A56" w:rsidRDefault="00016A56" w:rsidRPr="00324C76">
      <w:pPr>
        <w:autoSpaceDE w:val="0"/>
        <w:autoSpaceDN w:val="0"/>
        <w:adjustRightInd w:val="0"/>
        <w:spacing w:before="29" w:line="288" w:lineRule="auto"/>
        <w:jc w:val="left"/>
        <w:rPr>
          <w:color w:val="000000"/>
          <w:sz w:val="24"/>
        </w:rPr>
      </w:pPr>
    </w:p>
    <w:p w:rsidP="0048293C" w:rsidR="00696A7B" w:rsidRDefault="00C500CD">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w:t>
      </w:r>
      <w:r w:rsidR="00696A7B">
        <w:rPr>
          <w:rFonts w:asciiTheme="minorEastAsia" w:cs="Arial" w:eastAsiaTheme="minorEastAsia" w:hAnsiTheme="minorEastAsia" w:hint="eastAsia"/>
          <w:color w:themeColor="text1" w:val="000000"/>
          <w:kern w:val="0"/>
          <w:sz w:val="24"/>
          <w:szCs w:val="24"/>
        </w:rPr>
        <w:t/>
      </w:r>
      <w:proofErr w:type="spellStart"/>
      <w:r w:rsidR="00696A7B">
        <w:rPr>
          <w:rFonts w:asciiTheme="minorEastAsia" w:cs="Arial" w:eastAsiaTheme="minorEastAsia" w:hAnsiTheme="minorEastAsia" w:hint="eastAsia"/>
          <w:color w:themeColor="text1" w:val="000000"/>
          <w:kern w:val="0"/>
          <w:sz w:val="24"/>
          <w:szCs w:val="24"/>
        </w:rPr>
        <w:t/>
      </w:r>
      <w:proofErr w:type="spellEnd"/>
      <w:r w:rsidR="00696A7B">
        <w:rPr>
          <w:rFonts w:asciiTheme="minorEastAsia" w:cs="Arial" w:eastAsiaTheme="minorEastAsia" w:hAnsiTheme="minorEastAsia" w:hint="eastAsia"/>
          <w:color w:themeColor="text1" w:val="000000"/>
          <w:kern w:val="0"/>
          <w:sz w:val="24"/>
          <w:szCs w:val="24"/>
        </w:rPr>
        <w:t>8</w:t>
      </w:r>
      <w:r w:rsidR="00C66A9E">
        <w:rPr>
          <w:rFonts w:asciiTheme="minorEastAsia" w:cs="Arial" w:eastAsiaTheme="minorEastAsia" w:hAnsiTheme="minorEastAsia"/>
          <w:color w:themeColor="text1" w:val="000000"/>
          <w:kern w:val="0"/>
          <w:sz w:val="24"/>
          <w:szCs w:val="24"/>
        </w:rPr>
        <w:t xml:space="preserve">  </w:t>
      </w:r>
      <w:r w:rsidR="00696A7B">
        <w:rPr>
          <w:rFonts w:asciiTheme="minorEastAsia" w:cs="Arial" w:eastAsiaTheme="minorEastAsia" w:hAnsiTheme="minorEastAsia" w:hint="eastAsia"/>
          <w:color w:themeColor="text1" w:val="000000"/>
          <w:kern w:val="0"/>
          <w:sz w:val="24"/>
          <w:szCs w:val="24"/>
        </w:rPr>
        <w:t>影响投资者决策的其他重要信息</w:t>
      </w:r>
    </w:p>
    <w:p w:rsidP="00696A7B" w:rsidR="00696A7B" w:rsidRDefault="00696A7B">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696A7B" w:rsidTr="00696A7B">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投资者类别</w:t>
            </w:r>
            <w:proofErr w:type="spellStart"/>
            <w:r>
              <w:rPr>
                <w:rFonts w:ascii="宋体" w:hAnsi="宋体" w:hint="eastAsia"/>
                <w:color w:val="000000"/>
                <w:kern w:val="0"/>
                <w:sz w:val="24"/>
              </w:rPr>
              <w:t/>
            </w:r>
            <w:proofErr w:type="spellEnd"/>
            <w:r>
              <w:rPr>
                <w:rFonts w:ascii="宋体" w:hAnsi="宋体" w:hint="eastAsia"/>
                <w:color w:val="000000"/>
                <w:kern w:val="0"/>
                <w:sz w:val="24"/>
              </w:rPr>
              <w:t/>
            </w:r>
            <w:proofErr w:type="spellStart"/>
            <w:r>
              <w:rPr>
                <w:rFonts w:ascii="宋体" w:hAnsi="宋体" w:hint="eastAsia"/>
                <w:color w:val="000000"/>
                <w:kern w:val="0"/>
                <w:sz w:val="24"/>
              </w:rPr>
              <w:t/>
            </w:r>
            <w:proofErr w:type="spellEnd"/>
            <w:r>
              <w:rPr>
                <w:rFonts w:ascii="宋体" w:hAnsi="宋体" w:hint="eastAsia"/>
                <w:color w:val="000000"/>
                <w:kern w:val="0"/>
                <w:sz w:val="24"/>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报告期末持有基金情况</w:t>
            </w:r>
          </w:p>
        </w:tc>
      </w:tr>
      <w:tr w:rsidR="00696A7B" w:rsidTr="00696A7B">
        <w:tc>
          <w:tcPr>
            <w:tcW w:type="dxa" w:w="993"/>
            <w:vMerge/>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left"/>
              <w:rPr>
                <w:rFonts w:ascii="宋体" w:hAnsi="宋体"/>
                <w:b/>
                <w:bCs/>
                <w:color w:val="000000"/>
                <w:kern w:val="0"/>
                <w:sz w:val="24"/>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696A7B" w:rsidRDefault="00696A7B">
            <w:pPr>
              <w:widowControl/>
              <w:jc w:val="center"/>
              <w:rPr>
                <w:rFonts w:ascii="宋体" w:hAnsi="宋体"/>
                <w:b/>
                <w:bCs/>
                <w:color w:val="000000"/>
                <w:kern w:val="0"/>
                <w:sz w:val="24"/>
              </w:rPr>
            </w:pPr>
            <w:r>
              <w:rPr>
                <w:rFonts w:ascii="宋体" w:hAnsi="宋体" w:hint="eastAsia"/>
                <w:color w:val="000000"/>
                <w:kern w:val="0"/>
                <w:sz w:val="24"/>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b/>
                <w:bCs/>
                <w:color w:val="000000"/>
                <w:kern w:val="0"/>
                <w:sz w:val="24"/>
              </w:rPr>
            </w:pPr>
            <w:r>
              <w:rPr>
                <w:rFonts w:ascii="宋体" w:hAnsi="宋体" w:hint="eastAsia"/>
                <w:color w:val="000000"/>
                <w:kern w:val="0"/>
                <w:sz w:val="24"/>
              </w:rPr>
              <w:t>份额占比</w:t>
            </w:r>
          </w:p>
        </w:tc>
      </w:tr>
      <w:tr>
        <w:tc>
          <w:tcPr>
            <w:vMerge w:val="restart"/>
          </w:tcPr>
          <w:p/>
          <w:p>
            <w:r>
              <w:rPr>
                <w:rFonts w:ascii="宋体" w:hAnsi="宋体" w:hint="eastAsia"/>
                <w:bCs/>
                <w:color w:val="000000"/>
                <w:kern w:val="0"/>
                <w:sz w:val="24"/>
              </w:rPr>
              <w:t>机构</w:t>
            </w:r>
          </w:p>
        </w:tc>
        <w:tc>
          <w:tcPr>
            <w:vAlign w:val="center"/>
          </w:tcPr>
          <w:p>
            <w:pPr>
              <w:jc w:val="center"/>
            </w:pPr>
            <w:r>
              <w:rPr>
                <w:rFonts w:ascii="宋体" w:hAnsi="宋体" w:hint="eastAsia"/>
                <w:color w:val="000000"/>
                <w:kern w:val="0"/>
                <w:sz w:val="24"/>
              </w:rPr>
              <w:t>1</w:t>
            </w:r>
          </w:p>
        </w:tc>
        <w:tc>
          <w:tcPr>
            <w:vAlign w:val="center"/>
          </w:tcPr>
          <w:p>
            <w:pPr>
              <w:jc w:val="center"/>
            </w:pPr>
            <w:r>
              <w:rPr>
                <w:rFonts w:ascii="宋体" w:hAnsi="宋体" w:hint="eastAsia"/>
                <w:color w:val="000000"/>
                <w:kern w:val="0"/>
                <w:sz w:val="24"/>
              </w:rPr>
              <w:t>2020/1/1-2020/3/31</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w:t>
            </w:r>
          </w:p>
        </w:tc>
        <w:tc>
          <w:tcPr>
            <w:vAlign w:val="center"/>
          </w:tcPr>
          <w:p>
            <w:pPr>
              <w:jc w:val="center"/>
            </w:pPr>
            <w:r>
              <w:rPr>
                <w:rFonts w:ascii="宋体" w:hAnsi="宋体" w:hint="eastAsia"/>
                <w:color w:val="000000"/>
                <w:kern w:val="0"/>
                <w:sz w:val="24"/>
              </w:rPr>
              <w:t>13,122,703.41</w:t>
            </w:r>
          </w:p>
        </w:tc>
        <w:tc>
          <w:tcPr>
            <w:vAlign w:val="center"/>
          </w:tcPr>
          <w:p>
            <w:pPr>
              <w:jc w:val="center"/>
            </w:pPr>
            <w:r>
              <w:rPr>
                <w:rFonts w:ascii="宋体" w:hAnsi="宋体" w:hint="eastAsia"/>
                <w:color w:val="000000"/>
                <w:kern w:val="0"/>
                <w:sz w:val="24"/>
              </w:rPr>
              <w:t>35.52%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696A7B" w:rsidTr="00696A7B">
        <w:tc>
          <w:tcPr>
            <w:tcW w:type="dxa" w:w="921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center"/>
              <w:rPr>
                <w:rFonts w:ascii="宋体" w:hAnsi="宋体"/>
                <w:kern w:val="0"/>
                <w:sz w:val="24"/>
              </w:rPr>
            </w:pPr>
            <w:r>
              <w:rPr>
                <w:rFonts w:ascii="宋体" w:hAnsi="宋体" w:hint="eastAsia"/>
                <w:color w:val="000000"/>
                <w:kern w:val="0"/>
                <w:sz w:val="24"/>
              </w:rPr>
              <w:t>产品特有风险</w:t>
            </w:r>
            <w:r>
              <w:rPr>
                <w:rFonts w:ascii="宋体" w:hAnsi="宋体" w:hint="eastAsia"/>
                <w:kern w:val="0"/>
                <w:sz w:val="24"/>
              </w:rPr>
              <w:t/>
            </w:r>
            <w:proofErr w:type="spellStart"/>
            <w:r>
              <w:rPr>
                <w:rFonts w:ascii="宋体" w:hAnsi="宋体" w:hint="eastAsia"/>
                <w:kern w:val="0"/>
                <w:sz w:val="24"/>
              </w:rPr>
              <w:t/>
            </w:r>
            <w:proofErr w:type="spellEnd"/>
            <w:r>
              <w:rPr>
                <w:rFonts w:ascii="宋体" w:hAnsi="宋体" w:hint="eastAsia"/>
                <w:kern w:val="0"/>
                <w:sz w:val="24"/>
              </w:rPr>
              <w:t/>
            </w:r>
          </w:p>
        </w:tc>
      </w:tr>
      <w:tr w:rsidR="00696A7B" w:rsidTr="00696A7B">
        <w:tc>
          <w:tcPr>
            <w:tcW w:type="dxa" w:w="9212"/>
            <w:tcBorders>
              <w:top w:color="auto" w:space="0" w:sz="4" w:val="single"/>
              <w:left w:color="auto" w:space="0" w:sz="4" w:val="single"/>
              <w:bottom w:color="auto" w:space="0" w:sz="4" w:val="single"/>
              <w:right w:color="auto" w:space="0" w:sz="4" w:val="single"/>
            </w:tcBorders>
            <w:vAlign w:val="center"/>
            <w:hideMark/>
          </w:tcPr>
          <w:p w:rsidR="00696A7B" w:rsidRDefault="00696A7B">
            <w:pPr>
              <w:autoSpaceDE w:val="0"/>
              <w:autoSpaceDN w:val="0"/>
              <w:adjustRightInd w:val="0"/>
              <w:jc w:val="left"/>
              <w:rPr>
                <w:rFonts w:ascii="宋体" w:hAnsi="宋体"/>
                <w:kern w:val="0"/>
                <w:sz w:val="24"/>
              </w:rPr>
            </w:pPr>
            <w:r>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48293C" w:rsidR="006A0A24" w:rsidRDefault="00220542" w:rsidRPr="00495FAB">
      <w:pPr>
        <w:pStyle w:val="1"/>
        <w:spacing w:after="312" w:afterLines="100" w:before="312" w:before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9</w:t>
      </w:r>
      <w:r w:rsidR="00C66A9E">
        <w:rPr>
          <w:kern w:val="0"/>
          <w:sz w:val="24"/>
          <w:szCs w:val="24"/>
        </w:rPr>
        <w:t xml:space="preserve">  </w:t>
      </w:r>
      <w:r w:rsidRPr="00324C76">
        <w:rPr>
          <w:kern w:val="0"/>
          <w:sz w:val="24"/>
          <w:szCs w:val="24"/>
        </w:rPr>
        <w:t>备查文件目录</w:t>
      </w:r>
    </w:p>
    <w:p w:rsidP="00B04217" w:rsidR="00220542" w:rsidRDefault="00B31ADE" w:rsidRPr="00324C76">
      <w:pPr>
        <w:spacing w:before="29" w:line="288" w:lineRule="auto"/>
        <w:rPr>
          <w:b/>
          <w:sz w:val="24"/>
        </w:rPr>
      </w:pPr>
      <w:r w:rsidRPr="00324C76">
        <w:rPr>
          <w:b/>
          <w:sz w:val="24"/>
        </w:rPr>
        <w:t/>
      </w:r>
      <w:r w:rsidR="0083066D" w:rsidRPr="00324C76">
        <w:rPr>
          <w:b/>
          <w:sz w:val="24"/>
        </w:rPr>
        <w:t/>
      </w: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480" w:firstLineChars="200"/>
        <w:rPr>
          <w:color w:val="000000"/>
          <w:sz w:val="24"/>
        </w:rPr>
      </w:pPr>
      <w:r>
        <w:rPr>
          <w:color w:val="000000"/>
          <w:sz w:val="24"/>
        </w:rPr>
        <w:t>1、中国证监会核准交银施罗德深证300价值交易型开放式指数证券投资基金联接基金募集的文件；</w:t>
      </w:r>
    </w:p>
    <w:p>
      <w:pPr>
        <w:spacing w:before="29" w:line="288" w:lineRule="auto"/>
        <w:ind w:firstLine="480" w:firstLineChars="200"/>
        <w:rPr>
          <w:color w:val="000000"/>
          <w:sz w:val="24"/>
        </w:rPr>
      </w:pPr>
      <w:r>
        <w:rPr>
          <w:color w:val="000000"/>
          <w:sz w:val="24"/>
        </w:rPr>
        <w:t xml:space="preserve">2、《交银施罗德深证300价值交易型开放式指数证券投资基金联接基金基金合同》； </w:t>
      </w:r>
    </w:p>
    <w:p>
      <w:pPr>
        <w:spacing w:before="29" w:line="288" w:lineRule="auto"/>
        <w:ind w:firstLine="480" w:firstLineChars="200"/>
        <w:rPr>
          <w:color w:val="000000"/>
          <w:sz w:val="24"/>
        </w:rPr>
      </w:pPr>
      <w:r>
        <w:rPr>
          <w:color w:val="000000"/>
          <w:sz w:val="24"/>
        </w:rPr>
        <w:t>3、《交银施罗德深证300价值交易型开放式指数证券投资基金联接基金招募说明书》；</w:t>
      </w:r>
    </w:p>
    <w:p>
      <w:pPr>
        <w:spacing w:before="29" w:line="288" w:lineRule="auto"/>
        <w:ind w:firstLine="480" w:firstLineChars="200"/>
        <w:rPr>
          <w:color w:val="000000"/>
          <w:sz w:val="24"/>
        </w:rPr>
      </w:pPr>
      <w:r>
        <w:rPr>
          <w:color w:val="000000"/>
          <w:sz w:val="24"/>
        </w:rPr>
        <w:t>4、《交银施罗德深证300价值交易型开放式指数证券投资基金联接基金托管协议》；</w:t>
      </w:r>
    </w:p>
    <w:p>
      <w:pPr>
        <w:spacing w:before="29" w:line="288" w:lineRule="auto"/>
        <w:ind w:firstLine="480" w:firstLineChars="200"/>
        <w:rPr>
          <w:color w:val="000000"/>
          <w:sz w:val="24"/>
        </w:rPr>
      </w:pPr>
      <w:r>
        <w:rPr>
          <w:color w:val="000000"/>
          <w:sz w:val="24"/>
        </w:rPr>
        <w:t>5、关于申请募集交银施罗德深证300价值交易型开放式指数证券投资基金联接基金之法律意见书；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B04217" w:rsidR="00220542" w:rsidRDefault="00A40C1C"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8、报告期内交银施罗德深证300价值交易型开放式指数证券投资基金联接基金在指定报刊上各项公告的原稿。</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9.2</w:t>
      </w:r>
      <w:r w:rsidR="00220542" w:rsidRPr="00324C76">
        <w:rPr>
          <w:b/>
          <w:sz w:val="24"/>
        </w:rPr>
        <w:t>存放地点</w:t>
      </w:r>
    </w:p>
    <w:p w:rsidP="00B04217" w:rsidR="00220542" w:rsidRDefault="00A40C1C"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备查文件存放于基金管理人的办公场所。</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9.3</w:t>
      </w:r>
      <w:r w:rsidR="00220542" w:rsidRPr="00324C76">
        <w:rPr>
          <w:b/>
          <w:sz w:val="24"/>
        </w:rPr>
        <w:t>查阅方式</w:t>
      </w:r>
    </w:p>
    <w:p>
      <w:pPr>
        <w:spacing w:before="29" w:line="288" w:lineRule="auto"/>
        <w:ind w:firstLine="480" w:firstLineChars="200"/>
        <w:rPr>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B04217" w:rsidR="00E33DCE" w:rsidRDefault="00A40C1C" w:rsidRPr="00324C76">
      <w:pPr>
        <w:spacing w:before="29" w:line="288" w:lineRule="auto"/>
        <w:ind w:firstLine="480" w:firstLineChars="200"/>
        <w:rPr>
          <w:sz w:val="24"/>
        </w:rPr>
      </w:pPr>
      <w:r w:rsidRPr="00324C76">
        <w:rPr>
          <w:color w:val="000000"/>
          <w:sz w:val="24"/>
        </w:rPr>
        <w:t/>
      </w:r>
      <w:proofErr w:type="spellStart"/>
      <w:r w:rsidRPr="00324C76">
        <w:rPr>
          <w:color w:val="000000"/>
          <w:sz w:val="24"/>
        </w:rPr>
        <w:t/>
      </w:r>
      <w:proofErr w:type="spellEnd"/>
      <w:r w:rsidRPr="00324C76">
        <w:rPr>
          <w:color w:val="000000"/>
          <w:sz w:val="24"/>
        </w:rPr>
        <w:t>投资者对本报告书如有疑问，可咨询本基金管理人交银施罗德基金管理有限公司。本公司客户服务中心电话：400-700-5000（免长途话费），021-61055000，电子邮件：services@jysld.com。</w:t>
      </w:r>
    </w:p>
    <w:p w:rsidP="00B04217" w:rsidR="00897EC2" w:rsidRDefault="00897EC2" w:rsidRPr="00324C76">
      <w:pPr>
        <w:spacing w:before="29" w:line="288" w:lineRule="auto"/>
        <w:ind w:firstLine="480" w:firstLineChars="200"/>
        <w:rPr>
          <w:sz w:val="24"/>
        </w:rPr>
      </w:pPr>
    </w:p>
    <w:sectPr w:rsidR="00897EC2" w:rsidRPr="00324C76" w:rsidSect="00412E7F">
      <w:footerReference r:id="rId15"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24" w:rsidRDefault="00B44C24">
      <w:r>
        <w:separator/>
      </w:r>
    </w:p>
  </w:endnote>
  <w:endnote w:type="continuationSeparator" w:id="0">
    <w:p w:rsidR="00B44C24" w:rsidRDefault="00B4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B4EE7" w:rsidR="00FC3631" w:rsidRDefault="00FC3631" w:rsidRPr="001D0DB0">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970A7F">
      <w:rPr>
        <w:noProof/>
        <w:kern w:val="0"/>
        <w:szCs w:val="21"/>
      </w:rPr>
      <w:t>25</w:t>
    </w:r>
    <w:r w:rsidR="007823C0">
      <w:rPr>
        <w:kern w:val="0"/>
        <w:szCs w:val="21"/>
      </w:rPr>
      <w:fldChar w:fldCharType="end"/>
    </w:r>
    <w:proofErr w:type="gramStart"/>
    <w:r>
      <w:rPr>
        <w:rFonts w:hint="eastAsia"/>
        <w:kern w:val="0"/>
        <w:szCs w:val="21"/>
      </w:rPr>
      <w:t>页共</w:t>
    </w:r>
    <w:proofErr w:type="gramEnd"/>
    <w:r w:rsidR="007823C0">
      <w:rPr>
        <w:kern w:val="0"/>
        <w:szCs w:val="21"/>
      </w:rPr>
      <w:fldChar w:fldCharType="begin"/>
    </w:r>
    <w:r>
      <w:rPr>
        <w:kern w:val="0"/>
        <w:szCs w:val="21"/>
      </w:rPr>
      <w:instrText xml:space="preserve"> NUMPAGES </w:instrText>
    </w:r>
    <w:r w:rsidR="007823C0">
      <w:rPr>
        <w:kern w:val="0"/>
        <w:szCs w:val="21"/>
      </w:rPr>
      <w:fldChar w:fldCharType="separate"/>
    </w:r>
    <w:r w:rsidR="00970A7F">
      <w:rPr>
        <w:noProof/>
        <w:kern w:val="0"/>
        <w:szCs w:val="21"/>
      </w:rPr>
      <w:t>26</w:t>
    </w:r>
    <w:r w:rsidR="007823C0">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C3631" w:rsidRDefault="007823C0">
    <w:pPr>
      <w:pStyle w:val="a6"/>
      <w:framePr w:hAnchor="margin" w:vAnchor="text" w:wrap="around"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44C24" w:rsidRDefault="00B44C24">
      <w:r>
        <w:separator/>
      </w:r>
    </w:p>
  </w:footnote>
  <w:footnote w:id="0" w:type="continuationSeparator">
    <w:p w:rsidR="00B44C24" w:rsidRDefault="00B44C24">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E74491" w:rsidR="00FC3631" w:rsidRDefault="00E74491" w:rsidRPr="00E74491">
    <w:pPr>
      <w:pStyle w:val="a9"/>
      <w:pBdr>
        <w:bottom w:color="auto" w:space="0" w:sz="6" w:val="single"/>
      </w:pBdr>
      <w:ind w:firstLine="480"/>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交银施罗德深证300价值交易型开放式指数证券投资基金联接基金</w:t>
    </w:r>
    <w:proofErr w:type="spellStart"/>
    <w:r w:rsidRPr="003E676C">
      <w:rPr>
        <w:sz w:val="24"/>
        <w:szCs w:val="24"/>
      </w:rPr>
      <w:t/>
    </w:r>
    <w:proofErr w:type="spellEnd"/>
    <w:r w:rsidRPr="003E676C">
      <w:rPr>
        <w:sz w:val="24"/>
        <w:szCs w:val="24"/>
      </w:rPr>
      <w:t>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1BC330C7"/>
    <w:multiLevelType w:val="multilevel"/>
    <w:tmpl w:val="0E80B90C"/>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2">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3">
    <w:nsid w:val="491157F5"/>
    <w:multiLevelType w:val="multilevel"/>
    <w:tmpl w:val="4E30F420"/>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6">
    <w:abstractNumId w:val="2"/>
  </w:num>
  <w:num w:numId="7">
    <w:abstractNumId w:val="3"/>
  </w:num>
  <w:num w:numId="8">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1482"/>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A7F"/>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5BDE"/>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24"/>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0CD"/>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633B"/>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6973EC"/>
    <w:pPr>
      <w:keepNext/>
      <w:keepLines/>
      <w:spacing w:after="330" w:before="340" w:line="578" w:lineRule="auto"/>
      <w:outlineLvl w:val="0"/>
    </w:pPr>
    <w:rPr>
      <w:b/>
      <w:bCs/>
      <w:kern w:val="44"/>
      <w:sz w:val="44"/>
      <w:szCs w:val="44"/>
    </w:rPr>
  </w:style>
  <w:style w:styleId="2" w:type="paragraph">
    <w:name w:val="heading 2"/>
    <w:basedOn w:val="a"/>
    <w:next w:val="a0"/>
    <w:qFormat/>
    <w:rsid w:val="00171067"/>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171067"/>
    <w:pPr>
      <w:ind w:firstLine="420" w:firstLineChars="200"/>
    </w:pPr>
  </w:style>
  <w:style w:styleId="a4" w:type="paragraph">
    <w:name w:val="Body Text Indent"/>
    <w:basedOn w:val="a"/>
    <w:rsid w:val="00171067"/>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171067"/>
    <w:rPr>
      <w:rFonts w:ascii="宋体" w:hAnsi="Courier New"/>
      <w:szCs w:val="21"/>
    </w:rPr>
  </w:style>
  <w:style w:styleId="20" w:type="paragraph">
    <w:name w:val="Body Text Indent 2"/>
    <w:basedOn w:val="a"/>
    <w:rsid w:val="00171067"/>
    <w:pPr>
      <w:spacing w:line="560" w:lineRule="exact"/>
      <w:ind w:firstLine="480" w:firstLineChars="200"/>
    </w:pPr>
    <w:rPr>
      <w:rFonts w:ascii="宋体" w:hAnsi="宋体"/>
      <w:color w:val="FF0000"/>
      <w:sz w:val="24"/>
    </w:rPr>
  </w:style>
  <w:style w:styleId="a6" w:type="paragraph">
    <w:name w:val="footer"/>
    <w:basedOn w:val="a"/>
    <w:rsid w:val="00171067"/>
    <w:pPr>
      <w:tabs>
        <w:tab w:pos="4153" w:val="center"/>
        <w:tab w:pos="8306" w:val="right"/>
      </w:tabs>
      <w:snapToGrid w:val="0"/>
      <w:jc w:val="left"/>
    </w:pPr>
    <w:rPr>
      <w:sz w:val="18"/>
      <w:szCs w:val="18"/>
    </w:rPr>
  </w:style>
  <w:style w:styleId="a7" w:type="character">
    <w:name w:val="page number"/>
    <w:basedOn w:val="a1"/>
    <w:rsid w:val="00171067"/>
  </w:style>
  <w:style w:styleId="a8" w:type="character">
    <w:name w:val="Hyperlink"/>
    <w:basedOn w:val="a1"/>
    <w:rsid w:val="00171067"/>
    <w:rPr>
      <w:color w:val="0000FF"/>
      <w:u w:val="single"/>
    </w:rPr>
  </w:style>
  <w:style w:styleId="3" w:type="paragraph">
    <w:name w:val="Body Text Indent 3"/>
    <w:basedOn w:val="a"/>
    <w:rsid w:val="00171067"/>
    <w:pPr>
      <w:spacing w:line="560" w:lineRule="exact"/>
      <w:ind w:firstLine="420" w:firstLineChars="200"/>
    </w:pPr>
    <w:rPr>
      <w:rFonts w:ascii="Arial" w:cs="Arial" w:hAnsi="Arial"/>
      <w:color w:val="FF0000"/>
    </w:rPr>
  </w:style>
  <w:style w:styleId="a9" w:type="paragraph">
    <w:name w:val="header"/>
    <w:basedOn w:val="a"/>
    <w:link w:val="Char0"/>
    <w:uiPriority w:val="99"/>
    <w:rsid w:val="00171067"/>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171067"/>
    <w:rPr>
      <w:color w:val="800080"/>
      <w:u w:val="single"/>
    </w:rPr>
  </w:style>
  <w:style w:styleId="ab" w:type="paragraph">
    <w:name w:val="List"/>
    <w:basedOn w:val="ac"/>
    <w:rsid w:val="00171067"/>
    <w:pPr>
      <w:spacing w:after="220" w:line="220" w:lineRule="atLeast"/>
      <w:ind w:hanging="360" w:left="1440"/>
    </w:pPr>
    <w:rPr>
      <w:szCs w:val="20"/>
    </w:rPr>
  </w:style>
  <w:style w:styleId="ac" w:type="paragraph">
    <w:name w:val="Body Text"/>
    <w:basedOn w:val="a"/>
    <w:rsid w:val="00171067"/>
    <w:pPr>
      <w:spacing w:after="120"/>
    </w:pPr>
  </w:style>
  <w:style w:styleId="ad" w:type="paragraph">
    <w:name w:val="Date"/>
    <w:basedOn w:val="a"/>
    <w:next w:val="a"/>
    <w:link w:val="Char1"/>
    <w:rsid w:val="00171067"/>
    <w:rPr>
      <w:sz w:val="24"/>
      <w:szCs w:val="20"/>
    </w:rPr>
  </w:style>
  <w:style w:customStyle="1" w:styleId="c1" w:type="character">
    <w:name w:val="c1"/>
    <w:basedOn w:val="a1"/>
    <w:rsid w:val="00171067"/>
    <w:rPr>
      <w:color w:val="000000"/>
      <w:sz w:val="18"/>
      <w:szCs w:val="18"/>
    </w:rPr>
  </w:style>
  <w:style w:styleId="10" w:type="paragraph">
    <w:name w:val="index 1"/>
    <w:basedOn w:val="a"/>
    <w:next w:val="a"/>
    <w:autoRedefine/>
    <w:semiHidden/>
    <w:rsid w:val="00171067"/>
    <w:pPr>
      <w:jc w:val="right"/>
    </w:pPr>
    <w:rPr>
      <w:color w:val="008000"/>
    </w:rPr>
  </w:style>
  <w:style w:customStyle="1" w:styleId="font5" w:type="paragraph">
    <w:name w:val="font5"/>
    <w:basedOn w:val="a"/>
    <w:rsid w:val="00171067"/>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171067"/>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171067"/>
    <w:rPr>
      <w:sz w:val="18"/>
      <w:szCs w:val="18"/>
    </w:rPr>
  </w:style>
  <w:style w:styleId="af" w:type="character">
    <w:name w:val="annotation reference"/>
    <w:basedOn w:val="a1"/>
    <w:semiHidden/>
    <w:rsid w:val="00171067"/>
    <w:rPr>
      <w:sz w:val="21"/>
      <w:szCs w:val="21"/>
    </w:rPr>
  </w:style>
  <w:style w:styleId="af0" w:type="paragraph">
    <w:name w:val="annotation text"/>
    <w:basedOn w:val="a"/>
    <w:semiHidden/>
    <w:rsid w:val="00171067"/>
    <w:pPr>
      <w:jc w:val="left"/>
    </w:pPr>
  </w:style>
  <w:style w:styleId="af1" w:type="paragraph">
    <w:name w:val="annotation subject"/>
    <w:basedOn w:val="af0"/>
    <w:next w:val="af0"/>
    <w:semiHidden/>
    <w:rsid w:val="00171067"/>
    <w:rPr>
      <w:b/>
      <w:bCs/>
    </w:rPr>
  </w:style>
  <w:style w:customStyle="1" w:styleId="Char2" w:type="paragraph">
    <w:name w:val="Char"/>
    <w:basedOn w:val="a"/>
    <w:rsid w:val="00171067"/>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5" w:type="numbering">
    <w:name w:val="样式5"/>
    <w:rsid w:val="00B72596"/>
    <w:pPr>
      <w:numPr>
        <w:numId w:val="6"/>
      </w:numPr>
    </w:pPr>
  </w:style>
  <w:style w:customStyle="1" w:styleId="t1" w:type="character">
    <w:name w:val="t1"/>
    <w:rsid w:val="004E386C"/>
    <w:rPr>
      <w:color w:val="990000"/>
    </w:rPr>
  </w:style>
  <w:style w:customStyle="1" w:styleId="m1" w:type="character">
    <w:name w:val="m1"/>
    <w:rsid w:val="004E386C"/>
    <w:rPr>
      <w:color w:val="0000FF"/>
    </w:rPr>
  </w:style>
  <w:style w:customStyle="1" w:styleId="Char" w:type="character">
    <w:name w:val="纯文本 Char"/>
    <w:link w:val="a5"/>
    <w:uiPriority w:val="99"/>
    <w:rsid w:val="00402ED1"/>
    <w:rPr>
      <w:rFonts w:ascii="宋体" w:hAnsi="Courier New"/>
      <w:kern w:val="2"/>
      <w:sz w:val="21"/>
      <w:szCs w:val="21"/>
    </w:rPr>
  </w:style>
  <w:style w:customStyle="1" w:styleId="Default" w:type="paragraph">
    <w:name w:val="Default"/>
    <w:rsid w:val="00C73818"/>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C136D7"/>
    <w:rPr>
      <w:kern w:val="2"/>
      <w:sz w:val="18"/>
      <w:szCs w:val="18"/>
    </w:rPr>
  </w:style>
  <w:style w:customStyle="1" w:styleId="1Char" w:type="character">
    <w:name w:val="标题 1 Char"/>
    <w:basedOn w:val="a1"/>
    <w:link w:val="1"/>
    <w:uiPriority w:val="99"/>
    <w:rsid w:val="006973EC"/>
    <w:rPr>
      <w:b/>
      <w:bCs/>
      <w:kern w:val="44"/>
      <w:sz w:val="44"/>
      <w:szCs w:val="44"/>
    </w:rPr>
  </w:style>
  <w:style w:customStyle="1" w:styleId="Char1" w:type="character">
    <w:name w:val="日期 Char"/>
    <w:basedOn w:val="a1"/>
    <w:link w:val="ad"/>
    <w:rsid w:val="00294DD0"/>
    <w:rPr>
      <w:kern w:val="2"/>
      <w:sz w:val="24"/>
    </w:rPr>
  </w:style>
  <w:style w:styleId="af8" w:type="character">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CB5F-2DCE-4667-B5BC-EEF3F205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351</TotalTime>
  <Pages>26</Pages>
  <Words>3997</Words>
  <Characters>22787</Characters>
  <Application>Microsoft Office Word</Application>
  <DocSecurity>0</DocSecurity>
  <Lines>189</Lines>
  <Paragraphs>53</Paragraphs>
  <ScaleCrop>false</ScaleCrop>
  <Company>TRT. Ltd. Co.</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业务系统</cp:lastModifiedBy>
  <cp:lastPrinted>2007-07-19T00:46:00Z</cp:lastPrinted>
  <dcterms:modified xsi:type="dcterms:W3CDTF">2020-03-09T08:48:00Z</dcterms:modified>
  <cp:revision>431</cp:revision>
</cp:coreProperties>
</file>