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交银施罗德消费新驱动股票型证券投资基金</w:t>
      </w:r>
    </w:p>
    <w:p w:rsidP="00C15CAC" w:rsidR="002279D3" w:rsidRDefault="002279D3" w:rsidRPr="0081286B">
      <w:pPr>
        <w:spacing w:before="29" w:line="288" w:lineRule="auto"/>
        <w:jc w:val="center"/>
        <w:rPr>
          <w:b/>
          <w:sz w:val="36"/>
          <w:szCs w:val="36"/>
        </w:rPr>
      </w:pPr>
      <w:r w:rsidRPr="0081286B">
        <w:rPr>
          <w:b/>
          <w:sz w:val="36"/>
          <w:szCs w:val="36"/>
        </w:rPr>
        <w:t>2020年第1季度报告</w:t>
      </w:r>
    </w:p>
    <w:p w:rsidP="00C15CAC" w:rsidR="004061AC" w:rsidRDefault="00655CD8" w:rsidRPr="0081286B">
      <w:pPr>
        <w:spacing w:before="29" w:line="288" w:lineRule="auto"/>
        <w:jc w:val="center"/>
        <w:rPr>
          <w:b/>
          <w:sz w:val="36"/>
          <w:szCs w:val="36"/>
        </w:rPr>
      </w:pPr>
      <w:r w:rsidRPr="0081286B">
        <w:rPr>
          <w:b/>
          <w:sz w:val="36"/>
          <w:szCs w:val="36"/>
        </w:rPr>
        <w:t>2020年3月31日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二〇二〇年四月二十二日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本报告期自2020年1月1日起至3月31日止。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交银消费新驱动股票</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519714</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519714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519715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2015年7月1日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255,789,537.63</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85%×中证内地消费主题指数+15%×中证综合债券指数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本基金是一只股票型基金，其预期风险与预期收益高于混合型基金、债券型基金和货币市场基金，属于承担较高预期风险、预期收益较高的证券投资基金品种。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(2020年1月1日-2020年3月31日)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24,558,452.41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-6,359,766.81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-0.0269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241,821,432.52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0.945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-4.35%</w:t>
            </w:r>
          </w:p>
        </w:tc>
        <w:tc>
          <w:tcPr>
            <w:vAlign w:val="center"/>
          </w:tcPr>
          <w:p>
            <w:pPr>
              <w:jc w:val="center"/>
            </w:pPr>
            <w:r>
              <w:rPr>
                <w:color w:val="000000"/>
                <w:sz w:val="24"/>
                <w:szCs w:val="24"/>
              </w:rPr>
              <w:t>1.98%</w:t>
            </w:r>
          </w:p>
        </w:tc>
        <w:tc>
          <w:tcPr>
            <w:vAlign w:val="center"/>
          </w:tcPr>
          <w:p>
            <w:pPr>
              <w:jc w:val="center"/>
            </w:pPr>
            <w:r>
              <w:rPr>
                <w:color w:val="000000"/>
                <w:sz w:val="24"/>
                <w:szCs w:val="24"/>
              </w:rPr>
              <w:t>-5.87%</w:t>
            </w:r>
          </w:p>
        </w:tc>
        <w:tc>
          <w:tcPr>
            <w:vAlign w:val="center"/>
          </w:tcPr>
          <w:p>
            <w:pPr>
              <w:jc w:val="center"/>
            </w:pPr>
            <w:r>
              <w:rPr>
                <w:color w:val="000000"/>
                <w:sz w:val="24"/>
                <w:szCs w:val="24"/>
              </w:rPr>
              <w:t>1.84%</w:t>
            </w:r>
          </w:p>
        </w:tc>
        <w:tc>
          <w:tcPr>
            <w:vAlign w:val="center"/>
          </w:tcPr>
          <w:p>
            <w:pPr>
              <w:jc w:val="center"/>
            </w:pPr>
            <w:r>
              <w:rPr>
                <w:color w:val="000000"/>
                <w:sz w:val="24"/>
                <w:szCs w:val="24"/>
              </w:rPr>
              <w:t>1.52%</w:t>
            </w:r>
          </w:p>
        </w:tc>
        <w:tc>
          <w:tcPr>
            <w:vAlign w:val="center"/>
          </w:tcPr>
          <w:p>
            <w:pPr>
              <w:jc w:val="center"/>
            </w:pPr>
            <w:r>
              <w:rPr>
                <w:color w:val="000000"/>
                <w:sz w:val="24"/>
                <w:szCs w:val="24"/>
              </w:rPr>
              <w:t>0.14%</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85%×中证内地消费主题指数+15%×中信标普全债指数”变更为“85%×中证内地消费主题指数+15%×中证综合债券指数”，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交银施罗德消费新驱动股票型证券投资基金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2015年7月1日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2020年3月31日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由交银施罗德沪深300行业分层等权重指数证券投资基金转型而来。基金转型日为2015年7月1日。本基金的投资转型期为交银施罗德沪深300行业分层等权重指数证券投资基金转型实施日（即2015年7月1日）起的6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韩威俊</w:t>
            </w:r>
          </w:p>
        </w:tc>
        <w:tc>
          <w:tcPr>
            <w:vAlign w:val="center"/>
          </w:tcPr>
          <w:p>
            <w:pPr>
              <w:jc w:val="center"/>
            </w:pPr>
            <w:r>
              <w:rPr>
                <w:color w:val="000000"/>
                <w:sz w:val="24"/>
                <w:szCs w:val="24"/>
              </w:rPr>
              <w:t>交银趋势混合、交银策略回报灵活配置混合、交银消费新驱动股票、交银股息优化混合、交银品质升级混合的基金经理</w:t>
            </w:r>
          </w:p>
        </w:tc>
        <w:tc>
          <w:tcPr>
            <w:vAlign w:val="center"/>
          </w:tcPr>
          <w:p>
            <w:pPr>
              <w:jc w:val="center"/>
            </w:pPr>
            <w:r>
              <w:rPr>
                <w:color w:val="000000"/>
                <w:sz w:val="24"/>
                <w:szCs w:val="24"/>
              </w:rPr>
              <w:t>2018-08-24</w:t>
            </w:r>
          </w:p>
        </w:tc>
        <w:tc>
          <w:tcPr>
            <w:vAlign w:val="center"/>
          </w:tcPr>
          <w:p>
            <w:pPr>
              <w:jc w:val="center"/>
            </w:pPr>
            <w:r>
              <w:rPr>
                <w:color w:val="000000"/>
                <w:sz w:val="24"/>
                <w:szCs w:val="24"/>
              </w:rPr>
              <w:t>-</w:t>
            </w:r>
          </w:p>
        </w:tc>
        <w:tc>
          <w:tcPr>
            <w:vAlign w:val="center"/>
          </w:tcPr>
          <w:p>
            <w:pPr>
              <w:jc w:val="center"/>
            </w:pPr>
            <w:r>
              <w:rPr>
                <w:color w:val="000000"/>
                <w:sz w:val="24"/>
                <w:szCs w:val="24"/>
              </w:rPr>
              <w:t>14年</w:t>
            </w:r>
          </w:p>
        </w:tc>
        <w:tc>
          <w:tcPr>
            <w:vAlign w:val="center"/>
          </w:tcPr>
          <w:p>
            <w:pPr>
              <w:jc w:val="both"/>
            </w:pPr>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2013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回顾2020年一季度，新冠肺炎对国内国外的资本市场和经济造成了较大影响。尽管全球采取了各种货币政策、财政政策等救市措施，短期也无法弥补海外、特别是美国市场的流动性风险。A股市场在二月大幅波动后，三月的风险偏好开始大幅下降，整个市场陷入了风险偏好下降带动盈利预期下调再带动风险偏好下调的恶性循环中。从目前情况来看，海外流动性风险基本上解除，美国无限制QE政策也会导致美元指数在避险情绪消失后逐步回落，中国资产（包括货币、债券、股票）在全球市场的吸引力大幅提升。如果后续海外疫情逐步得到控制，海外资本市场稳定以后，海外资金或将继续快速流入中国，带动国内利率水平进一步回落以及债券价格和股票价格上升。</w:t>
      </w:r>
    </w:p>
    <w:p>
      <w:pPr>
        <w:spacing w:before="29" w:line="288" w:lineRule="auto"/>
        <w:ind w:firstLine="480" w:firstLineChars="200"/>
        <w:rPr>
          <w:color w:val="000000"/>
          <w:sz w:val="24"/>
          <w:szCs w:val="24"/>
        </w:rPr>
      </w:pPr>
      <w:r>
        <w:rPr>
          <w:color w:val="000000"/>
          <w:sz w:val="24"/>
          <w:szCs w:val="24"/>
        </w:rPr>
        <w:t>本基金在2020年一季度主要以消费白马龙头作为底仓的配置思路，个股集中度依然维持在较高水平，持仓并没有发生太大变化。一季度由于疫情对消费的冲击，春节后表现相对较弱，整体落后市场。但是我们认为，随着国内疫情的逐步恢复，内需消费信心的恢复，整个消费白马全年的盈利水平整体影响不会太大，全年绝对收益仍然值得期待。</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二季度：（1）国内在二月按下暂停键以后，有效地控制了疫情的发展，三月已经开始复工复产。整个一季度宏观和各行业都面临较大压力，但随着国内疫情后续逐步恢复，国内正常经济活动展开和消费需求的复苏，整个内需有望出现比较明显的反弹。本基金仍然聚焦内需消费为主，结合疫情后消费复苏的节奏，适当做一些重仓股的结构调整。在追求全年绝对收益的前提下，二季度开始逐步布局市值相对低估，长期空间巨大的消费服务类龙头公司；（2）海外疫情于三月开始爆发，从欧洲到美国，对全球流动性和经济预期造成重大波动。从欧美目前情况来看，二季度整体经济影响巨大，三季度也很难出现比较明显的复苏。与海外需求高度相关的制造业等龙头企业，可能在二季度末或三季度初存在预期特别低的机会，特别是目前渗透率较低的新能源汽车和光伏等产业。</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224,667,514.41</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82.43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224,667,514.41</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82.43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43,738,924.80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16.05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4,164,494.69</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1.53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272,570,933.90</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200,109,545.68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82.75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19,147.31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2,430,827.00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3,892,257.12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7,881,133.98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3.26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545,772.32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0.23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9,788,831.00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4.05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224,667,514.41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92.91</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21,370</w:t>
            </w:r>
          </w:p>
        </w:tc>
        <w:tc>
          <w:tcPr>
            <w:vAlign w:val="center"/>
          </w:tcPr>
          <w:p>
            <w:pPr>
              <w:jc w:val="right"/>
            </w:pPr>
            <w:r>
              <w:rPr>
                <w:color w:val="000000"/>
                <w:sz w:val="24"/>
                <w:szCs w:val="24"/>
              </w:rPr>
              <w:t>23,742,070.00</w:t>
            </w:r>
          </w:p>
        </w:tc>
        <w:tc>
          <w:tcPr>
            <w:vAlign w:val="center"/>
          </w:tcPr>
          <w:p>
            <w:pPr>
              <w:jc w:val="right"/>
            </w:pPr>
            <w:r>
              <w:rPr>
                <w:color w:val="000000"/>
                <w:sz w:val="24"/>
                <w:szCs w:val="24"/>
              </w:rPr>
              <w:t>9.82</w:t>
            </w:r>
          </w:p>
        </w:tc>
      </w:tr>
      <w:tr>
        <w:tc>
          <w:tcPr>
            <w:vAlign w:val="center"/>
          </w:tcPr>
          <w:p>
            <w:pPr>
              <w:jc w:val="center"/>
            </w:pPr>
            <w:r>
              <w:rPr>
                <w:color w:val="000000"/>
                <w:sz w:val="24"/>
                <w:szCs w:val="24"/>
              </w:rPr>
              <w:t>2</w:t>
            </w:r>
          </w:p>
        </w:tc>
        <w:tc>
          <w:tcPr>
            <w:vAlign w:val="center"/>
          </w:tcPr>
          <w:p>
            <w:pPr>
              <w:jc w:val="center"/>
            </w:pPr>
            <w:r>
              <w:rPr>
                <w:color w:val="000000"/>
                <w:sz w:val="24"/>
                <w:szCs w:val="24"/>
              </w:rPr>
              <w:t>300146</w:t>
            </w:r>
          </w:p>
        </w:tc>
        <w:tc>
          <w:tcPr>
            <w:vAlign w:val="center"/>
          </w:tcPr>
          <w:p>
            <w:pPr>
              <w:jc w:val="center"/>
            </w:pPr>
            <w:r>
              <w:rPr>
                <w:color w:val="000000"/>
                <w:sz w:val="24"/>
                <w:szCs w:val="24"/>
              </w:rPr>
              <w:t>汤臣倍健</w:t>
            </w:r>
          </w:p>
        </w:tc>
        <w:tc>
          <w:tcPr>
            <w:vAlign w:val="center"/>
          </w:tcPr>
          <w:p>
            <w:pPr>
              <w:jc w:val="right"/>
            </w:pPr>
            <w:r>
              <w:rPr>
                <w:color w:val="000000"/>
                <w:sz w:val="24"/>
                <w:szCs w:val="24"/>
              </w:rPr>
              <w:t>1,407,248</w:t>
            </w:r>
          </w:p>
        </w:tc>
        <w:tc>
          <w:tcPr>
            <w:vAlign w:val="center"/>
          </w:tcPr>
          <w:p>
            <w:pPr>
              <w:jc w:val="right"/>
            </w:pPr>
            <w:r>
              <w:rPr>
                <w:color w:val="000000"/>
                <w:sz w:val="24"/>
                <w:szCs w:val="24"/>
              </w:rPr>
              <w:t>23,627,693.92</w:t>
            </w:r>
          </w:p>
        </w:tc>
        <w:tc>
          <w:tcPr>
            <w:vAlign w:val="center"/>
          </w:tcPr>
          <w:p>
            <w:pPr>
              <w:jc w:val="right"/>
            </w:pPr>
            <w:r>
              <w:rPr>
                <w:color w:val="000000"/>
                <w:sz w:val="24"/>
                <w:szCs w:val="24"/>
              </w:rPr>
              <w:t>9.77</w:t>
            </w:r>
          </w:p>
        </w:tc>
      </w:tr>
      <w:tr>
        <w:tc>
          <w:tcPr>
            <w:vAlign w:val="center"/>
          </w:tcPr>
          <w:p>
            <w:pPr>
              <w:jc w:val="center"/>
            </w:pPr>
            <w:r>
              <w:rPr>
                <w:color w:val="000000"/>
                <w:sz w:val="24"/>
                <w:szCs w:val="24"/>
              </w:rPr>
              <w:t>3</w:t>
            </w:r>
          </w:p>
        </w:tc>
        <w:tc>
          <w:tcPr>
            <w:vAlign w:val="center"/>
          </w:tcPr>
          <w:p>
            <w:pPr>
              <w:jc w:val="center"/>
            </w:pPr>
            <w:r>
              <w:rPr>
                <w:color w:val="000000"/>
                <w:sz w:val="24"/>
                <w:szCs w:val="24"/>
              </w:rPr>
              <w:t>000858</w:t>
            </w:r>
          </w:p>
        </w:tc>
        <w:tc>
          <w:tcPr>
            <w:vAlign w:val="center"/>
          </w:tcPr>
          <w:p>
            <w:pPr>
              <w:jc w:val="center"/>
            </w:pPr>
            <w:r>
              <w:rPr>
                <w:color w:val="000000"/>
                <w:sz w:val="24"/>
                <w:szCs w:val="24"/>
              </w:rPr>
              <w:t>五粮液</w:t>
            </w:r>
          </w:p>
        </w:tc>
        <w:tc>
          <w:tcPr>
            <w:vAlign w:val="center"/>
          </w:tcPr>
          <w:p>
            <w:pPr>
              <w:jc w:val="right"/>
            </w:pPr>
            <w:r>
              <w:rPr>
                <w:color w:val="000000"/>
                <w:sz w:val="24"/>
                <w:szCs w:val="24"/>
              </w:rPr>
              <w:t>202,494</w:t>
            </w:r>
          </w:p>
        </w:tc>
        <w:tc>
          <w:tcPr>
            <w:vAlign w:val="center"/>
          </w:tcPr>
          <w:p>
            <w:pPr>
              <w:jc w:val="right"/>
            </w:pPr>
            <w:r>
              <w:rPr>
                <w:color w:val="000000"/>
                <w:sz w:val="24"/>
                <w:szCs w:val="24"/>
              </w:rPr>
              <w:t>23,327,308.80</w:t>
            </w:r>
          </w:p>
        </w:tc>
        <w:tc>
          <w:tcPr>
            <w:vAlign w:val="center"/>
          </w:tcPr>
          <w:p>
            <w:pPr>
              <w:jc w:val="right"/>
            </w:pPr>
            <w:r>
              <w:rPr>
                <w:color w:val="000000"/>
                <w:sz w:val="24"/>
                <w:szCs w:val="24"/>
              </w:rPr>
              <w:t>9.65</w:t>
            </w:r>
          </w:p>
        </w:tc>
      </w:tr>
      <w:tr>
        <w:tc>
          <w:tcPr>
            <w:vAlign w:val="center"/>
          </w:tcPr>
          <w:p>
            <w:pPr>
              <w:jc w:val="center"/>
            </w:pPr>
            <w:r>
              <w:rPr>
                <w:color w:val="000000"/>
                <w:sz w:val="24"/>
                <w:szCs w:val="24"/>
              </w:rPr>
              <w:t>4</w:t>
            </w:r>
          </w:p>
        </w:tc>
        <w:tc>
          <w:tcPr>
            <w:vAlign w:val="center"/>
          </w:tcPr>
          <w:p>
            <w:pPr>
              <w:jc w:val="center"/>
            </w:pPr>
            <w:r>
              <w:rPr>
                <w:color w:val="000000"/>
                <w:sz w:val="24"/>
                <w:szCs w:val="24"/>
              </w:rPr>
              <w:t>603369</w:t>
            </w:r>
          </w:p>
        </w:tc>
        <w:tc>
          <w:tcPr>
            <w:vAlign w:val="center"/>
          </w:tcPr>
          <w:p>
            <w:pPr>
              <w:jc w:val="center"/>
            </w:pPr>
            <w:r>
              <w:rPr>
                <w:color w:val="000000"/>
                <w:sz w:val="24"/>
                <w:szCs w:val="24"/>
              </w:rPr>
              <w:t>今世缘</w:t>
            </w:r>
          </w:p>
        </w:tc>
        <w:tc>
          <w:tcPr>
            <w:vAlign w:val="center"/>
          </w:tcPr>
          <w:p>
            <w:pPr>
              <w:jc w:val="right"/>
            </w:pPr>
            <w:r>
              <w:rPr>
                <w:color w:val="000000"/>
                <w:sz w:val="24"/>
                <w:szCs w:val="24"/>
              </w:rPr>
              <w:t>810,334</w:t>
            </w:r>
          </w:p>
        </w:tc>
        <w:tc>
          <w:tcPr>
            <w:vAlign w:val="center"/>
          </w:tcPr>
          <w:p>
            <w:pPr>
              <w:jc w:val="right"/>
            </w:pPr>
            <w:r>
              <w:rPr>
                <w:color w:val="000000"/>
                <w:sz w:val="24"/>
                <w:szCs w:val="24"/>
              </w:rPr>
              <w:t>22,810,902.10</w:t>
            </w:r>
          </w:p>
        </w:tc>
        <w:tc>
          <w:tcPr>
            <w:vAlign w:val="center"/>
          </w:tcPr>
          <w:p>
            <w:pPr>
              <w:jc w:val="right"/>
            </w:pPr>
            <w:r>
              <w:rPr>
                <w:color w:val="000000"/>
                <w:sz w:val="24"/>
                <w:szCs w:val="24"/>
              </w:rPr>
              <w:t>9.43</w:t>
            </w:r>
          </w:p>
        </w:tc>
      </w:tr>
      <w:tr>
        <w:tc>
          <w:tcPr>
            <w:vAlign w:val="center"/>
          </w:tcPr>
          <w:p>
            <w:pPr>
              <w:jc w:val="center"/>
            </w:pPr>
            <w:r>
              <w:rPr>
                <w:color w:val="000000"/>
                <w:sz w:val="24"/>
                <w:szCs w:val="24"/>
              </w:rPr>
              <w:t>5</w:t>
            </w:r>
          </w:p>
        </w:tc>
        <w:tc>
          <w:tcPr>
            <w:vAlign w:val="center"/>
          </w:tcPr>
          <w:p>
            <w:pPr>
              <w:jc w:val="center"/>
            </w:pPr>
            <w:r>
              <w:rPr>
                <w:color w:val="000000"/>
                <w:sz w:val="24"/>
                <w:szCs w:val="24"/>
              </w:rPr>
              <w:t>600132</w:t>
            </w:r>
          </w:p>
        </w:tc>
        <w:tc>
          <w:tcPr>
            <w:vAlign w:val="center"/>
          </w:tcPr>
          <w:p>
            <w:pPr>
              <w:jc w:val="center"/>
            </w:pPr>
            <w:r>
              <w:rPr>
                <w:color w:val="000000"/>
                <w:sz w:val="24"/>
                <w:szCs w:val="24"/>
              </w:rPr>
              <w:t>重庆啤酒</w:t>
            </w:r>
          </w:p>
        </w:tc>
        <w:tc>
          <w:tcPr>
            <w:vAlign w:val="center"/>
          </w:tcPr>
          <w:p>
            <w:pPr>
              <w:jc w:val="right"/>
            </w:pPr>
            <w:r>
              <w:rPr>
                <w:color w:val="000000"/>
                <w:sz w:val="24"/>
                <w:szCs w:val="24"/>
              </w:rPr>
              <w:t>472,418</w:t>
            </w:r>
          </w:p>
        </w:tc>
        <w:tc>
          <w:tcPr>
            <w:vAlign w:val="center"/>
          </w:tcPr>
          <w:p>
            <w:pPr>
              <w:jc w:val="right"/>
            </w:pPr>
            <w:r>
              <w:rPr>
                <w:color w:val="000000"/>
                <w:sz w:val="24"/>
                <w:szCs w:val="24"/>
              </w:rPr>
              <w:t>21,499,743.18</w:t>
            </w:r>
          </w:p>
        </w:tc>
        <w:tc>
          <w:tcPr>
            <w:vAlign w:val="center"/>
          </w:tcPr>
          <w:p>
            <w:pPr>
              <w:jc w:val="right"/>
            </w:pPr>
            <w:r>
              <w:rPr>
                <w:color w:val="000000"/>
                <w:sz w:val="24"/>
                <w:szCs w:val="24"/>
              </w:rPr>
              <w:t>8.89</w:t>
            </w:r>
          </w:p>
        </w:tc>
      </w:tr>
      <w:tr>
        <w:tc>
          <w:tcPr>
            <w:vAlign w:val="center"/>
          </w:tcPr>
          <w:p>
            <w:pPr>
              <w:jc w:val="center"/>
            </w:pPr>
            <w:r>
              <w:rPr>
                <w:color w:val="000000"/>
                <w:sz w:val="24"/>
                <w:szCs w:val="24"/>
              </w:rPr>
              <w:t>6</w:t>
            </w:r>
          </w:p>
        </w:tc>
        <w:tc>
          <w:tcPr>
            <w:vAlign w:val="center"/>
          </w:tcPr>
          <w:p>
            <w:pPr>
              <w:jc w:val="center"/>
            </w:pPr>
            <w:r>
              <w:rPr>
                <w:color w:val="000000"/>
                <w:sz w:val="24"/>
                <w:szCs w:val="24"/>
              </w:rPr>
              <w:t>600887</w:t>
            </w:r>
          </w:p>
        </w:tc>
        <w:tc>
          <w:tcPr>
            <w:vAlign w:val="center"/>
          </w:tcPr>
          <w:p>
            <w:pPr>
              <w:jc w:val="center"/>
            </w:pPr>
            <w:r>
              <w:rPr>
                <w:color w:val="000000"/>
                <w:sz w:val="24"/>
                <w:szCs w:val="24"/>
              </w:rPr>
              <w:t>伊利股份</w:t>
            </w:r>
          </w:p>
        </w:tc>
        <w:tc>
          <w:tcPr>
            <w:vAlign w:val="center"/>
          </w:tcPr>
          <w:p>
            <w:pPr>
              <w:jc w:val="right"/>
            </w:pPr>
            <w:r>
              <w:rPr>
                <w:color w:val="000000"/>
                <w:sz w:val="24"/>
                <w:szCs w:val="24"/>
              </w:rPr>
              <w:t>415,213</w:t>
            </w:r>
          </w:p>
        </w:tc>
        <w:tc>
          <w:tcPr>
            <w:vAlign w:val="center"/>
          </w:tcPr>
          <w:p>
            <w:pPr>
              <w:jc w:val="right"/>
            </w:pPr>
            <w:r>
              <w:rPr>
                <w:color w:val="000000"/>
                <w:sz w:val="24"/>
                <w:szCs w:val="24"/>
              </w:rPr>
              <w:t>12,398,260.18</w:t>
            </w:r>
          </w:p>
        </w:tc>
        <w:tc>
          <w:tcPr>
            <w:vAlign w:val="center"/>
          </w:tcPr>
          <w:p>
            <w:pPr>
              <w:jc w:val="right"/>
            </w:pPr>
            <w:r>
              <w:rPr>
                <w:color w:val="000000"/>
                <w:sz w:val="24"/>
                <w:szCs w:val="24"/>
              </w:rPr>
              <w:t>5.13</w:t>
            </w:r>
          </w:p>
        </w:tc>
      </w:tr>
      <w:tr>
        <w:tc>
          <w:tcPr>
            <w:vAlign w:val="center"/>
          </w:tcPr>
          <w:p>
            <w:pPr>
              <w:jc w:val="center"/>
            </w:pPr>
            <w:r>
              <w:rPr>
                <w:color w:val="000000"/>
                <w:sz w:val="24"/>
                <w:szCs w:val="24"/>
              </w:rPr>
              <w:t>7</w:t>
            </w:r>
          </w:p>
        </w:tc>
        <w:tc>
          <w:tcPr>
            <w:vAlign w:val="center"/>
          </w:tcPr>
          <w:p>
            <w:pPr>
              <w:jc w:val="center"/>
            </w:pPr>
            <w:r>
              <w:rPr>
                <w:color w:val="000000"/>
                <w:sz w:val="24"/>
                <w:szCs w:val="24"/>
              </w:rPr>
              <w:t>002461</w:t>
            </w:r>
          </w:p>
        </w:tc>
        <w:tc>
          <w:tcPr>
            <w:vAlign w:val="center"/>
          </w:tcPr>
          <w:p>
            <w:pPr>
              <w:jc w:val="center"/>
            </w:pPr>
            <w:r>
              <w:rPr>
                <w:color w:val="000000"/>
                <w:sz w:val="24"/>
                <w:szCs w:val="24"/>
              </w:rPr>
              <w:t>珠江啤酒</w:t>
            </w:r>
          </w:p>
        </w:tc>
        <w:tc>
          <w:tcPr>
            <w:vAlign w:val="center"/>
          </w:tcPr>
          <w:p>
            <w:pPr>
              <w:jc w:val="right"/>
            </w:pPr>
            <w:r>
              <w:rPr>
                <w:color w:val="000000"/>
                <w:sz w:val="24"/>
                <w:szCs w:val="24"/>
              </w:rPr>
              <w:t>1,690,777</w:t>
            </w:r>
          </w:p>
        </w:tc>
        <w:tc>
          <w:tcPr>
            <w:vAlign w:val="center"/>
          </w:tcPr>
          <w:p>
            <w:pPr>
              <w:jc w:val="right"/>
            </w:pPr>
            <w:r>
              <w:rPr>
                <w:color w:val="000000"/>
                <w:sz w:val="24"/>
                <w:szCs w:val="24"/>
              </w:rPr>
              <w:t>11,733,992.38</w:t>
            </w:r>
          </w:p>
        </w:tc>
        <w:tc>
          <w:tcPr>
            <w:vAlign w:val="center"/>
          </w:tcPr>
          <w:p>
            <w:pPr>
              <w:jc w:val="right"/>
            </w:pPr>
            <w:r>
              <w:rPr>
                <w:color w:val="000000"/>
                <w:sz w:val="24"/>
                <w:szCs w:val="24"/>
              </w:rPr>
              <w:t>4.85</w:t>
            </w:r>
          </w:p>
        </w:tc>
      </w:tr>
      <w:tr>
        <w:tc>
          <w:tcPr>
            <w:vAlign w:val="center"/>
          </w:tcPr>
          <w:p>
            <w:pPr>
              <w:jc w:val="center"/>
            </w:pPr>
            <w:r>
              <w:rPr>
                <w:color w:val="000000"/>
                <w:sz w:val="24"/>
                <w:szCs w:val="24"/>
              </w:rPr>
              <w:t>8</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318,861</w:t>
            </w:r>
          </w:p>
        </w:tc>
        <w:tc>
          <w:tcPr>
            <w:vAlign w:val="center"/>
          </w:tcPr>
          <w:p>
            <w:pPr>
              <w:jc w:val="right"/>
            </w:pPr>
            <w:r>
              <w:rPr>
                <w:color w:val="000000"/>
                <w:sz w:val="24"/>
                <w:szCs w:val="24"/>
              </w:rPr>
              <w:t>10,485,352.38</w:t>
            </w:r>
          </w:p>
        </w:tc>
        <w:tc>
          <w:tcPr>
            <w:vAlign w:val="center"/>
          </w:tcPr>
          <w:p>
            <w:pPr>
              <w:jc w:val="right"/>
            </w:pPr>
            <w:r>
              <w:rPr>
                <w:color w:val="000000"/>
                <w:sz w:val="24"/>
                <w:szCs w:val="24"/>
              </w:rPr>
              <w:t>4.34</w:t>
            </w:r>
          </w:p>
        </w:tc>
      </w:tr>
      <w:tr>
        <w:tc>
          <w:tcPr>
            <w:vAlign w:val="center"/>
          </w:tcPr>
          <w:p>
            <w:pPr>
              <w:jc w:val="center"/>
            </w:pPr>
            <w:r>
              <w:rPr>
                <w:color w:val="000000"/>
                <w:sz w:val="24"/>
                <w:szCs w:val="24"/>
              </w:rPr>
              <w:t>9</w:t>
            </w:r>
          </w:p>
        </w:tc>
        <w:tc>
          <w:tcPr>
            <w:vAlign w:val="center"/>
          </w:tcPr>
          <w:p>
            <w:pPr>
              <w:jc w:val="center"/>
            </w:pPr>
            <w:r>
              <w:rPr>
                <w:color w:val="000000"/>
                <w:sz w:val="24"/>
                <w:szCs w:val="24"/>
              </w:rPr>
              <w:t>000651</w:t>
            </w:r>
          </w:p>
        </w:tc>
        <w:tc>
          <w:tcPr>
            <w:vAlign w:val="center"/>
          </w:tcPr>
          <w:p>
            <w:pPr>
              <w:jc w:val="center"/>
            </w:pPr>
            <w:r>
              <w:rPr>
                <w:color w:val="000000"/>
                <w:sz w:val="24"/>
                <w:szCs w:val="24"/>
              </w:rPr>
              <w:t>格力电器</w:t>
            </w:r>
          </w:p>
        </w:tc>
        <w:tc>
          <w:tcPr>
            <w:vAlign w:val="center"/>
          </w:tcPr>
          <w:p>
            <w:pPr>
              <w:jc w:val="right"/>
            </w:pPr>
            <w:r>
              <w:rPr>
                <w:color w:val="000000"/>
                <w:sz w:val="24"/>
                <w:szCs w:val="24"/>
              </w:rPr>
              <w:t>196,962</w:t>
            </w:r>
          </w:p>
        </w:tc>
        <w:tc>
          <w:tcPr>
            <w:vAlign w:val="center"/>
          </w:tcPr>
          <w:p>
            <w:pPr>
              <w:jc w:val="right"/>
            </w:pPr>
            <w:r>
              <w:rPr>
                <w:color w:val="000000"/>
                <w:sz w:val="24"/>
                <w:szCs w:val="24"/>
              </w:rPr>
              <w:t>10,281,416.40</w:t>
            </w:r>
          </w:p>
        </w:tc>
        <w:tc>
          <w:tcPr>
            <w:vAlign w:val="center"/>
          </w:tcPr>
          <w:p>
            <w:pPr>
              <w:jc w:val="right"/>
            </w:pPr>
            <w:r>
              <w:rPr>
                <w:color w:val="000000"/>
                <w:sz w:val="24"/>
                <w:szCs w:val="24"/>
              </w:rPr>
              <w:t>4.25</w:t>
            </w:r>
          </w:p>
        </w:tc>
      </w:tr>
      <w:tr>
        <w:tc>
          <w:tcPr>
            <w:vAlign w:val="center"/>
          </w:tcPr>
          <w:p>
            <w:pPr>
              <w:jc w:val="center"/>
            </w:pPr>
            <w:r>
              <w:rPr>
                <w:color w:val="000000"/>
                <w:sz w:val="24"/>
                <w:szCs w:val="24"/>
              </w:rPr>
              <w:t>10</w:t>
            </w:r>
          </w:p>
        </w:tc>
        <w:tc>
          <w:tcPr>
            <w:vAlign w:val="center"/>
          </w:tcPr>
          <w:p>
            <w:pPr>
              <w:jc w:val="center"/>
            </w:pPr>
            <w:r>
              <w:rPr>
                <w:color w:val="000000"/>
                <w:sz w:val="24"/>
                <w:szCs w:val="24"/>
              </w:rPr>
              <w:t>603882</w:t>
            </w:r>
          </w:p>
        </w:tc>
        <w:tc>
          <w:tcPr>
            <w:vAlign w:val="center"/>
          </w:tcPr>
          <w:p>
            <w:pPr>
              <w:jc w:val="center"/>
            </w:pPr>
            <w:r>
              <w:rPr>
                <w:color w:val="000000"/>
                <w:sz w:val="24"/>
                <w:szCs w:val="24"/>
              </w:rPr>
              <w:t>金域医学</w:t>
            </w:r>
          </w:p>
        </w:tc>
        <w:tc>
          <w:tcPr>
            <w:vAlign w:val="center"/>
          </w:tcPr>
          <w:p>
            <w:pPr>
              <w:jc w:val="right"/>
            </w:pPr>
            <w:r>
              <w:rPr>
                <w:color w:val="000000"/>
                <w:sz w:val="24"/>
                <w:szCs w:val="24"/>
              </w:rPr>
              <w:t>173,900</w:t>
            </w:r>
          </w:p>
        </w:tc>
        <w:tc>
          <w:tcPr>
            <w:vAlign w:val="center"/>
          </w:tcPr>
          <w:p>
            <w:pPr>
              <w:jc w:val="right"/>
            </w:pPr>
            <w:r>
              <w:rPr>
                <w:color w:val="000000"/>
                <w:sz w:val="24"/>
                <w:szCs w:val="24"/>
              </w:rPr>
              <w:t>9,788,831.00</w:t>
            </w:r>
          </w:p>
        </w:tc>
        <w:tc>
          <w:tcPr>
            <w:vAlign w:val="center"/>
          </w:tcPr>
          <w:p>
            <w:pPr>
              <w:jc w:val="right"/>
            </w:pPr>
            <w:r>
              <w:rPr>
                <w:color w:val="000000"/>
                <w:sz w:val="24"/>
                <w:szCs w:val="24"/>
              </w:rPr>
              <w:t>4.05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308,463.90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3,024,949.01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9,042.06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822,039.72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4,164,494.69</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3,136,000.00</w:t>
            </w:r>
          </w:p>
        </w:tc>
        <w:tc>
          <w:tcPr>
            <w:vAlign w:val="center"/>
          </w:tcPr>
          <w:p>
            <w:pPr>
              <w:jc w:val="right"/>
            </w:pPr>
            <w:r>
              <w:rPr>
                <w:color w:val="000000"/>
                <w:sz w:val="24"/>
                <w:szCs w:val="24"/>
              </w:rPr>
              <w:t>1.30</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376,796,550.17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134,787,737.71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255,794,750.25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255,789,537.63</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ED2620" w:rsidRDefault="00ED2620" w:rsidRPr="00ED2620">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sz w:val="24"/>
        </w:rPr>
        <w:t/>
      </w:r>
      <w:r w:rsidRPr="00ED2620">
        <w:rPr>
          <w:rFonts w:eastAsiaTheme="minorEastAsia" w:hAnsiTheme="minorEastAsia"/>
          <w:color w:val="000000"/>
          <w:kern w:val="0"/>
          <w:sz w:val="24"/>
        </w:rPr>
        <w:t>单位：份</w:t>
      </w:r>
    </w:p>
    <w:tbl>
      <w:tblPr>
        <w:tblW w:type="dxa" w:w="8868"/>
        <w:jc w:val="center"/>
        <w:tblLayout w:type="fixed"/>
        <w:tblLook w:firstColumn="1" w:firstRow="1" w:lastColumn="0" w:lastRow="0" w:noHBand="0" w:noVBand="1" w:val="04A0"/>
      </w:tblPr>
      <w:tblGrid>
        <w:gridCol w:w="5308"/>
        <w:gridCol w:w="3560"/>
      </w:tblGrid>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pStyle w:val="ad"/>
              <w:adjustRightInd w:val="0"/>
              <w:snapToGrid w:val="0"/>
              <w:spacing w:line="288" w:lineRule="auto"/>
              <w:rPr>
                <w:rFonts w:eastAsia="方正仿宋简体"/>
                <w:color w:val="000000"/>
              </w:rPr>
            </w:pPr>
            <w:r w:rsidRPr="00ED2620">
              <w:rPr>
                <w:color w:val="000000"/>
              </w:rPr>
              <w:t>报告期期初管理人持有的本基金份额</w:t>
            </w:r>
            <w:r w:rsidRPr="00ED2620">
              <w:rPr>
                <w:rFonts w:eastAsiaTheme="minorEastAsia"/>
              </w:rPr>
              <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sz w:val="24"/>
                <w:szCs w:val="24"/>
              </w:rPr>
            </w:pPr>
            <w:r w:rsidRPr="00ED2620">
              <w:rPr>
                <w:rFonts w:eastAsiaTheme="minorEastAsia"/>
                <w:color w:val="000000"/>
                <w:sz w:val="24"/>
              </w:rPr>
              <w:t>18,126,023.83</w:t>
            </w:r>
          </w:p>
        </w:tc>
      </w:tr>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w:t>
            </w:r>
            <w:r w:rsidRPr="00ED2620">
              <w:rPr>
                <w:color w:val="000000"/>
                <w:sz w:val="24"/>
              </w:rPr>
              <w:lastRenderedPageBreak/>
              <w:t>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color w:val="000000"/>
                <w:kern w:val="0"/>
                <w:sz w:val="24"/>
                <w:szCs w:val="24"/>
              </w:rPr>
            </w:pPr>
            <w:r w:rsidRPr="00ED2620">
              <w:rPr>
                <w:rFonts w:eastAsiaTheme="minorEastAsia"/>
                <w:color w:val="000000"/>
                <w:sz w:val="24"/>
              </w:rPr>
              <w:lastRenderedPageBreak/>
              <w:t/>
            </w:r>
            <w:r w:rsidRPr="00ED2620">
              <w:rPr>
                <w:rFonts w:eastAsiaTheme="minorEastAsia"/>
                <w:color w:val="000000"/>
                <w:sz w:val="24"/>
              </w:rPr>
              <w:lastRenderedPageBreak/>
              <w:t>-</w:t>
            </w:r>
          </w:p>
        </w:tc>
      </w:tr>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adjustRightInd w:val="0"/>
              <w:snapToGrid w:val="0"/>
              <w:spacing w:line="288" w:lineRule="auto"/>
              <w:rPr>
                <w:color w:val="000000"/>
                <w:sz w:val="24"/>
                <w:szCs w:val="24"/>
              </w:rPr>
            </w:pPr>
            <w:r w:rsidRPr="00ED2620">
              <w:rPr>
                <w:rFonts w:eastAsiaTheme="minorEastAsia"/>
                <w:color w:val="000000"/>
                <w:kern w:val="0"/>
                <w:sz w:val="24"/>
              </w:rPr>
              <w:lastRenderedPageBreak/>
              <w:t>本报告期</w:t>
            </w:r>
            <w:r w:rsidRPr="00ED2620">
              <w:rPr>
                <w:color w:val="000000"/>
                <w:sz w:val="24"/>
              </w:rPr>
              <w:t>卖出</w:t>
            </w:r>
            <w:r w:rsidRPr="00ED2620">
              <w:rPr>
                <w:color w:val="000000"/>
                <w:sz w:val="24"/>
              </w:rPr>
              <w:t>/</w:t>
            </w:r>
            <w:r w:rsidRPr="00ED2620">
              <w:rPr>
                <w:color w:val="000000"/>
                <w:sz w:val="24"/>
              </w:rPr>
              <w:t>赎回总份额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adjustRightInd w:val="0"/>
              <w:snapToGrid w:val="0"/>
              <w:spacing w:line="288" w:lineRule="auto"/>
              <w:rPr>
                <w:color w:val="000000"/>
                <w:sz w:val="24"/>
                <w:szCs w:val="24"/>
              </w:rPr>
            </w:pPr>
            <w:r w:rsidRPr="00ED2620">
              <w:rPr>
                <w:color w:val="000000"/>
                <w:sz w:val="24"/>
              </w:rPr>
              <w:t>报告期期末管理人持有的本基金份额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sz w:val="24"/>
                <w:szCs w:val="24"/>
              </w:rPr>
            </w:pPr>
            <w:r w:rsidRPr="00ED2620">
              <w:rPr>
                <w:rFonts w:eastAsiaTheme="minorEastAsia"/>
                <w:color w:val="000000"/>
                <w:sz w:val="24"/>
              </w:rPr>
              <w:t>18,126,023.83</w:t>
            </w:r>
          </w:p>
        </w:tc>
      </w:tr>
      <w:tr w:rsidR="00ED2620" w:rsidRPr="00ED2620" w:rsidTr="006075E6">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C15CAC" w:rsidR="00ED2620" w:rsidRDefault="00ED2620" w:rsidRPr="00ED2620">
            <w:pPr>
              <w:spacing w:line="288" w:lineRule="auto"/>
              <w:jc w:val="right"/>
              <w:rPr>
                <w:rFonts w:eastAsiaTheme="minorEastAsia"/>
                <w:color w:val="000000"/>
                <w:kern w:val="0"/>
                <w:sz w:val="24"/>
                <w:szCs w:val="24"/>
              </w:rPr>
            </w:pPr>
            <w:r w:rsidRPr="00ED2620">
              <w:rPr>
                <w:rFonts w:eastAsiaTheme="minorEastAsia"/>
                <w:color w:val="000000"/>
                <w:sz w:val="24"/>
              </w:rPr>
              <w:t>7.09</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2、如果本报告期间发生转换出业务，则总赎回份额中包含该业务。</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2020/1/1-2020/3/31</w:t>
            </w:r>
          </w:p>
        </w:tc>
        <w:tc>
          <w:tcPr>
            <w:vAlign w:val="center"/>
          </w:tcPr>
          <w:p>
            <w:pPr>
              <w:jc w:val="center"/>
            </w:pPr>
            <w:r>
              <w:rPr>
                <w:rFonts w:ascii="宋体" w:hAnsi="宋体"/>
                <w:color w:val="000000"/>
                <w:kern w:val="0"/>
              </w:rPr>
              <w:t>54,880,228.86</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54,880,228.86</w:t>
            </w:r>
          </w:p>
        </w:tc>
        <w:tc>
          <w:tcPr>
            <w:vAlign w:val="center"/>
          </w:tcPr>
          <w:p>
            <w:pPr>
              <w:jc w:val="center"/>
            </w:pPr>
            <w:r>
              <w:rPr>
                <w:rFonts w:ascii="宋体" w:hAnsi="宋体"/>
                <w:color w:val="000000"/>
                <w:kern w:val="0"/>
              </w:rPr>
              <w:t>21.46%</w:t>
            </w:r>
          </w:p>
        </w:tc>
      </w:tr>
      <w:tr>
        <w:tc>
          <w:tcPr>
            <w:vMerge/>
          </w:tcPr>
          <w:p/>
        </w:tc>
        <w:tc>
          <w:tcPr>
            <w:vAlign w:val="center"/>
          </w:tcPr>
          <w:p>
            <w:pPr>
              <w:jc w:val="center"/>
            </w:pPr>
            <w:r>
              <w:rPr>
                <w:rFonts w:ascii="宋体" w:hAnsi="宋体"/>
                <w:color w:val="000000"/>
                <w:kern w:val="0"/>
              </w:rPr>
              <w:t>2</w:t>
            </w:r>
          </w:p>
        </w:tc>
        <w:tc>
          <w:tcPr>
            <w:vAlign w:val="center"/>
          </w:tcPr>
          <w:p>
            <w:pPr>
              <w:jc w:val="center"/>
            </w:pPr>
            <w:r>
              <w:rPr>
                <w:rFonts w:ascii="宋体" w:hAnsi="宋体"/>
                <w:color w:val="000000"/>
                <w:kern w:val="0"/>
              </w:rPr>
              <w:t>2020/1/1-2020/3/31</w:t>
            </w:r>
          </w:p>
        </w:tc>
        <w:tc>
          <w:tcPr>
            <w:vAlign w:val="center"/>
          </w:tcPr>
          <w:p>
            <w:pPr>
              <w:jc w:val="center"/>
            </w:pPr>
            <w:r>
              <w:rPr>
                <w:rFonts w:ascii="宋体" w:hAnsi="宋体"/>
                <w:color w:val="000000"/>
                <w:kern w:val="0"/>
              </w:rPr>
              <w:t>158,612,292.22</w:t>
            </w:r>
          </w:p>
        </w:tc>
        <w:tc>
          <w:tcPr>
            <w:vAlign w:val="center"/>
          </w:tcPr>
          <w:p>
            <w:pPr>
              <w:jc w:val="center"/>
            </w:pPr>
            <w:r>
              <w:rPr>
                <w:rFonts w:ascii="宋体" w:hAnsi="宋体"/>
                <w:color w:val="000000"/>
                <w:kern w:val="0"/>
              </w:rPr>
              <w:t>85,306,632.05</w:t>
            </w:r>
          </w:p>
        </w:tc>
        <w:tc>
          <w:tcPr>
            <w:vAlign w:val="center"/>
          </w:tcPr>
          <w:p>
            <w:pPr>
              <w:jc w:val="center"/>
            </w:pPr>
            <w:r>
              <w:rPr>
                <w:rFonts w:ascii="宋体" w:hAnsi="宋体"/>
                <w:color w:val="000000"/>
                <w:kern w:val="0"/>
              </w:rPr>
              <w:t>188,630,000.00</w:t>
            </w:r>
          </w:p>
        </w:tc>
        <w:tc>
          <w:tcPr>
            <w:vAlign w:val="center"/>
          </w:tcPr>
          <w:p>
            <w:pPr>
              <w:jc w:val="center"/>
            </w:pPr>
            <w:r>
              <w:rPr>
                <w:rFonts w:ascii="宋体" w:hAnsi="宋体"/>
                <w:color w:val="000000"/>
                <w:kern w:val="0"/>
              </w:rPr>
              <w:t>55,288,924.27</w:t>
            </w:r>
          </w:p>
        </w:tc>
        <w:tc>
          <w:tcPr>
            <w:vAlign w:val="center"/>
          </w:tcPr>
          <w:p>
            <w:pPr>
              <w:jc w:val="center"/>
            </w:pPr>
            <w:r>
              <w:rPr>
                <w:rFonts w:ascii="宋体" w:hAnsi="宋体"/>
                <w:color w:val="000000"/>
                <w:kern w:val="0"/>
              </w:rPr>
              <w:t>21.62%</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1、中国证监会批准交银施罗德沪深300行业分层等权重指数证券投资基金募集的文件；</w:t>
      </w:r>
    </w:p>
    <w:p>
      <w:pPr>
        <w:spacing w:before="29" w:line="288" w:lineRule="auto"/>
        <w:ind w:firstLine="480" w:firstLineChars="200"/>
        <w:rPr>
          <w:color w:val="000000"/>
          <w:sz w:val="24"/>
          <w:szCs w:val="24"/>
        </w:rPr>
      </w:pPr>
      <w:r>
        <w:rPr>
          <w:color w:val="000000"/>
          <w:sz w:val="24"/>
          <w:szCs w:val="24"/>
        </w:rPr>
        <w:t>2、《交银施罗德消费新驱动股票型证券投资基金基金合同》；</w:t>
      </w:r>
    </w:p>
    <w:p>
      <w:pPr>
        <w:spacing w:before="29" w:line="288" w:lineRule="auto"/>
        <w:ind w:firstLine="480" w:firstLineChars="200"/>
        <w:rPr>
          <w:color w:val="000000"/>
          <w:sz w:val="24"/>
          <w:szCs w:val="24"/>
        </w:rPr>
      </w:pPr>
      <w:r>
        <w:rPr>
          <w:color w:val="000000"/>
          <w:sz w:val="24"/>
          <w:szCs w:val="24"/>
        </w:rPr>
        <w:t>3、《交银施罗德消费新驱动股票型证券投资基金招募说明书》；</w:t>
      </w:r>
    </w:p>
    <w:p>
      <w:pPr>
        <w:spacing w:before="29" w:line="288" w:lineRule="auto"/>
        <w:ind w:firstLine="480" w:firstLineChars="200"/>
        <w:rPr>
          <w:color w:val="000000"/>
          <w:sz w:val="24"/>
          <w:szCs w:val="24"/>
        </w:rPr>
      </w:pPr>
      <w:r>
        <w:rPr>
          <w:color w:val="000000"/>
          <w:sz w:val="24"/>
          <w:szCs w:val="24"/>
        </w:rPr>
        <w:t>4、《交银施罗德消费新驱动股票型证券投资基金托管协议》；</w:t>
      </w:r>
    </w:p>
    <w:p>
      <w:pPr>
        <w:spacing w:before="29" w:line="288" w:lineRule="auto"/>
        <w:ind w:firstLine="480" w:firstLineChars="200"/>
        <w:rPr>
          <w:color w:val="000000"/>
          <w:sz w:val="24"/>
          <w:szCs w:val="24"/>
        </w:rPr>
      </w:pPr>
      <w:r>
        <w:rPr>
          <w:color w:val="000000"/>
          <w:sz w:val="24"/>
          <w:szCs w:val="24"/>
        </w:rPr>
        <w:t>5、《交银施罗德沪深300行业分层等权重指数证券投资基金基金合同》；</w:t>
      </w:r>
    </w:p>
    <w:p>
      <w:pPr>
        <w:spacing w:before="29" w:line="288" w:lineRule="auto"/>
        <w:ind w:firstLine="480" w:firstLineChars="200"/>
        <w:rPr>
          <w:color w:val="000000"/>
          <w:sz w:val="24"/>
          <w:szCs w:val="24"/>
        </w:rPr>
      </w:pPr>
      <w:r>
        <w:rPr>
          <w:color w:val="000000"/>
          <w:sz w:val="24"/>
          <w:szCs w:val="24"/>
        </w:rPr>
        <w:t>6、《交银施罗德沪深300行业分层等权重指数证券投资基金招募说明书》；</w:t>
      </w:r>
    </w:p>
    <w:p>
      <w:pPr>
        <w:spacing w:before="29" w:line="288" w:lineRule="auto"/>
        <w:ind w:firstLine="480" w:firstLineChars="200"/>
        <w:rPr>
          <w:color w:val="000000"/>
          <w:sz w:val="24"/>
          <w:szCs w:val="24"/>
        </w:rPr>
      </w:pPr>
      <w:r>
        <w:rPr>
          <w:color w:val="000000"/>
          <w:sz w:val="24"/>
          <w:szCs w:val="24"/>
        </w:rPr>
        <w:t>7、《交银施罗德沪深300行业分层等权重指数证券投资基金托管协议》；</w:t>
      </w:r>
    </w:p>
    <w:p>
      <w:pPr>
        <w:spacing w:before="29" w:line="288" w:lineRule="auto"/>
        <w:ind w:firstLine="480" w:firstLineChars="200"/>
        <w:rPr>
          <w:color w:val="000000"/>
          <w:sz w:val="24"/>
          <w:szCs w:val="24"/>
        </w:rPr>
      </w:pPr>
      <w:r>
        <w:rPr>
          <w:color w:val="000000"/>
          <w:sz w:val="24"/>
          <w:szCs w:val="24"/>
        </w:rPr>
        <w:t>8、基金管理人业务资格批件、营业执照；</w:t>
      </w:r>
    </w:p>
    <w:p>
      <w:pPr>
        <w:spacing w:before="29" w:line="288" w:lineRule="auto"/>
        <w:ind w:firstLine="480" w:firstLineChars="200"/>
        <w:rPr>
          <w:color w:val="000000"/>
          <w:sz w:val="24"/>
          <w:szCs w:val="24"/>
        </w:rPr>
      </w:pPr>
      <w:r>
        <w:rPr>
          <w:color w:val="000000"/>
          <w:sz w:val="24"/>
          <w:szCs w:val="24"/>
        </w:rPr>
        <w:t>9、基金托管人业务资格批件、营业执照；</w:t>
      </w:r>
    </w:p>
    <w:p>
      <w:pPr>
        <w:spacing w:before="29" w:line="288" w:lineRule="auto"/>
        <w:ind w:firstLine="480" w:firstLineChars="200"/>
        <w:rPr>
          <w:color w:val="000000"/>
          <w:sz w:val="24"/>
          <w:szCs w:val="24"/>
        </w:rPr>
      </w:pPr>
      <w:r>
        <w:rPr>
          <w:color w:val="000000"/>
          <w:sz w:val="24"/>
          <w:szCs w:val="24"/>
        </w:rPr>
        <w:t>10、关于申请募集交银施罗德沪深300行业分层等权重指数证券投资基金之法律意见书；</w:t>
      </w:r>
    </w:p>
    <w:p>
      <w:pPr>
        <w:spacing w:before="29" w:line="288" w:lineRule="auto"/>
        <w:ind w:firstLine="480" w:firstLineChars="200"/>
        <w:rPr>
          <w:color w:val="000000"/>
          <w:sz w:val="24"/>
          <w:szCs w:val="24"/>
        </w:rPr>
      </w:pPr>
      <w:r>
        <w:rPr>
          <w:color w:val="000000"/>
          <w:sz w:val="24"/>
          <w:szCs w:val="24"/>
        </w:rPr>
        <w:t>11、关于《申请交银施罗德沪深300行业分层等权重指数证券投资基金变更注册为交银施罗德消费新驱动股票型证券投资基金》的法律意见；</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12、报告期内交银施罗德消费新驱动股票型证券投资基金、交银施罗德沪深300行业分层等权重指数证券投资基金在指定报刊上各项公告的原稿。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交银施罗德消费新驱动股票型证券投资基金2020年第1季度报告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