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交银施罗德裕泰两年定期开放债券型证券投资基金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基金托管人：上海浦东发展银行股份有限公司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E7D05" w:rsidRDefault="00D80EA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基金托管人上海浦东发展银行股份有限公司根据本基金合同规定，于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交银裕泰两年定期开放债券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008223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008223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11,650,253,428.57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本基金封闭期内采取严格的买入持有到期投资策略，投资于剩余期限（或回售期限）不超过基金剩余封闭期的固定收益类工具，力争基金资产的稳健增值。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封闭期为周期进行投资运作。在封闭期内，本基金将在坚持组合久期与封闭期基本匹配的原则下，采用持有到期策略构建投资组合，基本保持大类品种配置的比例恒定，所投资金融资产以收取合同现金流量为目的，并持有到期，所投资资产到期日（或回售日）不晚于封闭期的到期日。本基金投资含回售权的债券时，应在投资该债券前，确定行使回售权或持有至到期的时间；债券到期日晚于封闭期到期日的，基金管理人应当行使回售权而不得持有至到期日。开</w:t>
            </w:r>
            <w:r w:rsidRPr="00414345">
              <w:rPr>
                <w:color w:val="000000"/>
                <w:kern w:val="0"/>
                <w:sz w:val="24"/>
                <w:szCs w:val="24"/>
              </w:rPr>
              <w:lastRenderedPageBreak/>
              <w:t>放期内，本基金为保持较高的流动性，在遵守本基金有关投资限制与投资比例的前提下，主要配置高流动性的投资品种，防范流动性风险，满足开放期流动性的需求。</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在每个封闭期，本基金的业绩比较基准为该封闭期起始日的中国人民银行公布并执行的金融机构两年期定期存款利率（税后）</w:t>
            </w:r>
            <w:r w:rsidRPr="00414345">
              <w:rPr>
                <w:color w:val="000000"/>
                <w:kern w:val="0"/>
                <w:sz w:val="24"/>
                <w:szCs w:val="24"/>
              </w:rPr>
              <w:t>+1%</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上海浦东发展银行股份有限公司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0EAA" w:rsidRPr="00414345" w:rsidTr="00D80EA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80EAA" w:rsidRPr="00414345" w:rsidTr="00D80E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78,853,832.26</w:t>
            </w:r>
          </w:p>
        </w:tc>
      </w:tr>
      <w:tr w:rsidR="00D80EAA" w:rsidRPr="00414345" w:rsidTr="00D80E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78,853,832.26</w:t>
            </w:r>
          </w:p>
        </w:tc>
      </w:tr>
      <w:tr w:rsidR="00D80EAA" w:rsidRPr="00414345" w:rsidTr="00D80E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0.0068</w:t>
            </w:r>
          </w:p>
        </w:tc>
      </w:tr>
      <w:tr w:rsidR="00D80EAA" w:rsidRPr="00414345" w:rsidTr="00D80E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11,745,975,360.27</w:t>
            </w:r>
          </w:p>
        </w:tc>
      </w:tr>
      <w:tr w:rsidR="00D80EAA" w:rsidRPr="00414345" w:rsidTr="00D80EA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1.0082</w:t>
            </w:r>
          </w:p>
        </w:tc>
      </w:tr>
    </w:tbl>
    <w:p w:rsidR="005E7D05" w:rsidRDefault="00D80E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E7D05">
        <w:trPr>
          <w:jc w:val="center"/>
        </w:trPr>
        <w:tc>
          <w:tcPr>
            <w:tcW w:w="1701" w:type="dxa"/>
            <w:vAlign w:val="center"/>
          </w:tcPr>
          <w:p w:rsidR="005E7D05" w:rsidRDefault="00D80EAA">
            <w:pPr>
              <w:jc w:val="left"/>
            </w:pPr>
            <w:r>
              <w:rPr>
                <w:color w:val="000000"/>
                <w:sz w:val="24"/>
                <w:szCs w:val="24"/>
              </w:rPr>
              <w:lastRenderedPageBreak/>
              <w:t>过去三个月</w:t>
            </w:r>
          </w:p>
        </w:tc>
        <w:tc>
          <w:tcPr>
            <w:tcW w:w="1045" w:type="dxa"/>
            <w:vAlign w:val="center"/>
          </w:tcPr>
          <w:p w:rsidR="005E7D05" w:rsidRDefault="00D80EAA">
            <w:pPr>
              <w:jc w:val="center"/>
            </w:pPr>
            <w:r>
              <w:rPr>
                <w:color w:val="000000"/>
                <w:sz w:val="24"/>
                <w:szCs w:val="24"/>
              </w:rPr>
              <w:t>0.68%</w:t>
            </w:r>
          </w:p>
        </w:tc>
        <w:tc>
          <w:tcPr>
            <w:tcW w:w="1344" w:type="dxa"/>
            <w:vAlign w:val="center"/>
          </w:tcPr>
          <w:p w:rsidR="005E7D05" w:rsidRDefault="00D80EAA">
            <w:pPr>
              <w:jc w:val="center"/>
            </w:pPr>
            <w:r>
              <w:rPr>
                <w:color w:val="000000"/>
                <w:sz w:val="24"/>
                <w:szCs w:val="24"/>
              </w:rPr>
              <w:t>0.01%</w:t>
            </w:r>
          </w:p>
        </w:tc>
        <w:tc>
          <w:tcPr>
            <w:tcW w:w="1194" w:type="dxa"/>
            <w:vAlign w:val="center"/>
          </w:tcPr>
          <w:p w:rsidR="005E7D05" w:rsidRDefault="00D80EAA">
            <w:pPr>
              <w:jc w:val="center"/>
            </w:pPr>
            <w:r>
              <w:rPr>
                <w:color w:val="000000"/>
                <w:sz w:val="24"/>
                <w:szCs w:val="24"/>
              </w:rPr>
              <w:t>0.78%</w:t>
            </w:r>
          </w:p>
        </w:tc>
        <w:tc>
          <w:tcPr>
            <w:tcW w:w="1492" w:type="dxa"/>
            <w:vAlign w:val="center"/>
          </w:tcPr>
          <w:p w:rsidR="005E7D05" w:rsidRDefault="00D80EAA">
            <w:pPr>
              <w:jc w:val="center"/>
            </w:pPr>
            <w:r>
              <w:rPr>
                <w:color w:val="000000"/>
                <w:sz w:val="24"/>
                <w:szCs w:val="24"/>
              </w:rPr>
              <w:t>0.01%</w:t>
            </w:r>
          </w:p>
        </w:tc>
        <w:tc>
          <w:tcPr>
            <w:tcW w:w="1194" w:type="dxa"/>
            <w:vAlign w:val="center"/>
          </w:tcPr>
          <w:p w:rsidR="005E7D05" w:rsidRDefault="00D80EAA">
            <w:pPr>
              <w:jc w:val="center"/>
            </w:pPr>
            <w:r>
              <w:rPr>
                <w:color w:val="000000"/>
                <w:sz w:val="24"/>
                <w:szCs w:val="24"/>
              </w:rPr>
              <w:t>-0.10%</w:t>
            </w:r>
          </w:p>
        </w:tc>
        <w:tc>
          <w:tcPr>
            <w:tcW w:w="898" w:type="dxa"/>
            <w:vAlign w:val="center"/>
          </w:tcPr>
          <w:p w:rsidR="005E7D05" w:rsidRDefault="00D80EAA">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交银施罗德裕泰两年定期开放债券型证券投资基金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2A3903" w:rsidRPr="002A3903">
        <w:rPr>
          <w:rFonts w:hint="eastAsia"/>
          <w:color w:val="000000"/>
          <w:sz w:val="24"/>
          <w:szCs w:val="24"/>
        </w:rPr>
        <w:t>本基金基金合同生效日为</w:t>
      </w:r>
      <w:r w:rsidR="002A3903" w:rsidRPr="002A3903">
        <w:rPr>
          <w:rFonts w:hint="eastAsia"/>
          <w:color w:val="000000"/>
          <w:sz w:val="24"/>
          <w:szCs w:val="24"/>
        </w:rPr>
        <w:t>2019</w:t>
      </w:r>
      <w:r w:rsidR="002A3903" w:rsidRPr="002A3903">
        <w:rPr>
          <w:rFonts w:hint="eastAsia"/>
          <w:color w:val="000000"/>
          <w:sz w:val="24"/>
          <w:szCs w:val="24"/>
        </w:rPr>
        <w:t>年</w:t>
      </w:r>
      <w:r w:rsidR="002A3903" w:rsidRPr="002A3903">
        <w:rPr>
          <w:rFonts w:hint="eastAsia"/>
          <w:color w:val="000000"/>
          <w:sz w:val="24"/>
          <w:szCs w:val="24"/>
        </w:rPr>
        <w:t>12</w:t>
      </w:r>
      <w:r w:rsidR="002A3903" w:rsidRPr="002A3903">
        <w:rPr>
          <w:rFonts w:hint="eastAsia"/>
          <w:color w:val="000000"/>
          <w:sz w:val="24"/>
          <w:szCs w:val="24"/>
        </w:rPr>
        <w:t>月</w:t>
      </w:r>
      <w:r w:rsidR="002A3903" w:rsidRPr="002A3903">
        <w:rPr>
          <w:rFonts w:hint="eastAsia"/>
          <w:color w:val="000000"/>
          <w:sz w:val="24"/>
          <w:szCs w:val="24"/>
        </w:rPr>
        <w:t>10</w:t>
      </w:r>
      <w:r w:rsidR="002A3903" w:rsidRPr="002A3903">
        <w:rPr>
          <w:rFonts w:hint="eastAsia"/>
          <w:color w:val="000000"/>
          <w:sz w:val="24"/>
          <w:szCs w:val="24"/>
        </w:rPr>
        <w:t>日，基金合同生效日至报告期期末，本基金运作时间未满一年。本基金建仓期为自每个封闭期开始之日起</w:t>
      </w:r>
      <w:r w:rsidR="002A3903" w:rsidRPr="002A3903">
        <w:rPr>
          <w:rFonts w:hint="eastAsia"/>
          <w:color w:val="000000"/>
          <w:sz w:val="24"/>
          <w:szCs w:val="24"/>
        </w:rPr>
        <w:t>3</w:t>
      </w:r>
      <w:r w:rsidR="002A3903" w:rsidRPr="002A3903">
        <w:rPr>
          <w:rFonts w:hint="eastAsia"/>
          <w:color w:val="000000"/>
          <w:sz w:val="24"/>
          <w:szCs w:val="24"/>
        </w:rPr>
        <w:t>个月。截至建仓期结束，本基金各项资产配置比例符合基金合同及招募说明书有关投资比例的约定。</w:t>
      </w:r>
      <w:bookmarkStart w:id="0" w:name="_GoBack"/>
      <w:bookmarkEnd w:id="0"/>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E7D05">
        <w:trPr>
          <w:jc w:val="center"/>
        </w:trPr>
        <w:tc>
          <w:tcPr>
            <w:tcW w:w="846" w:type="dxa"/>
            <w:vAlign w:val="center"/>
          </w:tcPr>
          <w:p w:rsidR="005E7D05" w:rsidRDefault="00D80EAA">
            <w:pPr>
              <w:jc w:val="center"/>
            </w:pPr>
            <w:r>
              <w:rPr>
                <w:color w:val="000000"/>
                <w:sz w:val="24"/>
                <w:szCs w:val="24"/>
              </w:rPr>
              <w:t>于海颖</w:t>
            </w:r>
          </w:p>
        </w:tc>
        <w:tc>
          <w:tcPr>
            <w:tcW w:w="845" w:type="dxa"/>
            <w:vAlign w:val="center"/>
          </w:tcPr>
          <w:p w:rsidR="005E7D05" w:rsidRDefault="00D80EAA">
            <w:pPr>
              <w:jc w:val="center"/>
            </w:pPr>
            <w:r>
              <w:rPr>
                <w:color w:val="000000"/>
                <w:sz w:val="24"/>
                <w:szCs w:val="24"/>
              </w:rPr>
              <w:t>交银增利债券、交银纯债债券</w:t>
            </w:r>
            <w:r>
              <w:rPr>
                <w:color w:val="000000"/>
                <w:sz w:val="24"/>
                <w:szCs w:val="24"/>
              </w:rPr>
              <w:lastRenderedPageBreak/>
              <w:t>发起、交银丰盈收益债券、交银丰晟收益债券、交银裕如纯债债券、交银裕泰两年定期开放债券、交银裕坤纯债一年定期开放债券的基金经理，公司固定收益（公募）投资总监</w:t>
            </w:r>
          </w:p>
        </w:tc>
        <w:tc>
          <w:tcPr>
            <w:tcW w:w="1549" w:type="dxa"/>
            <w:vAlign w:val="center"/>
          </w:tcPr>
          <w:p w:rsidR="005E7D05" w:rsidRDefault="00D80EAA">
            <w:pPr>
              <w:jc w:val="center"/>
            </w:pPr>
            <w:r>
              <w:rPr>
                <w:color w:val="000000"/>
                <w:sz w:val="24"/>
                <w:szCs w:val="24"/>
              </w:rPr>
              <w:lastRenderedPageBreak/>
              <w:t>2019-12-10</w:t>
            </w:r>
          </w:p>
        </w:tc>
        <w:tc>
          <w:tcPr>
            <w:tcW w:w="1548" w:type="dxa"/>
            <w:vAlign w:val="center"/>
          </w:tcPr>
          <w:p w:rsidR="005E7D05" w:rsidRDefault="00D80EAA">
            <w:pPr>
              <w:jc w:val="center"/>
            </w:pPr>
            <w:r>
              <w:rPr>
                <w:color w:val="000000"/>
                <w:sz w:val="24"/>
                <w:szCs w:val="24"/>
              </w:rPr>
              <w:t>-</w:t>
            </w:r>
          </w:p>
        </w:tc>
        <w:tc>
          <w:tcPr>
            <w:tcW w:w="1407" w:type="dxa"/>
            <w:vAlign w:val="center"/>
          </w:tcPr>
          <w:p w:rsidR="005E7D05" w:rsidRDefault="00D80EAA">
            <w:pPr>
              <w:jc w:val="center"/>
            </w:pPr>
            <w:r>
              <w:rPr>
                <w:color w:val="000000"/>
                <w:sz w:val="24"/>
                <w:szCs w:val="24"/>
              </w:rPr>
              <w:t>14</w:t>
            </w:r>
            <w:r>
              <w:rPr>
                <w:color w:val="000000"/>
                <w:sz w:val="24"/>
                <w:szCs w:val="24"/>
              </w:rPr>
              <w:t>年</w:t>
            </w:r>
          </w:p>
        </w:tc>
        <w:tc>
          <w:tcPr>
            <w:tcW w:w="2673" w:type="dxa"/>
            <w:vAlign w:val="center"/>
          </w:tcPr>
          <w:p w:rsidR="005E7D05" w:rsidRDefault="00D80EAA">
            <w:r>
              <w:rPr>
                <w:color w:val="000000"/>
                <w:sz w:val="24"/>
                <w:szCs w:val="24"/>
              </w:rPr>
              <w:t>于海颖女士，天津大学数量经济学硕士、经济学学士。历任北方国际信托投资股份有限公司固定收益研究员，光大保德信基金管理有限公</w:t>
            </w:r>
            <w:r>
              <w:rPr>
                <w:color w:val="000000"/>
                <w:sz w:val="24"/>
                <w:szCs w:val="24"/>
              </w:rPr>
              <w:lastRenderedPageBreak/>
              <w:t>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w:t>
            </w:r>
            <w:r>
              <w:rPr>
                <w:color w:val="000000"/>
                <w:sz w:val="24"/>
                <w:szCs w:val="24"/>
              </w:rPr>
              <w:lastRenderedPageBreak/>
              <w:t>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5E7D05">
        <w:trPr>
          <w:jc w:val="center"/>
        </w:trPr>
        <w:tc>
          <w:tcPr>
            <w:tcW w:w="846" w:type="dxa"/>
            <w:vAlign w:val="center"/>
          </w:tcPr>
          <w:p w:rsidR="005E7D05" w:rsidRDefault="00D80EAA">
            <w:pPr>
              <w:jc w:val="center"/>
            </w:pPr>
            <w:r>
              <w:rPr>
                <w:color w:val="000000"/>
                <w:sz w:val="24"/>
                <w:szCs w:val="24"/>
              </w:rPr>
              <w:lastRenderedPageBreak/>
              <w:t>魏玉敏</w:t>
            </w:r>
          </w:p>
        </w:tc>
        <w:tc>
          <w:tcPr>
            <w:tcW w:w="845" w:type="dxa"/>
            <w:vAlign w:val="center"/>
          </w:tcPr>
          <w:p w:rsidR="005E7D05" w:rsidRDefault="00D80EAA">
            <w:pPr>
              <w:jc w:val="center"/>
            </w:pPr>
            <w:r>
              <w:rPr>
                <w:color w:val="000000"/>
                <w:sz w:val="24"/>
                <w:szCs w:val="24"/>
              </w:rPr>
              <w:t>交银增利债券、交银纯债债券发起、交银丰润收益债券、交银增利增强债券、交银丰晟收益债券、交银裕如纯债债券、交银中债</w:t>
            </w:r>
            <w:r>
              <w:rPr>
                <w:color w:val="000000"/>
                <w:sz w:val="24"/>
                <w:szCs w:val="24"/>
              </w:rPr>
              <w:t>1-3</w:t>
            </w:r>
            <w:r>
              <w:rPr>
                <w:color w:val="000000"/>
                <w:sz w:val="24"/>
                <w:szCs w:val="24"/>
              </w:rPr>
              <w:t>年</w:t>
            </w:r>
            <w:r>
              <w:rPr>
                <w:color w:val="000000"/>
                <w:sz w:val="24"/>
                <w:szCs w:val="24"/>
              </w:rPr>
              <w:lastRenderedPageBreak/>
              <w:t>农发债指数、交银可转债债券、交银裕泰两年定期开放债券的基金经理</w:t>
            </w:r>
          </w:p>
        </w:tc>
        <w:tc>
          <w:tcPr>
            <w:tcW w:w="1549" w:type="dxa"/>
            <w:vAlign w:val="center"/>
          </w:tcPr>
          <w:p w:rsidR="005E7D05" w:rsidRDefault="00D80EAA">
            <w:pPr>
              <w:jc w:val="center"/>
            </w:pPr>
            <w:r>
              <w:rPr>
                <w:color w:val="000000"/>
                <w:sz w:val="24"/>
                <w:szCs w:val="24"/>
              </w:rPr>
              <w:lastRenderedPageBreak/>
              <w:t>2019-12-10</w:t>
            </w:r>
          </w:p>
        </w:tc>
        <w:tc>
          <w:tcPr>
            <w:tcW w:w="1548" w:type="dxa"/>
            <w:vAlign w:val="center"/>
          </w:tcPr>
          <w:p w:rsidR="005E7D05" w:rsidRDefault="00D80EAA">
            <w:pPr>
              <w:jc w:val="center"/>
            </w:pPr>
            <w:r>
              <w:rPr>
                <w:color w:val="000000"/>
                <w:sz w:val="24"/>
                <w:szCs w:val="24"/>
              </w:rPr>
              <w:t>-</w:t>
            </w:r>
          </w:p>
        </w:tc>
        <w:tc>
          <w:tcPr>
            <w:tcW w:w="1407" w:type="dxa"/>
            <w:vAlign w:val="center"/>
          </w:tcPr>
          <w:p w:rsidR="005E7D05" w:rsidRDefault="00D80EAA">
            <w:pPr>
              <w:jc w:val="center"/>
            </w:pPr>
            <w:r>
              <w:rPr>
                <w:color w:val="000000"/>
                <w:sz w:val="24"/>
                <w:szCs w:val="24"/>
              </w:rPr>
              <w:t>8</w:t>
            </w:r>
            <w:r>
              <w:rPr>
                <w:color w:val="000000"/>
                <w:sz w:val="24"/>
                <w:szCs w:val="24"/>
              </w:rPr>
              <w:t>年</w:t>
            </w:r>
          </w:p>
        </w:tc>
        <w:tc>
          <w:tcPr>
            <w:tcW w:w="2673" w:type="dxa"/>
            <w:vAlign w:val="center"/>
          </w:tcPr>
          <w:p w:rsidR="005E7D05" w:rsidRDefault="00D80EAA">
            <w:r>
              <w:rPr>
                <w:color w:val="000000"/>
                <w:sz w:val="24"/>
                <w:szCs w:val="24"/>
              </w:rPr>
              <w:t>魏玉敏女士，厦门大学金融学硕士、学士。</w:t>
            </w:r>
            <w:r>
              <w:rPr>
                <w:color w:val="000000"/>
                <w:sz w:val="24"/>
                <w:szCs w:val="24"/>
              </w:rPr>
              <w:t>2012</w:t>
            </w:r>
            <w:r>
              <w:rPr>
                <w:color w:val="000000"/>
                <w:sz w:val="24"/>
                <w:szCs w:val="24"/>
              </w:rPr>
              <w:t>年至</w:t>
            </w:r>
            <w:r>
              <w:rPr>
                <w:color w:val="000000"/>
                <w:sz w:val="24"/>
                <w:szCs w:val="24"/>
              </w:rPr>
              <w:t>2013</w:t>
            </w:r>
            <w:r>
              <w:rPr>
                <w:color w:val="000000"/>
                <w:sz w:val="24"/>
                <w:szCs w:val="24"/>
              </w:rPr>
              <w:t>年任招商证券固定收益研究员，</w:t>
            </w:r>
            <w:r>
              <w:rPr>
                <w:color w:val="000000"/>
                <w:sz w:val="24"/>
                <w:szCs w:val="24"/>
              </w:rPr>
              <w:t>2013</w:t>
            </w:r>
            <w:r>
              <w:rPr>
                <w:color w:val="000000"/>
                <w:sz w:val="24"/>
                <w:szCs w:val="24"/>
              </w:rPr>
              <w:t>年至</w:t>
            </w:r>
            <w:r>
              <w:rPr>
                <w:color w:val="000000"/>
                <w:sz w:val="24"/>
                <w:szCs w:val="24"/>
              </w:rPr>
              <w:t>2016</w:t>
            </w:r>
            <w:r>
              <w:rPr>
                <w:color w:val="000000"/>
                <w:sz w:val="24"/>
                <w:szCs w:val="24"/>
              </w:rPr>
              <w:t>年任国信证券固定收益高级分析师。</w:t>
            </w:r>
            <w:r>
              <w:rPr>
                <w:color w:val="000000"/>
                <w:sz w:val="24"/>
                <w:szCs w:val="24"/>
              </w:rPr>
              <w:t>2016</w:t>
            </w:r>
            <w:r>
              <w:rPr>
                <w:color w:val="000000"/>
                <w:sz w:val="24"/>
                <w:szCs w:val="24"/>
              </w:rPr>
              <w:t>年加入交银施罗德基金管理有限公司，历任基金经理助理。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E7D05" w:rsidRDefault="00D80EA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E7D05" w:rsidRDefault="00D80EA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E7D05" w:rsidRDefault="00D80EA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E7D05" w:rsidRDefault="00D80EAA">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w:t>
      </w:r>
      <w:r>
        <w:rPr>
          <w:color w:val="000000"/>
          <w:sz w:val="24"/>
          <w:szCs w:val="24"/>
        </w:rPr>
        <w:t>10bp</w:t>
      </w:r>
      <w:r>
        <w:rPr>
          <w:color w:val="000000"/>
          <w:sz w:val="24"/>
          <w:szCs w:val="24"/>
        </w:rPr>
        <w:t>，长端利率大幅下行，悲观情绪快速释放，此后随着国内疫情防控显效，政策也开始加强企业复工，债市转向震荡。进入二月下旬，海外疫情加速扩散，三月初美联储紧急降息</w:t>
      </w:r>
      <w:r>
        <w:rPr>
          <w:color w:val="000000"/>
          <w:sz w:val="24"/>
          <w:szCs w:val="24"/>
        </w:rPr>
        <w:t>50bp</w:t>
      </w:r>
      <w:r>
        <w:rPr>
          <w:color w:val="000000"/>
          <w:sz w:val="24"/>
          <w:szCs w:val="24"/>
        </w:rPr>
        <w:t>后引发全球宽松预期，风险资产快速受到冲击，债券利率进一步向下突破。</w:t>
      </w:r>
      <w:r>
        <w:rPr>
          <w:color w:val="000000"/>
          <w:sz w:val="24"/>
          <w:szCs w:val="24"/>
        </w:rPr>
        <w:t>2020</w:t>
      </w:r>
      <w:r>
        <w:rPr>
          <w:color w:val="000000"/>
          <w:sz w:val="24"/>
          <w:szCs w:val="24"/>
        </w:rPr>
        <w:t>年</w:t>
      </w:r>
      <w:r>
        <w:rPr>
          <w:color w:val="000000"/>
          <w:sz w:val="24"/>
          <w:szCs w:val="24"/>
        </w:rPr>
        <w:t>3</w:t>
      </w:r>
      <w:r>
        <w:rPr>
          <w:color w:val="000000"/>
          <w:sz w:val="24"/>
          <w:szCs w:val="24"/>
        </w:rPr>
        <w:t>月</w:t>
      </w:r>
      <w:r>
        <w:rPr>
          <w:color w:val="000000"/>
          <w:sz w:val="24"/>
          <w:szCs w:val="24"/>
        </w:rPr>
        <w:t>9</w:t>
      </w:r>
      <w:r>
        <w:rPr>
          <w:color w:val="000000"/>
          <w:sz w:val="24"/>
          <w:szCs w:val="24"/>
        </w:rPr>
        <w:t>日起，海外流动性危机显现，全球美元流动性紧张情况下，外资抛压对中国债市带来阶段性的调整，收益率小幅上行。</w:t>
      </w:r>
      <w:r>
        <w:rPr>
          <w:color w:val="000000"/>
          <w:sz w:val="24"/>
          <w:szCs w:val="24"/>
        </w:rPr>
        <w:t>2020</w:t>
      </w:r>
      <w:r>
        <w:rPr>
          <w:color w:val="000000"/>
          <w:sz w:val="24"/>
          <w:szCs w:val="24"/>
        </w:rPr>
        <w:t>年</w:t>
      </w:r>
      <w:r>
        <w:rPr>
          <w:color w:val="000000"/>
          <w:sz w:val="24"/>
          <w:szCs w:val="24"/>
        </w:rPr>
        <w:t>3</w:t>
      </w:r>
      <w:r>
        <w:rPr>
          <w:color w:val="000000"/>
          <w:sz w:val="24"/>
          <w:szCs w:val="24"/>
        </w:rPr>
        <w:t>月</w:t>
      </w:r>
      <w:r>
        <w:rPr>
          <w:color w:val="000000"/>
          <w:sz w:val="24"/>
          <w:szCs w:val="24"/>
        </w:rPr>
        <w:t>16</w:t>
      </w:r>
      <w:r>
        <w:rPr>
          <w:color w:val="000000"/>
          <w:sz w:val="24"/>
          <w:szCs w:val="24"/>
        </w:rPr>
        <w:t>日美联储紧急降息</w:t>
      </w:r>
      <w:r>
        <w:rPr>
          <w:color w:val="000000"/>
          <w:sz w:val="24"/>
          <w:szCs w:val="24"/>
        </w:rPr>
        <w:t>100bp</w:t>
      </w:r>
      <w:r>
        <w:rPr>
          <w:color w:val="000000"/>
          <w:sz w:val="24"/>
          <w:szCs w:val="24"/>
        </w:rPr>
        <w:t>，随后密集推出流动性工具、开启无限量</w:t>
      </w:r>
      <w:r>
        <w:rPr>
          <w:color w:val="000000"/>
          <w:sz w:val="24"/>
          <w:szCs w:val="24"/>
        </w:rPr>
        <w:t>QE</w:t>
      </w:r>
      <w:r>
        <w:rPr>
          <w:color w:val="000000"/>
          <w:sz w:val="24"/>
          <w:szCs w:val="24"/>
        </w:rPr>
        <w:t>等，市场的流动性紧张形势得到缓解，国内债市收益率在降息预期影响下重回下行通道。</w:t>
      </w:r>
    </w:p>
    <w:p w:rsidR="005E7D05" w:rsidRDefault="00D80EAA">
      <w:pPr>
        <w:spacing w:before="29" w:line="288" w:lineRule="auto"/>
        <w:ind w:firstLineChars="200" w:firstLine="480"/>
        <w:rPr>
          <w:color w:val="000000"/>
          <w:sz w:val="24"/>
          <w:szCs w:val="24"/>
        </w:rPr>
      </w:pPr>
      <w:r>
        <w:rPr>
          <w:color w:val="000000"/>
          <w:sz w:val="24"/>
          <w:szCs w:val="24"/>
        </w:rPr>
        <w:t>报告期内，组合以完成基本仓位配置，以政策性金融债和商业银行债为主要配置品种，组合进行了一定的杠杆配置，通过杠杆操作增厚组合收益。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操作策略方面，我们关注本基金可配置券种的投资机会，维持一定的杠杆操作，以提升组合整体静态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A51889"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A51889">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15,952,587,549.64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15,952,587,549.64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6,988,543.06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228,421,288.92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16,187,997,381.62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8038FF" w:rsidRPr="00414345" w:rsidRDefault="008038FF"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D80EAA" w:rsidP="00C15CAC">
            <w:pPr>
              <w:spacing w:before="29" w:line="288" w:lineRule="auto"/>
              <w:ind w:left="17"/>
              <w:jc w:val="center"/>
              <w:rPr>
                <w:color w:val="000000"/>
                <w:sz w:val="24"/>
                <w:szCs w:val="24"/>
              </w:rPr>
            </w:pPr>
            <w:r>
              <w:rPr>
                <w:rFonts w:hint="eastAsia"/>
                <w:color w:val="000000"/>
                <w:sz w:val="24"/>
                <w:szCs w:val="24"/>
              </w:rPr>
              <w:t>摊余</w:t>
            </w:r>
            <w:r>
              <w:rPr>
                <w:color w:val="000000"/>
                <w:sz w:val="24"/>
                <w:szCs w:val="24"/>
              </w:rPr>
              <w:t>成本</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15,952,587,549.64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7,919,768,058.75</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15,952,587,549.64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135.81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注：上表中，附息债券的成本包括债券面值和折溢价，贴现式债券的成本包括债券投资成本和内在应收利息。</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D80EAA" w:rsidP="00C15CAC">
            <w:pPr>
              <w:spacing w:before="29" w:line="288" w:lineRule="auto"/>
              <w:ind w:left="17"/>
              <w:jc w:val="center"/>
              <w:rPr>
                <w:color w:val="000000"/>
                <w:sz w:val="24"/>
                <w:szCs w:val="24"/>
              </w:rPr>
            </w:pPr>
            <w:r>
              <w:rPr>
                <w:rFonts w:hint="eastAsia"/>
                <w:color w:val="000000"/>
                <w:sz w:val="24"/>
                <w:szCs w:val="24"/>
              </w:rPr>
              <w:t>摊余</w:t>
            </w:r>
            <w:r>
              <w:rPr>
                <w:color w:val="000000"/>
                <w:sz w:val="24"/>
                <w:szCs w:val="24"/>
              </w:rPr>
              <w:t>成本</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E7D05">
        <w:trPr>
          <w:jc w:val="center"/>
        </w:trPr>
        <w:tc>
          <w:tcPr>
            <w:tcW w:w="850" w:type="dxa"/>
            <w:vAlign w:val="center"/>
          </w:tcPr>
          <w:p w:rsidR="005E7D05" w:rsidRDefault="00D80EAA">
            <w:pPr>
              <w:jc w:val="center"/>
            </w:pPr>
            <w:r>
              <w:rPr>
                <w:color w:val="000000"/>
                <w:sz w:val="24"/>
                <w:szCs w:val="24"/>
              </w:rPr>
              <w:t>1</w:t>
            </w:r>
          </w:p>
        </w:tc>
        <w:tc>
          <w:tcPr>
            <w:tcW w:w="1475" w:type="dxa"/>
            <w:vAlign w:val="center"/>
          </w:tcPr>
          <w:p w:rsidR="005E7D05" w:rsidRDefault="00D80EAA">
            <w:pPr>
              <w:jc w:val="center"/>
            </w:pPr>
            <w:r>
              <w:rPr>
                <w:color w:val="000000"/>
                <w:sz w:val="24"/>
                <w:szCs w:val="24"/>
              </w:rPr>
              <w:t>160218</w:t>
            </w:r>
          </w:p>
        </w:tc>
        <w:tc>
          <w:tcPr>
            <w:tcW w:w="1769" w:type="dxa"/>
            <w:vAlign w:val="center"/>
          </w:tcPr>
          <w:p w:rsidR="005E7D05" w:rsidRDefault="00D80EAA" w:rsidP="00D80EAA">
            <w:pPr>
              <w:jc w:val="center"/>
            </w:pPr>
            <w:r>
              <w:rPr>
                <w:color w:val="000000"/>
                <w:sz w:val="24"/>
                <w:szCs w:val="24"/>
              </w:rPr>
              <w:t>16</w:t>
            </w:r>
            <w:r>
              <w:rPr>
                <w:color w:val="000000"/>
                <w:sz w:val="24"/>
                <w:szCs w:val="24"/>
              </w:rPr>
              <w:t>国开</w:t>
            </w:r>
            <w:r>
              <w:rPr>
                <w:color w:val="000000"/>
                <w:sz w:val="24"/>
                <w:szCs w:val="24"/>
              </w:rPr>
              <w:t>18</w:t>
            </w:r>
          </w:p>
        </w:tc>
        <w:tc>
          <w:tcPr>
            <w:tcW w:w="1387" w:type="dxa"/>
            <w:vAlign w:val="center"/>
          </w:tcPr>
          <w:p w:rsidR="005E7D05" w:rsidRDefault="00D80EAA">
            <w:pPr>
              <w:jc w:val="right"/>
            </w:pPr>
            <w:r>
              <w:rPr>
                <w:color w:val="000000"/>
                <w:sz w:val="24"/>
                <w:szCs w:val="24"/>
              </w:rPr>
              <w:t>24,000,000</w:t>
            </w:r>
          </w:p>
        </w:tc>
        <w:tc>
          <w:tcPr>
            <w:tcW w:w="2150" w:type="dxa"/>
            <w:vAlign w:val="center"/>
          </w:tcPr>
          <w:p w:rsidR="005E7D05" w:rsidRDefault="00D80EAA">
            <w:pPr>
              <w:jc w:val="right"/>
            </w:pPr>
            <w:r>
              <w:rPr>
                <w:color w:val="000000"/>
                <w:sz w:val="24"/>
                <w:szCs w:val="24"/>
              </w:rPr>
              <w:t>2,448,720,000.00</w:t>
            </w:r>
          </w:p>
        </w:tc>
        <w:tc>
          <w:tcPr>
            <w:tcW w:w="1237" w:type="dxa"/>
            <w:vAlign w:val="center"/>
          </w:tcPr>
          <w:p w:rsidR="005E7D05" w:rsidRDefault="00D80EAA">
            <w:pPr>
              <w:jc w:val="right"/>
            </w:pPr>
            <w:r>
              <w:rPr>
                <w:color w:val="000000"/>
                <w:sz w:val="24"/>
                <w:szCs w:val="24"/>
              </w:rPr>
              <w:t>20.85</w:t>
            </w:r>
          </w:p>
        </w:tc>
      </w:tr>
      <w:tr w:rsidR="005E7D05">
        <w:trPr>
          <w:jc w:val="center"/>
        </w:trPr>
        <w:tc>
          <w:tcPr>
            <w:tcW w:w="850" w:type="dxa"/>
            <w:vAlign w:val="center"/>
          </w:tcPr>
          <w:p w:rsidR="005E7D05" w:rsidRDefault="00D80EAA">
            <w:pPr>
              <w:jc w:val="center"/>
            </w:pPr>
            <w:r>
              <w:rPr>
                <w:color w:val="000000"/>
                <w:sz w:val="24"/>
                <w:szCs w:val="24"/>
              </w:rPr>
              <w:t>2</w:t>
            </w:r>
          </w:p>
        </w:tc>
        <w:tc>
          <w:tcPr>
            <w:tcW w:w="1475" w:type="dxa"/>
            <w:vAlign w:val="center"/>
          </w:tcPr>
          <w:p w:rsidR="005E7D05" w:rsidRDefault="00D80EAA">
            <w:pPr>
              <w:jc w:val="center"/>
            </w:pPr>
            <w:r>
              <w:rPr>
                <w:color w:val="000000"/>
                <w:sz w:val="24"/>
                <w:szCs w:val="24"/>
              </w:rPr>
              <w:t>180412</w:t>
            </w:r>
          </w:p>
        </w:tc>
        <w:tc>
          <w:tcPr>
            <w:tcW w:w="1769" w:type="dxa"/>
            <w:vAlign w:val="center"/>
          </w:tcPr>
          <w:p w:rsidR="005E7D05" w:rsidRDefault="00D80EAA" w:rsidP="00D80EAA">
            <w:pPr>
              <w:jc w:val="center"/>
            </w:pPr>
            <w:r>
              <w:rPr>
                <w:color w:val="000000"/>
                <w:sz w:val="24"/>
                <w:szCs w:val="24"/>
              </w:rPr>
              <w:t>18</w:t>
            </w:r>
            <w:r>
              <w:rPr>
                <w:color w:val="000000"/>
                <w:sz w:val="24"/>
                <w:szCs w:val="24"/>
              </w:rPr>
              <w:t>农发</w:t>
            </w:r>
            <w:r>
              <w:rPr>
                <w:color w:val="000000"/>
                <w:sz w:val="24"/>
                <w:szCs w:val="24"/>
              </w:rPr>
              <w:t>12</w:t>
            </w:r>
          </w:p>
        </w:tc>
        <w:tc>
          <w:tcPr>
            <w:tcW w:w="1387" w:type="dxa"/>
            <w:vAlign w:val="center"/>
          </w:tcPr>
          <w:p w:rsidR="005E7D05" w:rsidRDefault="00D80EAA">
            <w:pPr>
              <w:jc w:val="right"/>
            </w:pPr>
            <w:r>
              <w:rPr>
                <w:color w:val="000000"/>
                <w:sz w:val="24"/>
                <w:szCs w:val="24"/>
              </w:rPr>
              <w:t>17,800,000</w:t>
            </w:r>
          </w:p>
        </w:tc>
        <w:tc>
          <w:tcPr>
            <w:tcW w:w="2150" w:type="dxa"/>
            <w:vAlign w:val="center"/>
          </w:tcPr>
          <w:p w:rsidR="005E7D05" w:rsidRDefault="00D80EAA">
            <w:pPr>
              <w:jc w:val="right"/>
            </w:pPr>
            <w:r>
              <w:rPr>
                <w:color w:val="000000"/>
                <w:sz w:val="24"/>
                <w:szCs w:val="24"/>
              </w:rPr>
              <w:t>1,811,328,000.00</w:t>
            </w:r>
          </w:p>
        </w:tc>
        <w:tc>
          <w:tcPr>
            <w:tcW w:w="1237" w:type="dxa"/>
            <w:vAlign w:val="center"/>
          </w:tcPr>
          <w:p w:rsidR="005E7D05" w:rsidRDefault="00D80EAA">
            <w:pPr>
              <w:jc w:val="right"/>
            </w:pPr>
            <w:r>
              <w:rPr>
                <w:color w:val="000000"/>
                <w:sz w:val="24"/>
                <w:szCs w:val="24"/>
              </w:rPr>
              <w:t>15.42</w:t>
            </w:r>
          </w:p>
        </w:tc>
      </w:tr>
      <w:tr w:rsidR="005E7D05">
        <w:trPr>
          <w:jc w:val="center"/>
        </w:trPr>
        <w:tc>
          <w:tcPr>
            <w:tcW w:w="850" w:type="dxa"/>
            <w:vAlign w:val="center"/>
          </w:tcPr>
          <w:p w:rsidR="005E7D05" w:rsidRDefault="00D80EAA">
            <w:pPr>
              <w:jc w:val="center"/>
            </w:pPr>
            <w:r>
              <w:rPr>
                <w:color w:val="000000"/>
                <w:sz w:val="24"/>
                <w:szCs w:val="24"/>
              </w:rPr>
              <w:t>3</w:t>
            </w:r>
          </w:p>
        </w:tc>
        <w:tc>
          <w:tcPr>
            <w:tcW w:w="1475" w:type="dxa"/>
            <w:vAlign w:val="center"/>
          </w:tcPr>
          <w:p w:rsidR="005E7D05" w:rsidRDefault="00D80EAA">
            <w:pPr>
              <w:jc w:val="center"/>
            </w:pPr>
            <w:r>
              <w:rPr>
                <w:color w:val="000000"/>
                <w:sz w:val="24"/>
                <w:szCs w:val="24"/>
              </w:rPr>
              <w:t>1828004</w:t>
            </w:r>
          </w:p>
        </w:tc>
        <w:tc>
          <w:tcPr>
            <w:tcW w:w="1769" w:type="dxa"/>
            <w:vAlign w:val="center"/>
          </w:tcPr>
          <w:p w:rsidR="005E7D05" w:rsidRDefault="00D80EAA" w:rsidP="00D80EAA">
            <w:pPr>
              <w:jc w:val="center"/>
            </w:pPr>
            <w:r>
              <w:rPr>
                <w:color w:val="000000"/>
                <w:sz w:val="24"/>
                <w:szCs w:val="24"/>
              </w:rPr>
              <w:t>18</w:t>
            </w:r>
            <w:r>
              <w:rPr>
                <w:color w:val="000000"/>
                <w:sz w:val="24"/>
                <w:szCs w:val="24"/>
              </w:rPr>
              <w:t>招商银行</w:t>
            </w:r>
            <w:r>
              <w:rPr>
                <w:color w:val="000000"/>
                <w:sz w:val="24"/>
                <w:szCs w:val="24"/>
              </w:rPr>
              <w:t>01</w:t>
            </w:r>
          </w:p>
        </w:tc>
        <w:tc>
          <w:tcPr>
            <w:tcW w:w="1387" w:type="dxa"/>
            <w:vAlign w:val="center"/>
          </w:tcPr>
          <w:p w:rsidR="005E7D05" w:rsidRDefault="00D80EAA">
            <w:pPr>
              <w:jc w:val="right"/>
            </w:pPr>
            <w:r>
              <w:rPr>
                <w:color w:val="000000"/>
                <w:sz w:val="24"/>
                <w:szCs w:val="24"/>
              </w:rPr>
              <w:t>11,400,000</w:t>
            </w:r>
          </w:p>
        </w:tc>
        <w:tc>
          <w:tcPr>
            <w:tcW w:w="2150" w:type="dxa"/>
            <w:vAlign w:val="center"/>
          </w:tcPr>
          <w:p w:rsidR="005E7D05" w:rsidRDefault="00D80EAA">
            <w:pPr>
              <w:jc w:val="right"/>
            </w:pPr>
            <w:r>
              <w:rPr>
                <w:color w:val="000000"/>
                <w:sz w:val="24"/>
                <w:szCs w:val="24"/>
              </w:rPr>
              <w:t>1,168,272,000.00</w:t>
            </w:r>
          </w:p>
        </w:tc>
        <w:tc>
          <w:tcPr>
            <w:tcW w:w="1237" w:type="dxa"/>
            <w:vAlign w:val="center"/>
          </w:tcPr>
          <w:p w:rsidR="005E7D05" w:rsidRDefault="00D80EAA">
            <w:pPr>
              <w:jc w:val="right"/>
            </w:pPr>
            <w:r>
              <w:rPr>
                <w:color w:val="000000"/>
                <w:sz w:val="24"/>
                <w:szCs w:val="24"/>
              </w:rPr>
              <w:t>9.95</w:t>
            </w:r>
          </w:p>
        </w:tc>
      </w:tr>
      <w:tr w:rsidR="005E7D05">
        <w:trPr>
          <w:jc w:val="center"/>
        </w:trPr>
        <w:tc>
          <w:tcPr>
            <w:tcW w:w="850" w:type="dxa"/>
            <w:vAlign w:val="center"/>
          </w:tcPr>
          <w:p w:rsidR="005E7D05" w:rsidRDefault="00D80EAA">
            <w:pPr>
              <w:jc w:val="center"/>
            </w:pPr>
            <w:r>
              <w:rPr>
                <w:color w:val="000000"/>
                <w:sz w:val="24"/>
                <w:szCs w:val="24"/>
              </w:rPr>
              <w:t>4</w:t>
            </w:r>
          </w:p>
        </w:tc>
        <w:tc>
          <w:tcPr>
            <w:tcW w:w="1475" w:type="dxa"/>
            <w:vAlign w:val="center"/>
          </w:tcPr>
          <w:p w:rsidR="005E7D05" w:rsidRDefault="00D80EAA">
            <w:pPr>
              <w:jc w:val="center"/>
            </w:pPr>
            <w:r>
              <w:rPr>
                <w:color w:val="000000"/>
                <w:sz w:val="24"/>
                <w:szCs w:val="24"/>
              </w:rPr>
              <w:t>1828016</w:t>
            </w:r>
          </w:p>
        </w:tc>
        <w:tc>
          <w:tcPr>
            <w:tcW w:w="1769" w:type="dxa"/>
            <w:vAlign w:val="center"/>
          </w:tcPr>
          <w:p w:rsidR="005E7D05" w:rsidRDefault="00D80EAA" w:rsidP="00D80EAA">
            <w:pPr>
              <w:jc w:val="center"/>
            </w:pPr>
            <w:r>
              <w:rPr>
                <w:color w:val="000000"/>
                <w:sz w:val="24"/>
                <w:szCs w:val="24"/>
              </w:rPr>
              <w:t>18</w:t>
            </w:r>
            <w:r>
              <w:rPr>
                <w:color w:val="000000"/>
                <w:sz w:val="24"/>
                <w:szCs w:val="24"/>
              </w:rPr>
              <w:t>民生银行</w:t>
            </w:r>
            <w:r>
              <w:rPr>
                <w:color w:val="000000"/>
                <w:sz w:val="24"/>
                <w:szCs w:val="24"/>
              </w:rPr>
              <w:t>01</w:t>
            </w:r>
          </w:p>
        </w:tc>
        <w:tc>
          <w:tcPr>
            <w:tcW w:w="1387" w:type="dxa"/>
            <w:vAlign w:val="center"/>
          </w:tcPr>
          <w:p w:rsidR="005E7D05" w:rsidRDefault="00D80EAA">
            <w:pPr>
              <w:jc w:val="right"/>
            </w:pPr>
            <w:r>
              <w:rPr>
                <w:color w:val="000000"/>
                <w:sz w:val="24"/>
                <w:szCs w:val="24"/>
              </w:rPr>
              <w:t>11,000,000</w:t>
            </w:r>
          </w:p>
        </w:tc>
        <w:tc>
          <w:tcPr>
            <w:tcW w:w="2150" w:type="dxa"/>
            <w:vAlign w:val="center"/>
          </w:tcPr>
          <w:p w:rsidR="005E7D05" w:rsidRDefault="00D80EAA">
            <w:pPr>
              <w:jc w:val="right"/>
            </w:pPr>
            <w:r>
              <w:rPr>
                <w:color w:val="000000"/>
                <w:sz w:val="24"/>
                <w:szCs w:val="24"/>
              </w:rPr>
              <w:t>1,126,070,000.00</w:t>
            </w:r>
          </w:p>
        </w:tc>
        <w:tc>
          <w:tcPr>
            <w:tcW w:w="1237" w:type="dxa"/>
            <w:vAlign w:val="center"/>
          </w:tcPr>
          <w:p w:rsidR="005E7D05" w:rsidRDefault="00D80EAA">
            <w:pPr>
              <w:jc w:val="right"/>
            </w:pPr>
            <w:r>
              <w:rPr>
                <w:color w:val="000000"/>
                <w:sz w:val="24"/>
                <w:szCs w:val="24"/>
              </w:rPr>
              <w:t>9.59</w:t>
            </w:r>
          </w:p>
        </w:tc>
      </w:tr>
      <w:tr w:rsidR="005E7D05">
        <w:trPr>
          <w:jc w:val="center"/>
        </w:trPr>
        <w:tc>
          <w:tcPr>
            <w:tcW w:w="850" w:type="dxa"/>
            <w:vAlign w:val="center"/>
          </w:tcPr>
          <w:p w:rsidR="005E7D05" w:rsidRDefault="00D80EAA">
            <w:pPr>
              <w:jc w:val="center"/>
            </w:pPr>
            <w:r>
              <w:rPr>
                <w:color w:val="000000"/>
                <w:sz w:val="24"/>
                <w:szCs w:val="24"/>
              </w:rPr>
              <w:t>5</w:t>
            </w:r>
          </w:p>
        </w:tc>
        <w:tc>
          <w:tcPr>
            <w:tcW w:w="1475" w:type="dxa"/>
            <w:vAlign w:val="center"/>
          </w:tcPr>
          <w:p w:rsidR="005E7D05" w:rsidRDefault="00D80EAA">
            <w:pPr>
              <w:jc w:val="center"/>
            </w:pPr>
            <w:r>
              <w:rPr>
                <w:color w:val="000000"/>
                <w:sz w:val="24"/>
                <w:szCs w:val="24"/>
              </w:rPr>
              <w:t>1928035</w:t>
            </w:r>
          </w:p>
        </w:tc>
        <w:tc>
          <w:tcPr>
            <w:tcW w:w="1769" w:type="dxa"/>
            <w:vAlign w:val="center"/>
          </w:tcPr>
          <w:p w:rsidR="005E7D05" w:rsidRDefault="00D80EAA" w:rsidP="00D80EAA">
            <w:pPr>
              <w:jc w:val="center"/>
            </w:pPr>
            <w:r>
              <w:rPr>
                <w:color w:val="000000"/>
                <w:sz w:val="24"/>
                <w:szCs w:val="24"/>
              </w:rPr>
              <w:t>19</w:t>
            </w:r>
            <w:r>
              <w:rPr>
                <w:color w:val="000000"/>
                <w:sz w:val="24"/>
                <w:szCs w:val="24"/>
              </w:rPr>
              <w:t>中国银行小微债</w:t>
            </w:r>
            <w:r>
              <w:rPr>
                <w:color w:val="000000"/>
                <w:sz w:val="24"/>
                <w:szCs w:val="24"/>
              </w:rPr>
              <w:t>01</w:t>
            </w:r>
          </w:p>
        </w:tc>
        <w:tc>
          <w:tcPr>
            <w:tcW w:w="1387" w:type="dxa"/>
            <w:vAlign w:val="center"/>
          </w:tcPr>
          <w:p w:rsidR="005E7D05" w:rsidRDefault="00D80EAA">
            <w:pPr>
              <w:jc w:val="right"/>
            </w:pPr>
            <w:r>
              <w:rPr>
                <w:color w:val="000000"/>
                <w:sz w:val="24"/>
                <w:szCs w:val="24"/>
              </w:rPr>
              <w:t>11,000,000</w:t>
            </w:r>
          </w:p>
        </w:tc>
        <w:tc>
          <w:tcPr>
            <w:tcW w:w="2150" w:type="dxa"/>
            <w:vAlign w:val="center"/>
          </w:tcPr>
          <w:p w:rsidR="005E7D05" w:rsidRDefault="00D80EAA">
            <w:pPr>
              <w:jc w:val="right"/>
            </w:pPr>
            <w:r>
              <w:rPr>
                <w:color w:val="000000"/>
                <w:sz w:val="24"/>
                <w:szCs w:val="24"/>
              </w:rPr>
              <w:t>1,115,950,000.00</w:t>
            </w:r>
          </w:p>
        </w:tc>
        <w:tc>
          <w:tcPr>
            <w:tcW w:w="1237" w:type="dxa"/>
            <w:vAlign w:val="center"/>
          </w:tcPr>
          <w:p w:rsidR="005E7D05" w:rsidRDefault="00D80EAA">
            <w:pPr>
              <w:jc w:val="right"/>
            </w:pPr>
            <w:r>
              <w:rPr>
                <w:color w:val="000000"/>
                <w:sz w:val="24"/>
                <w:szCs w:val="24"/>
              </w:rPr>
              <w:t>9.50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8038FF" w:rsidRPr="00414345" w:rsidRDefault="008038FF"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43,618.37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228,377,670.55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228,421,288.92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8038FF" w:rsidRPr="00414345" w:rsidRDefault="008038FF"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8038FF" w:rsidRPr="00414345" w:rsidRDefault="008038FF"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11,650,253,428.57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11,650,253,428.57</w:t>
            </w:r>
          </w:p>
        </w:tc>
      </w:tr>
    </w:tbl>
    <w:p w:rsidR="005E7D05" w:rsidRDefault="00D80E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E7D05" w:rsidRDefault="00D80EA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、中国证监会准予交银施罗德裕泰两年定期开放债券型证券投资基金募集注册的文件；</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、《交银施罗德裕泰两年定期开放债券型证券投资基金基金合同》；</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、《交银施罗德裕泰两年定期开放债券型证券投资基金招募说明书》；</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lastRenderedPageBreak/>
        <w:t>4</w:t>
      </w:r>
      <w:r>
        <w:rPr>
          <w:color w:val="000000"/>
          <w:sz w:val="24"/>
          <w:szCs w:val="24"/>
        </w:rPr>
        <w:t>、《交银施罗德裕泰两年定期开放债券型证券投资基金托管协议》；</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、关于申请募集注册交银施罗德裕泰两年定期开放债券型证券投资基金的法律意见书；</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E7D05" w:rsidRDefault="00D80EA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、报告期内交银施罗德裕泰两年定期开放债券型证券投资基金在指定报刊上各项公告的原稿。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E7D05" w:rsidRDefault="00D80EA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30" w:rsidRDefault="00CF6430" w:rsidP="00876D65">
      <w:r>
        <w:separator/>
      </w:r>
    </w:p>
  </w:endnote>
  <w:endnote w:type="continuationSeparator" w:id="0">
    <w:p w:rsidR="00CF6430" w:rsidRDefault="00CF643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A3903">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A3903">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30" w:rsidRDefault="00CF6430" w:rsidP="00876D65">
      <w:r>
        <w:separator/>
      </w:r>
    </w:p>
  </w:footnote>
  <w:footnote w:type="continuationSeparator" w:id="0">
    <w:p w:rsidR="00CF6430" w:rsidRDefault="00CF643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交银施罗德裕泰两年定期开放债券型证券投资基金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3903"/>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E7D05"/>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38FF"/>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188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AF7840"/>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430"/>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0EAA"/>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 w:val="00FF7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8FD7-4737-4088-94B4-0FE408B3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605</cp:revision>
  <dcterms:created xsi:type="dcterms:W3CDTF">2012-10-16T06:07:00Z</dcterms:created>
  <dcterms:modified xsi:type="dcterms:W3CDTF">2020-04-16T09:14:00Z</dcterms:modified>
</cp:coreProperties>
</file>