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交银施罗德国企改革灵活配置混合型证券投资基金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323,944,171.94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36,140,542.75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-1,013,587.31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361,735,857.66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-0.62%</w:t>
            </w:r>
          </w:p>
        </w:tc>
        <w:tc>
          <w:tcPr>
            <w:vAlign w:val="center"/>
          </w:tcPr>
          <w:p>
            <w:pPr>
              <w:jc w:val="center"/>
            </w:pPr>
            <w:r>
              <w:rPr>
                <w:color w:val="000000"/>
                <w:sz w:val="24"/>
                <w:szCs w:val="24"/>
              </w:rPr>
              <w:t>1.87%</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4.28%</w:t>
            </w:r>
          </w:p>
        </w:tc>
        <w:tc>
          <w:tcPr>
            <w:vAlign w:val="center"/>
          </w:tcPr>
          <w:p>
            <w:pPr>
              <w:jc w:val="center"/>
            </w:pPr>
            <w:r>
              <w:rPr>
                <w:color w:val="000000"/>
                <w:sz w:val="24"/>
                <w:szCs w:val="24"/>
              </w:rPr>
              <w:t>0.72%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+40%×中信标普全债指数”变更为“60%×沪深300指数+40%×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交银施罗德国企改革灵活配置混合型证券投资基金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交银主题优选混合、交银国企改革灵活配置混合、交银瑞思混合的基金经理</w:t>
            </w:r>
          </w:p>
        </w:tc>
        <w:tc>
          <w:tcPr>
            <w:vAlign w:val="center"/>
          </w:tcPr>
          <w:p>
            <w:pPr>
              <w:jc w:val="center"/>
            </w:pPr>
            <w:r>
              <w:rPr>
                <w:color w:val="000000"/>
                <w:sz w:val="24"/>
                <w:szCs w:val="24"/>
              </w:rPr>
              <w:t>2015-06-10</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一季度，受新冠肺炎疫情加剧的影响，经济出现显著回落，海外疫情的扩散所带来全球短期衰退趋势愈演愈烈。为了对冲投资、消费、出口等全方位的需求下滑，同时确保疫情可控，中央结合财政手段和货币政策出台了大量针对性的扶持和托底措施。我们认为政策在未来一段时间将维持偏宽松格局。尽管受到疫情短期的剧烈冲击，但中期来看不改市场运行趋势，预计目前市场仍处于底部区域，下行风险不大，在流动性偏松的大环境下，市场有望在二季度探明底部，下半年将延续结构性行情。</w:t>
      </w:r>
    </w:p>
    <w:p>
      <w:pPr>
        <w:spacing w:before="29" w:line="288" w:lineRule="auto"/>
        <w:ind w:firstLine="480" w:firstLineChars="200"/>
        <w:rPr>
          <w:color w:val="000000"/>
          <w:sz w:val="24"/>
          <w:szCs w:val="24"/>
        </w:rPr>
      </w:pPr>
      <w:r>
        <w:rPr>
          <w:color w:val="000000"/>
          <w:sz w:val="24"/>
          <w:szCs w:val="24"/>
        </w:rPr>
        <w:t>国企改革的进程仍在进一步推进，2019年以来上海、深圳等地的区域性国资国企综改试验有条不紊推进，部分上市企业通过地方国资入股的形式重获增长动力和发展资源。我们预计在内外需受到大幅冲击的背景下，国内的结构性改革尤其是国资国企改革迫切需要进一步深化和推进，因此我们仍关注该领域的投资机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报告期内本基金重点配置了金融地产、食品饮料、医药、传媒、汽车家电等消费领域，以及部分高端制造和TMT相关的技术领先类国企。我们认为如果新冠疫情在全球得到有效控制，同时通胀压力减缓，那么无需对市场过度悲观，基本面“深坑”后投资机会将逐渐显现，市场估值可能企稳。本基金将通过加强学习中央及地方国资部门的文件精神，把握最新改革方向，努力在混合所有制改革、管理层及核心员工激励、产业整合等几大维度进一步布局，力求分享国资国企改革带来的市场化红利。</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317,064,451.15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317,064,451.15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87.24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15,012,500.00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15,012,500.00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27,294,975.29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7.51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4,063,269.96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363,435,196.40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18,031,968.75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159,379,010.58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10,957,894.00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4,765,127.41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17,899,152.32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3,129,100.00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0.87</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17,575,029.05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44,011,247.71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26,831,490.58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17,552.98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3,308,320.00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11,158,557.77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317,064,451.15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87.65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1,244,534</w:t>
            </w:r>
          </w:p>
        </w:tc>
        <w:tc>
          <w:tcPr>
            <w:vAlign w:val="center"/>
          </w:tcPr>
          <w:p>
            <w:pPr>
              <w:jc w:val="right"/>
            </w:pPr>
            <w:r>
              <w:rPr>
                <w:color w:val="000000"/>
                <w:sz w:val="24"/>
                <w:szCs w:val="24"/>
              </w:rPr>
              <w:t>18,506,220.58</w:t>
            </w:r>
          </w:p>
        </w:tc>
        <w:tc>
          <w:tcPr>
            <w:vAlign w:val="center"/>
          </w:tcPr>
          <w:p>
            <w:pPr>
              <w:jc w:val="right"/>
            </w:pPr>
            <w:r>
              <w:rPr>
                <w:color w:val="000000"/>
                <w:sz w:val="24"/>
                <w:szCs w:val="24"/>
              </w:rPr>
              <w:t>5.12</w:t>
            </w:r>
          </w:p>
        </w:tc>
      </w:tr>
      <w:tr>
        <w:tc>
          <w:tcPr>
            <w:vAlign w:val="center"/>
          </w:tcPr>
          <w:p>
            <w:pPr>
              <w:jc w:val="center"/>
            </w:pPr>
            <w:r>
              <w:rPr>
                <w:color w:val="000000"/>
                <w:sz w:val="24"/>
                <w:szCs w:val="24"/>
              </w:rPr>
              <w:t>2</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757,700</w:t>
            </w:r>
          </w:p>
        </w:tc>
        <w:tc>
          <w:tcPr>
            <w:vAlign w:val="center"/>
          </w:tcPr>
          <w:p>
            <w:pPr>
              <w:jc w:val="right"/>
            </w:pPr>
            <w:r>
              <w:rPr>
                <w:color w:val="000000"/>
                <w:sz w:val="24"/>
                <w:szCs w:val="24"/>
              </w:rPr>
              <w:t>16,790,632.00</w:t>
            </w:r>
          </w:p>
        </w:tc>
        <w:tc>
          <w:tcPr>
            <w:vAlign w:val="center"/>
          </w:tcPr>
          <w:p>
            <w:pPr>
              <w:jc w:val="right"/>
            </w:pPr>
            <w:r>
              <w:rPr>
                <w:color w:val="000000"/>
                <w:sz w:val="24"/>
                <w:szCs w:val="24"/>
              </w:rPr>
              <w:t>4.64</w:t>
            </w:r>
          </w:p>
        </w:tc>
      </w:tr>
      <w:tr>
        <w:tc>
          <w:tcPr>
            <w:vAlign w:val="center"/>
          </w:tcPr>
          <w:p>
            <w:pPr>
              <w:jc w:val="center"/>
            </w:pPr>
            <w:r>
              <w:rPr>
                <w:color w:val="000000"/>
                <w:sz w:val="24"/>
                <w:szCs w:val="24"/>
              </w:rPr>
              <w:t>3</w:t>
            </w:r>
          </w:p>
        </w:tc>
        <w:tc>
          <w:tcPr>
            <w:vAlign w:val="center"/>
          </w:tcPr>
          <w:p>
            <w:pPr>
              <w:jc w:val="center"/>
            </w:pPr>
            <w:r>
              <w:rPr>
                <w:color w:val="000000"/>
                <w:sz w:val="24"/>
                <w:szCs w:val="24"/>
              </w:rPr>
              <w:t>300034</w:t>
            </w:r>
          </w:p>
        </w:tc>
        <w:tc>
          <w:tcPr>
            <w:vAlign w:val="center"/>
          </w:tcPr>
          <w:p>
            <w:pPr>
              <w:jc w:val="center"/>
            </w:pPr>
            <w:r>
              <w:rPr>
                <w:color w:val="000000"/>
                <w:sz w:val="24"/>
                <w:szCs w:val="24"/>
              </w:rPr>
              <w:t>钢研高纳</w:t>
            </w:r>
          </w:p>
        </w:tc>
        <w:tc>
          <w:tcPr>
            <w:vAlign w:val="center"/>
          </w:tcPr>
          <w:p>
            <w:pPr>
              <w:jc w:val="right"/>
            </w:pPr>
            <w:r>
              <w:rPr>
                <w:color w:val="000000"/>
                <w:sz w:val="24"/>
                <w:szCs w:val="24"/>
              </w:rPr>
              <w:t>888,400</w:t>
            </w:r>
          </w:p>
        </w:tc>
        <w:tc>
          <w:tcPr>
            <w:vAlign w:val="center"/>
          </w:tcPr>
          <w:p>
            <w:pPr>
              <w:jc w:val="right"/>
            </w:pPr>
            <w:r>
              <w:rPr>
                <w:color w:val="000000"/>
                <w:sz w:val="24"/>
                <w:szCs w:val="24"/>
              </w:rPr>
              <w:t>12,713,004.00</w:t>
            </w:r>
          </w:p>
        </w:tc>
        <w:tc>
          <w:tcPr>
            <w:vAlign w:val="center"/>
          </w:tcPr>
          <w:p>
            <w:pPr>
              <w:jc w:val="right"/>
            </w:pPr>
            <w:r>
              <w:rPr>
                <w:color w:val="000000"/>
                <w:sz w:val="24"/>
                <w:szCs w:val="24"/>
              </w:rPr>
              <w:t>3.51</w:t>
            </w:r>
          </w:p>
        </w:tc>
      </w:tr>
      <w:tr>
        <w:tc>
          <w:tcPr>
            <w:vAlign w:val="center"/>
          </w:tcPr>
          <w:p>
            <w:pPr>
              <w:jc w:val="center"/>
            </w:pPr>
            <w:r>
              <w:rPr>
                <w:color w:val="000000"/>
                <w:sz w:val="24"/>
                <w:szCs w:val="24"/>
              </w:rPr>
              <w:t>4</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300,000</w:t>
            </w:r>
          </w:p>
        </w:tc>
        <w:tc>
          <w:tcPr>
            <w:vAlign w:val="center"/>
          </w:tcPr>
          <w:p>
            <w:pPr>
              <w:jc w:val="right"/>
            </w:pPr>
            <w:r>
              <w:rPr>
                <w:color w:val="000000"/>
                <w:sz w:val="24"/>
                <w:szCs w:val="24"/>
              </w:rPr>
              <w:t>12,477,000.00</w:t>
            </w:r>
          </w:p>
        </w:tc>
        <w:tc>
          <w:tcPr>
            <w:vAlign w:val="center"/>
          </w:tcPr>
          <w:p>
            <w:pPr>
              <w:jc w:val="right"/>
            </w:pPr>
            <w:r>
              <w:rPr>
                <w:color w:val="000000"/>
                <w:sz w:val="24"/>
                <w:szCs w:val="24"/>
              </w:rPr>
              <w:t>3.45</w:t>
            </w:r>
          </w:p>
        </w:tc>
      </w:tr>
      <w:tr>
        <w:tc>
          <w:tcPr>
            <w:vAlign w:val="center"/>
          </w:tcPr>
          <w:p>
            <w:pPr>
              <w:jc w:val="center"/>
            </w:pPr>
            <w:r>
              <w:rPr>
                <w:color w:val="000000"/>
                <w:sz w:val="24"/>
                <w:szCs w:val="24"/>
              </w:rPr>
              <w:t>5</w:t>
            </w:r>
          </w:p>
        </w:tc>
        <w:tc>
          <w:tcPr>
            <w:vAlign w:val="center"/>
          </w:tcPr>
          <w:p>
            <w:pPr>
              <w:jc w:val="center"/>
            </w:pPr>
            <w:r>
              <w:rPr>
                <w:color w:val="000000"/>
                <w:sz w:val="24"/>
                <w:szCs w:val="24"/>
              </w:rPr>
              <w:t>000860</w:t>
            </w:r>
          </w:p>
        </w:tc>
        <w:tc>
          <w:tcPr>
            <w:vAlign w:val="center"/>
          </w:tcPr>
          <w:p>
            <w:pPr>
              <w:jc w:val="center"/>
            </w:pPr>
            <w:r>
              <w:rPr>
                <w:color w:val="000000"/>
                <w:sz w:val="24"/>
                <w:szCs w:val="24"/>
              </w:rPr>
              <w:t>顺鑫农业</w:t>
            </w:r>
          </w:p>
        </w:tc>
        <w:tc>
          <w:tcPr>
            <w:vAlign w:val="center"/>
          </w:tcPr>
          <w:p>
            <w:pPr>
              <w:jc w:val="right"/>
            </w:pPr>
            <w:r>
              <w:rPr>
                <w:color w:val="000000"/>
                <w:sz w:val="24"/>
                <w:szCs w:val="24"/>
              </w:rPr>
              <w:t>179,000</w:t>
            </w:r>
          </w:p>
        </w:tc>
        <w:tc>
          <w:tcPr>
            <w:vAlign w:val="center"/>
          </w:tcPr>
          <w:p>
            <w:pPr>
              <w:jc w:val="right"/>
            </w:pPr>
            <w:r>
              <w:rPr>
                <w:color w:val="000000"/>
                <w:sz w:val="24"/>
                <w:szCs w:val="24"/>
              </w:rPr>
              <w:t>10,988,810.00</w:t>
            </w:r>
          </w:p>
        </w:tc>
        <w:tc>
          <w:tcPr>
            <w:vAlign w:val="center"/>
          </w:tcPr>
          <w:p>
            <w:pPr>
              <w:jc w:val="right"/>
            </w:pPr>
            <w:r>
              <w:rPr>
                <w:color w:val="000000"/>
                <w:sz w:val="24"/>
                <w:szCs w:val="24"/>
              </w:rPr>
              <w:t>3.04</w:t>
            </w:r>
          </w:p>
        </w:tc>
      </w:tr>
      <w:tr>
        <w:tc>
          <w:tcPr>
            <w:vAlign w:val="center"/>
          </w:tcPr>
          <w:p>
            <w:pPr>
              <w:jc w:val="center"/>
            </w:pPr>
            <w:r>
              <w:rPr>
                <w:color w:val="000000"/>
                <w:sz w:val="24"/>
                <w:szCs w:val="24"/>
              </w:rPr>
              <w:t>6</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1,150,000</w:t>
            </w:r>
          </w:p>
        </w:tc>
        <w:tc>
          <w:tcPr>
            <w:vAlign w:val="center"/>
          </w:tcPr>
          <w:p>
            <w:pPr>
              <w:jc w:val="right"/>
            </w:pPr>
            <w:r>
              <w:rPr>
                <w:color w:val="000000"/>
                <w:sz w:val="24"/>
                <w:szCs w:val="24"/>
              </w:rPr>
              <w:t>10,476,500.00</w:t>
            </w:r>
          </w:p>
        </w:tc>
        <w:tc>
          <w:tcPr>
            <w:vAlign w:val="center"/>
          </w:tcPr>
          <w:p>
            <w:pPr>
              <w:jc w:val="right"/>
            </w:pPr>
            <w:r>
              <w:rPr>
                <w:color w:val="000000"/>
                <w:sz w:val="24"/>
                <w:szCs w:val="24"/>
              </w:rPr>
              <w:t>2.90</w:t>
            </w:r>
          </w:p>
        </w:tc>
      </w:tr>
      <w:tr>
        <w:tc>
          <w:tcPr>
            <w:vAlign w:val="center"/>
          </w:tcPr>
          <w:p>
            <w:pPr>
              <w:jc w:val="center"/>
            </w:pPr>
            <w:r>
              <w:rPr>
                <w:color w:val="000000"/>
                <w:sz w:val="24"/>
                <w:szCs w:val="24"/>
              </w:rPr>
              <w:t>7</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653,200</w:t>
            </w:r>
          </w:p>
        </w:tc>
        <w:tc>
          <w:tcPr>
            <w:vAlign w:val="center"/>
          </w:tcPr>
          <w:p>
            <w:pPr>
              <w:jc w:val="right"/>
            </w:pPr>
            <w:r>
              <w:rPr>
                <w:color w:val="000000"/>
                <w:sz w:val="24"/>
                <w:szCs w:val="24"/>
              </w:rPr>
              <w:t>10,392,412.00</w:t>
            </w:r>
          </w:p>
        </w:tc>
        <w:tc>
          <w:tcPr>
            <w:vAlign w:val="center"/>
          </w:tcPr>
          <w:p>
            <w:pPr>
              <w:jc w:val="right"/>
            </w:pPr>
            <w:r>
              <w:rPr>
                <w:color w:val="000000"/>
                <w:sz w:val="24"/>
                <w:szCs w:val="24"/>
              </w:rPr>
              <w:t>2.87</w:t>
            </w:r>
          </w:p>
        </w:tc>
      </w:tr>
      <w:tr>
        <w:tc>
          <w:tcPr>
            <w:vAlign w:val="center"/>
          </w:tcPr>
          <w:p>
            <w:pPr>
              <w:jc w:val="center"/>
            </w:pPr>
            <w:r>
              <w:rPr>
                <w:color w:val="000000"/>
                <w:sz w:val="24"/>
                <w:szCs w:val="24"/>
              </w:rPr>
              <w:t>8</w:t>
            </w:r>
          </w:p>
        </w:tc>
        <w:tc>
          <w:tcPr>
            <w:vAlign w:val="center"/>
          </w:tcPr>
          <w:p>
            <w:pPr>
              <w:jc w:val="center"/>
            </w:pPr>
            <w:r>
              <w:rPr>
                <w:color w:val="000000"/>
                <w:sz w:val="24"/>
                <w:szCs w:val="24"/>
              </w:rPr>
              <w:t>601688</w:t>
            </w:r>
          </w:p>
        </w:tc>
        <w:tc>
          <w:tcPr>
            <w:vAlign w:val="center"/>
          </w:tcPr>
          <w:p>
            <w:pPr>
              <w:jc w:val="center"/>
            </w:pPr>
            <w:r>
              <w:rPr>
                <w:color w:val="000000"/>
                <w:sz w:val="24"/>
                <w:szCs w:val="24"/>
              </w:rPr>
              <w:t>华泰证券</w:t>
            </w:r>
          </w:p>
        </w:tc>
        <w:tc>
          <w:tcPr>
            <w:vAlign w:val="center"/>
          </w:tcPr>
          <w:p>
            <w:pPr>
              <w:jc w:val="right"/>
            </w:pPr>
            <w:r>
              <w:rPr>
                <w:color w:val="000000"/>
                <w:sz w:val="24"/>
                <w:szCs w:val="24"/>
              </w:rPr>
              <w:t>599,977</w:t>
            </w:r>
          </w:p>
        </w:tc>
        <w:tc>
          <w:tcPr>
            <w:vAlign w:val="center"/>
          </w:tcPr>
          <w:p>
            <w:pPr>
              <w:jc w:val="right"/>
            </w:pPr>
            <w:r>
              <w:rPr>
                <w:color w:val="000000"/>
                <w:sz w:val="24"/>
                <w:szCs w:val="24"/>
              </w:rPr>
              <w:t>10,337,603.71</w:t>
            </w:r>
          </w:p>
        </w:tc>
        <w:tc>
          <w:tcPr>
            <w:vAlign w:val="center"/>
          </w:tcPr>
          <w:p>
            <w:pPr>
              <w:jc w:val="right"/>
            </w:pPr>
            <w:r>
              <w:rPr>
                <w:color w:val="000000"/>
                <w:sz w:val="24"/>
                <w:szCs w:val="24"/>
              </w:rPr>
              <w:t>2.86</w:t>
            </w:r>
          </w:p>
        </w:tc>
      </w:tr>
      <w:tr>
        <w:tc>
          <w:tcPr>
            <w:vAlign w:val="center"/>
          </w:tcPr>
          <w:p>
            <w:pPr>
              <w:jc w:val="center"/>
            </w:pPr>
            <w:r>
              <w:rPr>
                <w:color w:val="000000"/>
                <w:sz w:val="24"/>
                <w:szCs w:val="24"/>
              </w:rPr>
              <w:t>9</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570,000</w:t>
            </w:r>
          </w:p>
        </w:tc>
        <w:tc>
          <w:tcPr>
            <w:vAlign w:val="center"/>
          </w:tcPr>
          <w:p>
            <w:pPr>
              <w:jc w:val="right"/>
            </w:pPr>
            <w:r>
              <w:rPr>
                <w:color w:val="000000"/>
                <w:sz w:val="24"/>
                <w:szCs w:val="24"/>
              </w:rPr>
              <w:t>10,328,400.00</w:t>
            </w:r>
          </w:p>
        </w:tc>
        <w:tc>
          <w:tcPr>
            <w:vAlign w:val="center"/>
          </w:tcPr>
          <w:p>
            <w:pPr>
              <w:jc w:val="right"/>
            </w:pPr>
            <w:r>
              <w:rPr>
                <w:color w:val="000000"/>
                <w:sz w:val="24"/>
                <w:szCs w:val="24"/>
              </w:rPr>
              <w:t>2.86</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458,000</w:t>
            </w:r>
          </w:p>
        </w:tc>
        <w:tc>
          <w:tcPr>
            <w:vAlign w:val="center"/>
          </w:tcPr>
          <w:p>
            <w:pPr>
              <w:jc w:val="right"/>
            </w:pPr>
            <w:r>
              <w:rPr>
                <w:color w:val="000000"/>
                <w:sz w:val="24"/>
                <w:szCs w:val="24"/>
              </w:rPr>
              <w:t>8,587,500.00</w:t>
            </w:r>
          </w:p>
        </w:tc>
        <w:tc>
          <w:tcPr>
            <w:vAlign w:val="center"/>
          </w:tcPr>
          <w:p>
            <w:pPr>
              <w:jc w:val="right"/>
            </w:pPr>
            <w:r>
              <w:rPr>
                <w:color w:val="000000"/>
                <w:sz w:val="24"/>
                <w:szCs w:val="24"/>
              </w:rPr>
              <w:t>2.37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15,012,500.00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15,012,500.00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15,012,500.00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100,000</w:t>
            </w:r>
          </w:p>
        </w:tc>
        <w:tc>
          <w:tcPr>
            <w:vAlign w:val="center"/>
          </w:tcPr>
          <w:p>
            <w:pPr>
              <w:jc w:val="right"/>
            </w:pPr>
            <w:r>
              <w:rPr>
                <w:color w:val="000000"/>
                <w:sz w:val="24"/>
                <w:szCs w:val="24"/>
              </w:rPr>
              <w:t>10,008,000.00</w:t>
            </w:r>
          </w:p>
        </w:tc>
        <w:tc>
          <w:tcPr>
            <w:vAlign w:val="center"/>
          </w:tcPr>
          <w:p>
            <w:pPr>
              <w:jc w:val="right"/>
            </w:pPr>
            <w:r>
              <w:rPr>
                <w:color w:val="000000"/>
                <w:sz w:val="24"/>
                <w:szCs w:val="24"/>
              </w:rPr>
              <w:t>2.77</w:t>
            </w:r>
          </w:p>
        </w:tc>
      </w:tr>
      <w:tr>
        <w:tc>
          <w:tcPr>
            <w:vAlign w:val="center"/>
          </w:tcPr>
          <w:p>
            <w:pPr>
              <w:jc w:val="center"/>
            </w:pPr>
            <w:r>
              <w:rPr>
                <w:color w:val="000000"/>
                <w:sz w:val="24"/>
                <w:szCs w:val="24"/>
              </w:rPr>
              <w:t>2</w:t>
            </w:r>
          </w:p>
        </w:tc>
        <w:tc>
          <w:tcPr>
            <w:vAlign w:val="center"/>
          </w:tcPr>
          <w:p>
            <w:pPr>
              <w:jc w:val="center"/>
            </w:pPr>
            <w:r>
              <w:rPr>
                <w:color w:val="000000"/>
                <w:sz w:val="24"/>
                <w:szCs w:val="24"/>
              </w:rPr>
              <w:t>108602</w:t>
            </w:r>
          </w:p>
        </w:tc>
        <w:tc>
          <w:tcPr>
            <w:vAlign w:val="center"/>
          </w:tcPr>
          <w:p>
            <w:pPr>
              <w:jc w:val="center"/>
            </w:pPr>
            <w:r>
              <w:rPr>
                <w:color w:val="000000"/>
                <w:sz w:val="24"/>
                <w:szCs w:val="24"/>
              </w:rPr>
              <w:t>国开1704</w:t>
            </w:r>
          </w:p>
        </w:tc>
        <w:tc>
          <w:tcPr>
            <w:vAlign w:val="center"/>
          </w:tcPr>
          <w:p>
            <w:pPr>
              <w:jc w:val="right"/>
            </w:pPr>
            <w:r>
              <w:rPr>
                <w:color w:val="000000"/>
                <w:sz w:val="24"/>
                <w:szCs w:val="24"/>
              </w:rPr>
              <w:t>50,000</w:t>
            </w:r>
          </w:p>
        </w:tc>
        <w:tc>
          <w:tcPr>
            <w:vAlign w:val="center"/>
          </w:tcPr>
          <w:p>
            <w:pPr>
              <w:jc w:val="right"/>
            </w:pPr>
            <w:r>
              <w:rPr>
                <w:color w:val="000000"/>
                <w:sz w:val="24"/>
                <w:szCs w:val="24"/>
              </w:rPr>
              <w:t>5,004,500.00</w:t>
            </w:r>
          </w:p>
        </w:tc>
        <w:tc>
          <w:tcPr>
            <w:vAlign w:val="center"/>
          </w:tcPr>
          <w:p>
            <w:pPr>
              <w:jc w:val="right"/>
            </w:pPr>
            <w:r>
              <w:rPr>
                <w:color w:val="000000"/>
                <w:sz w:val="24"/>
                <w:szCs w:val="24"/>
              </w:rPr>
              <w:t>1.38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102,104.47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3,484,112.86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441,019.40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36,033.23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4,063,269.96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425,941,027.17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6,868,117.25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108,864,972.48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323,944,171.94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1、中国证监会准予交银施罗德国企改革灵活配置混合型证券投资基金募集注册的文件； </w:t>
      </w:r>
    </w:p>
    <w:p>
      <w:pPr>
        <w:spacing w:before="29" w:line="288" w:lineRule="auto"/>
        <w:ind w:firstLine="480" w:firstLineChars="200"/>
        <w:rPr>
          <w:color w:val="000000"/>
          <w:sz w:val="24"/>
          <w:szCs w:val="24"/>
        </w:rPr>
      </w:pPr>
      <w:r>
        <w:rPr>
          <w:color w:val="000000"/>
          <w:sz w:val="24"/>
          <w:szCs w:val="24"/>
        </w:rPr>
        <w:t>2、《交银施罗德国企改革灵活配置混合型证券投资基金基金合同》；</w:t>
      </w:r>
    </w:p>
    <w:p>
      <w:pPr>
        <w:spacing w:before="29" w:line="288" w:lineRule="auto"/>
        <w:ind w:firstLine="480" w:firstLineChars="200"/>
        <w:rPr>
          <w:color w:val="000000"/>
          <w:sz w:val="24"/>
          <w:szCs w:val="24"/>
        </w:rPr>
      </w:pPr>
      <w:r>
        <w:rPr>
          <w:color w:val="000000"/>
          <w:sz w:val="24"/>
          <w:szCs w:val="24"/>
        </w:rPr>
        <w:t xml:space="preserve">3、《交银施罗德国企改革灵活配置混合型证券投资基金招募说明书》；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4、《交银施罗德国企改革灵活配置混合型证券投资基金托管协议》；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7、关于申请募集注册交银施罗德国企改革灵活配置混合型证券投资基金的法律意见书；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8、报告期内交银施罗德国企改革灵活配置混合型证券投资基金在指定报刊上各项公告的原稿。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交银施罗德国企改革灵活配置混合型证券投资基金2020年第1季度报告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