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83E39" w:rsidRDefault="005E75F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交银核心资产混合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66,097,929.00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283E39" w:rsidRDefault="005E75FC">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E75FC" w:rsidRPr="00414345" w:rsidTr="005E75F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E75FC" w:rsidRPr="00414345" w:rsidTr="005E75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7,975,441.84</w:t>
            </w:r>
          </w:p>
        </w:tc>
      </w:tr>
      <w:tr w:rsidR="005E75FC" w:rsidRPr="00414345" w:rsidTr="005E75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-3,490,217.98</w:t>
            </w:r>
          </w:p>
        </w:tc>
      </w:tr>
      <w:tr w:rsidR="005E75FC" w:rsidRPr="00414345" w:rsidTr="005E75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-0.0472</w:t>
            </w:r>
          </w:p>
        </w:tc>
      </w:tr>
      <w:tr w:rsidR="005E75FC" w:rsidRPr="00414345" w:rsidTr="005E75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78,260,448.71</w:t>
            </w:r>
          </w:p>
        </w:tc>
      </w:tr>
      <w:tr w:rsidR="005E75FC" w:rsidRPr="00414345" w:rsidTr="005E75F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1.1840</w:t>
            </w:r>
          </w:p>
        </w:tc>
      </w:tr>
    </w:tbl>
    <w:p w:rsidR="00283E39" w:rsidRDefault="005E75F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283E39" w:rsidRDefault="005E75FC">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83E39">
        <w:trPr>
          <w:jc w:val="center"/>
        </w:trPr>
        <w:tc>
          <w:tcPr>
            <w:tcW w:w="1701" w:type="dxa"/>
            <w:vAlign w:val="center"/>
          </w:tcPr>
          <w:p w:rsidR="00283E39" w:rsidRDefault="005E75FC">
            <w:pPr>
              <w:jc w:val="left"/>
            </w:pPr>
            <w:r>
              <w:rPr>
                <w:color w:val="000000"/>
                <w:sz w:val="24"/>
                <w:szCs w:val="24"/>
              </w:rPr>
              <w:t>过去三个月</w:t>
            </w:r>
          </w:p>
        </w:tc>
        <w:tc>
          <w:tcPr>
            <w:tcW w:w="1045" w:type="dxa"/>
            <w:vAlign w:val="center"/>
          </w:tcPr>
          <w:p w:rsidR="00283E39" w:rsidRDefault="005E75FC">
            <w:pPr>
              <w:jc w:val="center"/>
            </w:pPr>
            <w:r>
              <w:rPr>
                <w:color w:val="000000"/>
                <w:sz w:val="24"/>
                <w:szCs w:val="24"/>
              </w:rPr>
              <w:t>-4.89%</w:t>
            </w:r>
          </w:p>
        </w:tc>
        <w:tc>
          <w:tcPr>
            <w:tcW w:w="1344" w:type="dxa"/>
            <w:vAlign w:val="center"/>
          </w:tcPr>
          <w:p w:rsidR="00283E39" w:rsidRDefault="005E75FC">
            <w:pPr>
              <w:jc w:val="center"/>
            </w:pPr>
            <w:r>
              <w:rPr>
                <w:color w:val="000000"/>
                <w:sz w:val="24"/>
                <w:szCs w:val="24"/>
              </w:rPr>
              <w:t>2.18%</w:t>
            </w:r>
          </w:p>
        </w:tc>
        <w:tc>
          <w:tcPr>
            <w:tcW w:w="1194" w:type="dxa"/>
            <w:vAlign w:val="center"/>
          </w:tcPr>
          <w:p w:rsidR="00283E39" w:rsidRDefault="005E75FC">
            <w:pPr>
              <w:jc w:val="center"/>
            </w:pPr>
            <w:r>
              <w:rPr>
                <w:color w:val="000000"/>
                <w:sz w:val="24"/>
                <w:szCs w:val="24"/>
              </w:rPr>
              <w:t>-9.37%</w:t>
            </w:r>
          </w:p>
        </w:tc>
        <w:tc>
          <w:tcPr>
            <w:tcW w:w="1492" w:type="dxa"/>
            <w:vAlign w:val="center"/>
          </w:tcPr>
          <w:p w:rsidR="00283E39" w:rsidRDefault="005E75FC">
            <w:pPr>
              <w:jc w:val="center"/>
            </w:pPr>
            <w:r>
              <w:rPr>
                <w:color w:val="000000"/>
                <w:sz w:val="24"/>
                <w:szCs w:val="24"/>
              </w:rPr>
              <w:t>1.53%</w:t>
            </w:r>
          </w:p>
        </w:tc>
        <w:tc>
          <w:tcPr>
            <w:tcW w:w="1194" w:type="dxa"/>
            <w:vAlign w:val="center"/>
          </w:tcPr>
          <w:p w:rsidR="00283E39" w:rsidRDefault="005E75FC">
            <w:pPr>
              <w:jc w:val="center"/>
            </w:pPr>
            <w:r>
              <w:rPr>
                <w:color w:val="000000"/>
                <w:sz w:val="24"/>
                <w:szCs w:val="24"/>
              </w:rPr>
              <w:t>4.48%</w:t>
            </w:r>
          </w:p>
        </w:tc>
        <w:tc>
          <w:tcPr>
            <w:tcW w:w="898" w:type="dxa"/>
            <w:vAlign w:val="center"/>
          </w:tcPr>
          <w:p w:rsidR="00283E39" w:rsidRDefault="005E75FC">
            <w:pPr>
              <w:jc w:val="center"/>
            </w:pPr>
            <w:r>
              <w:rPr>
                <w:color w:val="000000"/>
                <w:sz w:val="24"/>
                <w:szCs w:val="24"/>
              </w:rPr>
              <w:t>0.65%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83E39">
        <w:trPr>
          <w:jc w:val="center"/>
        </w:trPr>
        <w:tc>
          <w:tcPr>
            <w:tcW w:w="846" w:type="dxa"/>
            <w:vAlign w:val="center"/>
          </w:tcPr>
          <w:p w:rsidR="00283E39" w:rsidRDefault="005E75FC">
            <w:pPr>
              <w:jc w:val="center"/>
            </w:pPr>
            <w:r>
              <w:rPr>
                <w:color w:val="000000"/>
                <w:sz w:val="24"/>
                <w:szCs w:val="24"/>
              </w:rPr>
              <w:t>陈俊华</w:t>
            </w:r>
          </w:p>
        </w:tc>
        <w:tc>
          <w:tcPr>
            <w:tcW w:w="845" w:type="dxa"/>
            <w:vAlign w:val="center"/>
          </w:tcPr>
          <w:p w:rsidR="00283E39" w:rsidRDefault="005E75FC">
            <w:pPr>
              <w:jc w:val="center"/>
            </w:pPr>
            <w:r>
              <w:rPr>
                <w:color w:val="000000"/>
                <w:sz w:val="24"/>
                <w:szCs w:val="24"/>
              </w:rPr>
              <w:t>交银环球精选混合</w:t>
            </w:r>
            <w:r>
              <w:rPr>
                <w:color w:val="000000"/>
                <w:sz w:val="24"/>
                <w:szCs w:val="24"/>
              </w:rPr>
              <w:t>(QDII)</w:t>
            </w:r>
            <w:r>
              <w:rPr>
                <w:color w:val="000000"/>
                <w:sz w:val="24"/>
                <w:szCs w:val="24"/>
              </w:rPr>
              <w:t>、交银沪港深价值精选混合、交银核心资产混合的基金经理，公司跨境投资副总监</w:t>
            </w:r>
          </w:p>
        </w:tc>
        <w:tc>
          <w:tcPr>
            <w:tcW w:w="1549" w:type="dxa"/>
            <w:vAlign w:val="center"/>
          </w:tcPr>
          <w:p w:rsidR="00283E39" w:rsidRDefault="005E75FC">
            <w:pPr>
              <w:jc w:val="center"/>
            </w:pPr>
            <w:r>
              <w:rPr>
                <w:color w:val="000000"/>
                <w:sz w:val="24"/>
                <w:szCs w:val="24"/>
              </w:rPr>
              <w:t>2019-01-18</w:t>
            </w:r>
          </w:p>
        </w:tc>
        <w:tc>
          <w:tcPr>
            <w:tcW w:w="1548" w:type="dxa"/>
            <w:vAlign w:val="center"/>
          </w:tcPr>
          <w:p w:rsidR="00283E39" w:rsidRDefault="005E75FC">
            <w:pPr>
              <w:jc w:val="center"/>
            </w:pPr>
            <w:r>
              <w:rPr>
                <w:color w:val="000000"/>
                <w:sz w:val="24"/>
                <w:szCs w:val="24"/>
              </w:rPr>
              <w:t>-</w:t>
            </w:r>
          </w:p>
        </w:tc>
        <w:tc>
          <w:tcPr>
            <w:tcW w:w="1407" w:type="dxa"/>
            <w:vAlign w:val="center"/>
          </w:tcPr>
          <w:p w:rsidR="00283E39" w:rsidRDefault="005E75FC">
            <w:pPr>
              <w:jc w:val="center"/>
            </w:pPr>
            <w:r>
              <w:rPr>
                <w:color w:val="000000"/>
                <w:sz w:val="24"/>
                <w:szCs w:val="24"/>
              </w:rPr>
              <w:t>15</w:t>
            </w:r>
            <w:r>
              <w:rPr>
                <w:color w:val="000000"/>
                <w:sz w:val="24"/>
                <w:szCs w:val="24"/>
              </w:rPr>
              <w:t>年</w:t>
            </w:r>
          </w:p>
        </w:tc>
        <w:tc>
          <w:tcPr>
            <w:tcW w:w="2673" w:type="dxa"/>
            <w:vAlign w:val="center"/>
          </w:tcPr>
          <w:p w:rsidR="00283E39" w:rsidRDefault="005E75FC">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83E39" w:rsidRDefault="005E75F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83E39" w:rsidRDefault="005E75F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83E39" w:rsidRDefault="005E75F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83E39" w:rsidRDefault="005E75FC">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市场风格转变剧烈。从年初流动性改善，投资者风险偏好提升，至一月下旬，疫情发生并逐步蔓延，避险情绪快速提升，全球股市都发生了剧烈波动。从市场振幅来看，海外市场跌幅大于国内市场。投资者关注的焦点，从前期的疫情带来区域性经济扰动以及流动性风险。目前越来越多投资者担心全球经济前景。</w:t>
      </w:r>
    </w:p>
    <w:p w:rsidR="00283E39" w:rsidRDefault="005E75FC">
      <w:pPr>
        <w:spacing w:before="29" w:line="288" w:lineRule="auto"/>
        <w:ind w:firstLineChars="200" w:firstLine="480"/>
        <w:rPr>
          <w:color w:val="000000"/>
          <w:sz w:val="24"/>
          <w:szCs w:val="24"/>
        </w:rPr>
      </w:pPr>
      <w:r>
        <w:rPr>
          <w:color w:val="000000"/>
          <w:sz w:val="24"/>
          <w:szCs w:val="24"/>
        </w:rPr>
        <w:t>回顾整个一季度，我们维持中高仓位运行，整体组合也受到了疫情带来的波动。我们力求通过结构调整来尽量减少市场波动对于组合的影响。在行业配置方面，我们加大</w:t>
      </w:r>
      <w:r>
        <w:rPr>
          <w:color w:val="000000"/>
          <w:sz w:val="24"/>
          <w:szCs w:val="24"/>
        </w:rPr>
        <w:t>“</w:t>
      </w:r>
      <w:r>
        <w:rPr>
          <w:color w:val="000000"/>
          <w:sz w:val="24"/>
          <w:szCs w:val="24"/>
        </w:rPr>
        <w:t>内需</w:t>
      </w:r>
      <w:r>
        <w:rPr>
          <w:color w:val="000000"/>
          <w:sz w:val="24"/>
          <w:szCs w:val="24"/>
        </w:rPr>
        <w:t>”</w:t>
      </w:r>
      <w:r>
        <w:rPr>
          <w:color w:val="000000"/>
          <w:sz w:val="24"/>
          <w:szCs w:val="24"/>
        </w:rPr>
        <w:t>和</w:t>
      </w:r>
      <w:r>
        <w:rPr>
          <w:color w:val="000000"/>
          <w:sz w:val="24"/>
          <w:szCs w:val="24"/>
        </w:rPr>
        <w:t>“</w:t>
      </w:r>
      <w:r>
        <w:rPr>
          <w:color w:val="000000"/>
          <w:sz w:val="24"/>
          <w:szCs w:val="24"/>
        </w:rPr>
        <w:t>防御</w:t>
      </w:r>
      <w:r>
        <w:rPr>
          <w:color w:val="000000"/>
          <w:sz w:val="24"/>
          <w:szCs w:val="24"/>
        </w:rPr>
        <w:t>”</w:t>
      </w:r>
      <w:r>
        <w:rPr>
          <w:color w:val="000000"/>
          <w:sz w:val="24"/>
          <w:szCs w:val="24"/>
        </w:rPr>
        <w:t>类板块，包括：医药、消费和房地产，减少了部分电子板块的配置。我们仍然维持一定的港股配置，主要集中于：</w:t>
      </w:r>
      <w:r>
        <w:rPr>
          <w:color w:val="000000"/>
          <w:sz w:val="24"/>
          <w:szCs w:val="24"/>
        </w:rPr>
        <w:t>1)</w:t>
      </w:r>
      <w:r>
        <w:rPr>
          <w:color w:val="000000"/>
          <w:sz w:val="24"/>
          <w:szCs w:val="24"/>
        </w:rPr>
        <w:t>优质的内资房地产股；</w:t>
      </w:r>
      <w:r>
        <w:rPr>
          <w:color w:val="000000"/>
          <w:sz w:val="24"/>
          <w:szCs w:val="24"/>
        </w:rPr>
        <w:t>2)</w:t>
      </w:r>
      <w:r>
        <w:rPr>
          <w:color w:val="000000"/>
          <w:sz w:val="24"/>
          <w:szCs w:val="24"/>
        </w:rPr>
        <w:t>较</w:t>
      </w:r>
      <w:r>
        <w:rPr>
          <w:color w:val="000000"/>
          <w:sz w:val="24"/>
          <w:szCs w:val="24"/>
        </w:rPr>
        <w:t>A</w:t>
      </w:r>
      <w:r>
        <w:rPr>
          <w:color w:val="000000"/>
          <w:sz w:val="24"/>
          <w:szCs w:val="24"/>
        </w:rPr>
        <w:t>股稀缺的软件服务、消费板块个股。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年二季度，我们仍然认为</w:t>
      </w:r>
      <w:r w:rsidRPr="00414345">
        <w:rPr>
          <w:color w:val="000000"/>
          <w:sz w:val="24"/>
          <w:szCs w:val="24"/>
        </w:rPr>
        <w:t>A</w:t>
      </w:r>
      <w:r w:rsidRPr="00414345">
        <w:rPr>
          <w:color w:val="000000"/>
          <w:sz w:val="24"/>
          <w:szCs w:val="24"/>
        </w:rPr>
        <w:t>股、港股有望走势好于海外市场。主要原因有：</w:t>
      </w:r>
      <w:r w:rsidRPr="00414345">
        <w:rPr>
          <w:color w:val="000000"/>
          <w:sz w:val="24"/>
          <w:szCs w:val="24"/>
        </w:rPr>
        <w:t>1)</w:t>
      </w:r>
      <w:r w:rsidRPr="00414345">
        <w:rPr>
          <w:color w:val="000000"/>
          <w:sz w:val="24"/>
          <w:szCs w:val="24"/>
        </w:rPr>
        <w:t>从整个疫情态势来看，我们先于海外进入疫情回落和生产恢复阶段；</w:t>
      </w:r>
      <w:r w:rsidRPr="00414345">
        <w:rPr>
          <w:color w:val="000000"/>
          <w:sz w:val="24"/>
          <w:szCs w:val="24"/>
        </w:rPr>
        <w:t>2</w:t>
      </w:r>
      <w:r w:rsidRPr="00414345">
        <w:rPr>
          <w:color w:val="000000"/>
          <w:sz w:val="24"/>
          <w:szCs w:val="24"/>
        </w:rPr>
        <w:t>）回顾</w:t>
      </w:r>
      <w:r w:rsidRPr="00414345">
        <w:rPr>
          <w:color w:val="000000"/>
          <w:sz w:val="24"/>
          <w:szCs w:val="24"/>
        </w:rPr>
        <w:t>2020</w:t>
      </w:r>
      <w:r w:rsidRPr="00414345">
        <w:rPr>
          <w:color w:val="000000"/>
          <w:sz w:val="24"/>
          <w:szCs w:val="24"/>
        </w:rPr>
        <w:t>年初的观点：我们关注方向包括</w:t>
      </w:r>
      <w:r w:rsidRPr="00414345">
        <w:rPr>
          <w:color w:val="000000"/>
          <w:sz w:val="24"/>
          <w:szCs w:val="24"/>
        </w:rPr>
        <w:t>5G</w:t>
      </w:r>
      <w:r w:rsidRPr="00414345">
        <w:rPr>
          <w:color w:val="000000"/>
          <w:sz w:val="24"/>
          <w:szCs w:val="24"/>
        </w:rPr>
        <w:t>落地、消费服务领域的升级需求和高端制造的全球竞争力提升趋势；疫情过后，我们对于这些方向的判断并没有发生改变，只是节奏有所延缓。</w:t>
      </w:r>
      <w:r w:rsidRPr="00414345">
        <w:rPr>
          <w:color w:val="000000"/>
          <w:sz w:val="24"/>
          <w:szCs w:val="24"/>
        </w:rPr>
        <w:t>5G</w:t>
      </w:r>
      <w:r w:rsidRPr="00414345">
        <w:rPr>
          <w:color w:val="000000"/>
          <w:sz w:val="24"/>
          <w:szCs w:val="24"/>
        </w:rPr>
        <w:t>建设和消费服务的升级需求，经历此次疫情，其迫切性更加提升；高端制造领域，因为面临全球客户需求，有可能延缓的时间要更长一些，但方向并没有改变。与此同时，我们会更加谨慎，提升筛选标准，更加集中于龙头个股的筛选，因为：</w:t>
      </w:r>
      <w:r w:rsidRPr="00414345">
        <w:rPr>
          <w:color w:val="000000"/>
          <w:sz w:val="24"/>
          <w:szCs w:val="24"/>
        </w:rPr>
        <w:t>1)</w:t>
      </w:r>
      <w:r w:rsidRPr="00414345">
        <w:rPr>
          <w:color w:val="000000"/>
          <w:sz w:val="24"/>
          <w:szCs w:val="24"/>
        </w:rPr>
        <w:t>此次疫情可能带来一些企业发生财务风险，对短期业绩造成波动；</w:t>
      </w:r>
      <w:r w:rsidRPr="00414345">
        <w:rPr>
          <w:color w:val="000000"/>
          <w:sz w:val="24"/>
          <w:szCs w:val="24"/>
        </w:rPr>
        <w:t>2</w:t>
      </w:r>
      <w:r w:rsidRPr="00414345">
        <w:rPr>
          <w:color w:val="000000"/>
          <w:sz w:val="24"/>
          <w:szCs w:val="24"/>
        </w:rPr>
        <w:t>）龙头公司有望借助财务优势，实现市占率提升和潜在的并购整合。综上，我们无法预测疫情，我们唯有更好的聚焦投资本身，继续勤勉调研，挖掘投资机会，主动管理风险，努力为投资者人赚取回报。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68,183,847.51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68,183,847.51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10,613,518.49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226,075.06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79,023,441.06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19,519,359.45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68,144.21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5,464,600.00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1,827,352.98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1,751,800.00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41,106,256.64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52.52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283E39">
        <w:trPr>
          <w:jc w:val="center"/>
        </w:trPr>
        <w:tc>
          <w:tcPr>
            <w:tcW w:w="2397" w:type="dxa"/>
            <w:vAlign w:val="center"/>
          </w:tcPr>
          <w:p w:rsidR="00283E39" w:rsidRDefault="005E75FC">
            <w:pPr>
              <w:jc w:val="center"/>
            </w:pPr>
            <w:r>
              <w:rPr>
                <w:color w:val="000000"/>
                <w:sz w:val="24"/>
              </w:rPr>
              <w:t>信息技术</w:t>
            </w:r>
          </w:p>
        </w:tc>
        <w:tc>
          <w:tcPr>
            <w:tcW w:w="3119" w:type="dxa"/>
            <w:vAlign w:val="center"/>
          </w:tcPr>
          <w:p w:rsidR="00283E39" w:rsidRDefault="005E75FC">
            <w:pPr>
              <w:jc w:val="center"/>
            </w:pPr>
            <w:r>
              <w:rPr>
                <w:color w:val="000000"/>
                <w:sz w:val="24"/>
              </w:rPr>
              <w:t>7,636,704.60</w:t>
            </w:r>
          </w:p>
        </w:tc>
        <w:tc>
          <w:tcPr>
            <w:tcW w:w="3118" w:type="dxa"/>
            <w:vAlign w:val="center"/>
          </w:tcPr>
          <w:p w:rsidR="00283E39" w:rsidRDefault="005E75FC">
            <w:pPr>
              <w:jc w:val="center"/>
            </w:pPr>
            <w:r>
              <w:rPr>
                <w:color w:val="000000"/>
                <w:sz w:val="24"/>
              </w:rPr>
              <w:t>9.76</w:t>
            </w:r>
          </w:p>
        </w:tc>
      </w:tr>
      <w:tr w:rsidR="00283E39">
        <w:trPr>
          <w:jc w:val="center"/>
        </w:trPr>
        <w:tc>
          <w:tcPr>
            <w:tcW w:w="2397" w:type="dxa"/>
            <w:vAlign w:val="center"/>
          </w:tcPr>
          <w:p w:rsidR="00283E39" w:rsidRDefault="005E75FC">
            <w:pPr>
              <w:jc w:val="center"/>
            </w:pPr>
            <w:r>
              <w:rPr>
                <w:color w:val="000000"/>
                <w:sz w:val="24"/>
              </w:rPr>
              <w:t>非日常生活消费品</w:t>
            </w:r>
          </w:p>
        </w:tc>
        <w:tc>
          <w:tcPr>
            <w:tcW w:w="3119" w:type="dxa"/>
            <w:vAlign w:val="center"/>
          </w:tcPr>
          <w:p w:rsidR="00283E39" w:rsidRDefault="005E75FC">
            <w:pPr>
              <w:jc w:val="center"/>
            </w:pPr>
            <w:r>
              <w:rPr>
                <w:color w:val="000000"/>
                <w:sz w:val="24"/>
              </w:rPr>
              <w:t>7,458,533.10</w:t>
            </w:r>
          </w:p>
        </w:tc>
        <w:tc>
          <w:tcPr>
            <w:tcW w:w="3118" w:type="dxa"/>
            <w:vAlign w:val="center"/>
          </w:tcPr>
          <w:p w:rsidR="00283E39" w:rsidRDefault="005E75FC">
            <w:pPr>
              <w:jc w:val="center"/>
            </w:pPr>
            <w:r>
              <w:rPr>
                <w:color w:val="000000"/>
                <w:sz w:val="24"/>
              </w:rPr>
              <w:t>9.53</w:t>
            </w:r>
          </w:p>
        </w:tc>
      </w:tr>
      <w:tr w:rsidR="00283E39">
        <w:trPr>
          <w:jc w:val="center"/>
        </w:trPr>
        <w:tc>
          <w:tcPr>
            <w:tcW w:w="2397" w:type="dxa"/>
            <w:vAlign w:val="center"/>
          </w:tcPr>
          <w:p w:rsidR="00283E39" w:rsidRDefault="005E75FC">
            <w:pPr>
              <w:jc w:val="center"/>
            </w:pPr>
            <w:r>
              <w:rPr>
                <w:color w:val="000000"/>
                <w:sz w:val="24"/>
              </w:rPr>
              <w:t>通讯服务</w:t>
            </w:r>
          </w:p>
        </w:tc>
        <w:tc>
          <w:tcPr>
            <w:tcW w:w="3119" w:type="dxa"/>
            <w:vAlign w:val="center"/>
          </w:tcPr>
          <w:p w:rsidR="00283E39" w:rsidRDefault="005E75FC">
            <w:pPr>
              <w:jc w:val="center"/>
            </w:pPr>
            <w:r>
              <w:rPr>
                <w:color w:val="000000"/>
                <w:sz w:val="24"/>
              </w:rPr>
              <w:t>6,252,997.32</w:t>
            </w:r>
          </w:p>
        </w:tc>
        <w:tc>
          <w:tcPr>
            <w:tcW w:w="3118" w:type="dxa"/>
            <w:vAlign w:val="center"/>
          </w:tcPr>
          <w:p w:rsidR="00283E39" w:rsidRDefault="005E75FC">
            <w:pPr>
              <w:jc w:val="center"/>
            </w:pPr>
            <w:r>
              <w:rPr>
                <w:color w:val="000000"/>
                <w:sz w:val="24"/>
              </w:rPr>
              <w:t>7.99</w:t>
            </w:r>
          </w:p>
        </w:tc>
      </w:tr>
      <w:tr w:rsidR="00283E39">
        <w:trPr>
          <w:jc w:val="center"/>
        </w:trPr>
        <w:tc>
          <w:tcPr>
            <w:tcW w:w="2397" w:type="dxa"/>
            <w:vAlign w:val="center"/>
          </w:tcPr>
          <w:p w:rsidR="00283E39" w:rsidRDefault="005E75FC">
            <w:pPr>
              <w:jc w:val="center"/>
            </w:pPr>
            <w:r>
              <w:rPr>
                <w:color w:val="000000"/>
                <w:sz w:val="24"/>
              </w:rPr>
              <w:t>房地产</w:t>
            </w:r>
          </w:p>
        </w:tc>
        <w:tc>
          <w:tcPr>
            <w:tcW w:w="3119" w:type="dxa"/>
            <w:vAlign w:val="center"/>
          </w:tcPr>
          <w:p w:rsidR="00283E39" w:rsidRDefault="005E75FC">
            <w:pPr>
              <w:jc w:val="center"/>
            </w:pPr>
            <w:r>
              <w:rPr>
                <w:color w:val="000000"/>
                <w:sz w:val="24"/>
              </w:rPr>
              <w:t>3,280,183.00</w:t>
            </w:r>
          </w:p>
        </w:tc>
        <w:tc>
          <w:tcPr>
            <w:tcW w:w="3118" w:type="dxa"/>
            <w:vAlign w:val="center"/>
          </w:tcPr>
          <w:p w:rsidR="00283E39" w:rsidRDefault="005E75FC">
            <w:pPr>
              <w:jc w:val="center"/>
            </w:pPr>
            <w:r>
              <w:rPr>
                <w:color w:val="000000"/>
                <w:sz w:val="24"/>
              </w:rPr>
              <w:t>4.19</w:t>
            </w:r>
          </w:p>
        </w:tc>
      </w:tr>
      <w:tr w:rsidR="00283E39">
        <w:trPr>
          <w:jc w:val="center"/>
        </w:trPr>
        <w:tc>
          <w:tcPr>
            <w:tcW w:w="2397" w:type="dxa"/>
            <w:vAlign w:val="center"/>
          </w:tcPr>
          <w:p w:rsidR="00283E39" w:rsidRDefault="005E75FC">
            <w:pPr>
              <w:jc w:val="center"/>
            </w:pPr>
            <w:r>
              <w:rPr>
                <w:color w:val="000000"/>
                <w:sz w:val="24"/>
              </w:rPr>
              <w:t>金融</w:t>
            </w:r>
          </w:p>
        </w:tc>
        <w:tc>
          <w:tcPr>
            <w:tcW w:w="3119" w:type="dxa"/>
            <w:vAlign w:val="center"/>
          </w:tcPr>
          <w:p w:rsidR="00283E39" w:rsidRDefault="005E75FC">
            <w:pPr>
              <w:jc w:val="center"/>
            </w:pPr>
            <w:r>
              <w:rPr>
                <w:color w:val="000000"/>
                <w:sz w:val="24"/>
              </w:rPr>
              <w:t>1,455,524.10</w:t>
            </w:r>
          </w:p>
        </w:tc>
        <w:tc>
          <w:tcPr>
            <w:tcW w:w="3118" w:type="dxa"/>
            <w:vAlign w:val="center"/>
          </w:tcPr>
          <w:p w:rsidR="00283E39" w:rsidRDefault="005E75FC">
            <w:pPr>
              <w:jc w:val="center"/>
            </w:pPr>
            <w:r>
              <w:rPr>
                <w:color w:val="000000"/>
                <w:sz w:val="24"/>
              </w:rPr>
              <w:t>1.86</w:t>
            </w:r>
          </w:p>
        </w:tc>
      </w:tr>
      <w:tr w:rsidR="00283E39">
        <w:trPr>
          <w:jc w:val="center"/>
        </w:trPr>
        <w:tc>
          <w:tcPr>
            <w:tcW w:w="2397" w:type="dxa"/>
            <w:vAlign w:val="center"/>
          </w:tcPr>
          <w:p w:rsidR="00283E39" w:rsidRDefault="005E75FC">
            <w:pPr>
              <w:jc w:val="center"/>
            </w:pPr>
            <w:r>
              <w:rPr>
                <w:color w:val="000000"/>
                <w:sz w:val="24"/>
              </w:rPr>
              <w:t>工业</w:t>
            </w:r>
          </w:p>
        </w:tc>
        <w:tc>
          <w:tcPr>
            <w:tcW w:w="3119" w:type="dxa"/>
            <w:vAlign w:val="center"/>
          </w:tcPr>
          <w:p w:rsidR="00283E39" w:rsidRDefault="005E75FC">
            <w:pPr>
              <w:jc w:val="center"/>
            </w:pPr>
            <w:r>
              <w:rPr>
                <w:color w:val="000000"/>
                <w:sz w:val="24"/>
              </w:rPr>
              <w:t>993,648.75</w:t>
            </w:r>
          </w:p>
        </w:tc>
        <w:tc>
          <w:tcPr>
            <w:tcW w:w="3118" w:type="dxa"/>
            <w:vAlign w:val="center"/>
          </w:tcPr>
          <w:p w:rsidR="00283E39" w:rsidRDefault="005E75FC">
            <w:pPr>
              <w:jc w:val="center"/>
            </w:pPr>
            <w:r>
              <w:rPr>
                <w:color w:val="000000"/>
                <w:sz w:val="24"/>
              </w:rPr>
              <w:t>1.27</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27,077,590.87</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34.60</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W w:w="0" w:type="dxa"/>
        <w:jc w:val="center"/>
        <w:tblCellMar>
          <w:left w:w="0" w:type="dxa"/>
          <w:right w:w="0" w:type="dxa"/>
        </w:tblCellMar>
        <w:tblLook w:val="04A0" w:firstRow="1" w:lastRow="0" w:firstColumn="1" w:lastColumn="0" w:noHBand="0" w:noVBand="1"/>
      </w:tblPr>
      <w:tblGrid>
        <w:gridCol w:w="855"/>
        <w:gridCol w:w="1334"/>
        <w:gridCol w:w="1777"/>
        <w:gridCol w:w="1334"/>
        <w:gridCol w:w="1924"/>
        <w:gridCol w:w="1644"/>
      </w:tblGrid>
      <w:tr w:rsidR="00E64192" w:rsidRPr="00E64192" w:rsidTr="00E64192">
        <w:trPr>
          <w:jc w:val="center"/>
        </w:trPr>
        <w:tc>
          <w:tcPr>
            <w:tcW w:w="855"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spacing w:before="29" w:line="288" w:lineRule="auto"/>
              <w:ind w:left="17"/>
              <w:jc w:val="center"/>
              <w:rPr>
                <w:color w:val="000000"/>
                <w:kern w:val="0"/>
                <w:sz w:val="24"/>
                <w:szCs w:val="24"/>
              </w:rPr>
            </w:pPr>
            <w:r w:rsidRPr="00E64192">
              <w:rPr>
                <w:rFonts w:ascii="宋体" w:hAnsi="宋体" w:cs="宋体" w:hint="eastAsia"/>
                <w:color w:val="000000"/>
                <w:kern w:val="0"/>
                <w:sz w:val="24"/>
                <w:szCs w:val="24"/>
              </w:rPr>
              <w:t>序号</w:t>
            </w:r>
          </w:p>
        </w:tc>
        <w:tc>
          <w:tcPr>
            <w:tcW w:w="133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spacing w:before="29" w:line="288" w:lineRule="auto"/>
              <w:ind w:left="17"/>
              <w:jc w:val="center"/>
              <w:rPr>
                <w:color w:val="000000"/>
                <w:kern w:val="0"/>
                <w:sz w:val="24"/>
                <w:szCs w:val="24"/>
              </w:rPr>
            </w:pPr>
            <w:r w:rsidRPr="00E64192">
              <w:rPr>
                <w:rFonts w:ascii="宋体" w:hAnsi="宋体" w:cs="宋体" w:hint="eastAsia"/>
                <w:color w:val="000000"/>
                <w:kern w:val="0"/>
                <w:sz w:val="24"/>
                <w:szCs w:val="24"/>
              </w:rPr>
              <w:t>股票代码</w:t>
            </w:r>
          </w:p>
        </w:tc>
        <w:tc>
          <w:tcPr>
            <w:tcW w:w="1777"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spacing w:before="29" w:line="288" w:lineRule="auto"/>
              <w:ind w:left="17"/>
              <w:jc w:val="center"/>
              <w:rPr>
                <w:color w:val="000000"/>
                <w:kern w:val="0"/>
                <w:sz w:val="24"/>
                <w:szCs w:val="24"/>
              </w:rPr>
            </w:pPr>
            <w:r w:rsidRPr="00E64192">
              <w:rPr>
                <w:rFonts w:ascii="宋体" w:hAnsi="宋体" w:cs="宋体" w:hint="eastAsia"/>
                <w:color w:val="000000"/>
                <w:kern w:val="0"/>
                <w:sz w:val="24"/>
                <w:szCs w:val="24"/>
              </w:rPr>
              <w:t>股票名称</w:t>
            </w:r>
          </w:p>
        </w:tc>
        <w:tc>
          <w:tcPr>
            <w:tcW w:w="133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spacing w:before="29" w:line="288" w:lineRule="auto"/>
              <w:ind w:left="17"/>
              <w:jc w:val="center"/>
              <w:rPr>
                <w:color w:val="000000"/>
                <w:kern w:val="0"/>
                <w:sz w:val="24"/>
                <w:szCs w:val="24"/>
              </w:rPr>
            </w:pPr>
            <w:r w:rsidRPr="00E64192">
              <w:rPr>
                <w:rFonts w:ascii="宋体" w:hAnsi="宋体" w:cs="宋体" w:hint="eastAsia"/>
                <w:color w:val="000000"/>
                <w:kern w:val="0"/>
                <w:sz w:val="24"/>
                <w:szCs w:val="24"/>
              </w:rPr>
              <w:t>数量（股）</w:t>
            </w:r>
          </w:p>
        </w:tc>
        <w:tc>
          <w:tcPr>
            <w:tcW w:w="192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autoSpaceDE w:val="0"/>
              <w:autoSpaceDN w:val="0"/>
              <w:spacing w:before="29" w:line="288" w:lineRule="auto"/>
              <w:ind w:left="17"/>
              <w:jc w:val="center"/>
              <w:rPr>
                <w:color w:val="000000"/>
                <w:kern w:val="0"/>
                <w:sz w:val="24"/>
                <w:szCs w:val="24"/>
              </w:rPr>
            </w:pPr>
            <w:r w:rsidRPr="00E64192">
              <w:rPr>
                <w:rFonts w:ascii="宋体" w:hAnsi="宋体" w:cs="宋体" w:hint="eastAsia"/>
                <w:color w:val="000000"/>
                <w:kern w:val="0"/>
                <w:sz w:val="24"/>
                <w:szCs w:val="24"/>
              </w:rPr>
              <w:t>公允价值</w:t>
            </w:r>
            <w:r w:rsidRPr="00E64192">
              <w:rPr>
                <w:color w:val="000000"/>
                <w:kern w:val="0"/>
                <w:sz w:val="24"/>
                <w:szCs w:val="24"/>
              </w:rPr>
              <w:t>(</w:t>
            </w:r>
            <w:r w:rsidRPr="00E64192">
              <w:rPr>
                <w:rFonts w:ascii="宋体" w:hAnsi="宋体" w:cs="宋体" w:hint="eastAsia"/>
                <w:color w:val="000000"/>
                <w:kern w:val="0"/>
                <w:sz w:val="24"/>
                <w:szCs w:val="24"/>
              </w:rPr>
              <w:t>元</w:t>
            </w:r>
            <w:r w:rsidRPr="00E64192">
              <w:rPr>
                <w:color w:val="000000"/>
                <w:kern w:val="0"/>
                <w:sz w:val="24"/>
                <w:szCs w:val="24"/>
              </w:rPr>
              <w:t>)</w:t>
            </w:r>
          </w:p>
        </w:tc>
        <w:tc>
          <w:tcPr>
            <w:tcW w:w="164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spacing w:before="29" w:line="288" w:lineRule="auto"/>
              <w:ind w:left="17"/>
              <w:jc w:val="center"/>
              <w:rPr>
                <w:color w:val="000000"/>
                <w:kern w:val="0"/>
                <w:sz w:val="24"/>
                <w:szCs w:val="24"/>
              </w:rPr>
            </w:pPr>
            <w:r w:rsidRPr="00E64192">
              <w:rPr>
                <w:rFonts w:ascii="宋体" w:hAnsi="宋体" w:cs="宋体" w:hint="eastAsia"/>
                <w:color w:val="000000"/>
                <w:kern w:val="0"/>
                <w:sz w:val="24"/>
                <w:szCs w:val="24"/>
              </w:rPr>
              <w:t>占基金资产净值比例（％）</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1</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00700.HK</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腾讯控股</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18,000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6,252,997.32</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7.99</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2</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02238.HK</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广汽集团</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700,000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4,982,406.10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6.37</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3</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02382.HK</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舜宇光学科技</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45,000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4,292,562.60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5.48</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4</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600036</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招商银行</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120,000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3,873,600.00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4.95</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5</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color w:val="000000"/>
                <w:kern w:val="0"/>
                <w:sz w:val="24"/>
                <w:szCs w:val="24"/>
              </w:rPr>
            </w:pPr>
            <w:r w:rsidRPr="00E64192">
              <w:rPr>
                <w:color w:val="000000"/>
                <w:kern w:val="0"/>
                <w:sz w:val="24"/>
                <w:szCs w:val="24"/>
              </w:rPr>
              <w:t>00981.HK</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color w:val="000000"/>
                <w:kern w:val="0"/>
                <w:sz w:val="24"/>
                <w:szCs w:val="24"/>
              </w:rPr>
            </w:pPr>
            <w:r w:rsidRPr="00E64192">
              <w:rPr>
                <w:rFonts w:ascii="宋体" w:hAnsi="宋体" w:cs="宋体" w:hint="eastAsia"/>
                <w:color w:val="000000"/>
                <w:kern w:val="0"/>
                <w:sz w:val="24"/>
                <w:szCs w:val="24"/>
              </w:rPr>
              <w:t>中芯国际</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color w:val="000000"/>
                <w:kern w:val="0"/>
                <w:sz w:val="24"/>
                <w:szCs w:val="24"/>
              </w:rPr>
            </w:pPr>
            <w:r w:rsidRPr="00E64192">
              <w:rPr>
                <w:color w:val="000000"/>
                <w:kern w:val="0"/>
                <w:sz w:val="24"/>
                <w:szCs w:val="24"/>
              </w:rPr>
              <w:t>300,000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color w:val="000000"/>
                <w:kern w:val="0"/>
                <w:sz w:val="24"/>
                <w:szCs w:val="24"/>
              </w:rPr>
            </w:pPr>
            <w:r w:rsidRPr="00E64192">
              <w:rPr>
                <w:color w:val="000000"/>
                <w:kern w:val="0"/>
                <w:sz w:val="24"/>
                <w:szCs w:val="24"/>
              </w:rPr>
              <w:t>3,344,142.00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color w:val="000000"/>
                <w:kern w:val="0"/>
                <w:sz w:val="24"/>
                <w:szCs w:val="24"/>
              </w:rPr>
            </w:pPr>
            <w:r w:rsidRPr="00E64192">
              <w:rPr>
                <w:color w:val="000000"/>
                <w:kern w:val="0"/>
                <w:sz w:val="24"/>
                <w:szCs w:val="24"/>
              </w:rPr>
              <w:t>4.27</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6</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600519</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贵州茅台</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3,000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3,333,000.00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4.26</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7</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01918.HK</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融创中国</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100,000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3,280,183.00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4.19</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8</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603882</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金域医学</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50,000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2,814,500.00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3.60</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9</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00881.HK</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中升控股</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100,000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2,476,127.00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3.16</w:t>
            </w:r>
          </w:p>
        </w:tc>
      </w:tr>
      <w:tr w:rsidR="00E64192" w:rsidRPr="00E64192" w:rsidTr="00E64192">
        <w:trPr>
          <w:jc w:val="center"/>
        </w:trPr>
        <w:tc>
          <w:tcPr>
            <w:tcW w:w="855"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10</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color w:val="000000"/>
                <w:kern w:val="0"/>
                <w:sz w:val="24"/>
                <w:szCs w:val="24"/>
              </w:rPr>
              <w:t>002475</w:t>
            </w:r>
          </w:p>
        </w:tc>
        <w:tc>
          <w:tcPr>
            <w:tcW w:w="177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center"/>
              <w:rPr>
                <w:kern w:val="0"/>
                <w:sz w:val="20"/>
                <w:szCs w:val="20"/>
              </w:rPr>
            </w:pPr>
            <w:r w:rsidRPr="00E64192">
              <w:rPr>
                <w:rFonts w:ascii="宋体" w:hAnsi="宋体" w:cs="宋体" w:hint="eastAsia"/>
                <w:color w:val="000000"/>
                <w:kern w:val="0"/>
                <w:sz w:val="24"/>
                <w:szCs w:val="24"/>
              </w:rPr>
              <w:t>立讯精密</w:t>
            </w:r>
          </w:p>
        </w:tc>
        <w:tc>
          <w:tcPr>
            <w:tcW w:w="133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60,000</w:t>
            </w:r>
          </w:p>
        </w:tc>
        <w:tc>
          <w:tcPr>
            <w:tcW w:w="19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2,289,600.00</w:t>
            </w:r>
          </w:p>
        </w:tc>
        <w:tc>
          <w:tcPr>
            <w:tcW w:w="16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E64192" w:rsidRPr="00E64192" w:rsidRDefault="00E64192" w:rsidP="00E64192">
            <w:pPr>
              <w:widowControl/>
              <w:jc w:val="right"/>
              <w:rPr>
                <w:kern w:val="0"/>
                <w:sz w:val="20"/>
                <w:szCs w:val="20"/>
              </w:rPr>
            </w:pPr>
            <w:r w:rsidRPr="00E64192">
              <w:rPr>
                <w:color w:val="000000"/>
                <w:kern w:val="0"/>
                <w:sz w:val="24"/>
                <w:szCs w:val="24"/>
              </w:rPr>
              <w:t>2.93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bookmarkStart w:id="0" w:name="_GoBack"/>
      <w:bookmarkEnd w:id="0"/>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53,334.03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14,168.00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3,267.76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155,305.27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226,075.06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88,712,298.07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11,353,811.34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33,968,180.41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66,097,929.00</w:t>
            </w:r>
          </w:p>
        </w:tc>
      </w:tr>
    </w:tbl>
    <w:p w:rsidR="00283E39" w:rsidRDefault="005E75F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83E39" w:rsidRDefault="005E75F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83E39" w:rsidRDefault="005E75F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83E39" w:rsidRDefault="005E75F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64192">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64192">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3E39"/>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E75FC"/>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64192"/>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490848">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DF38-DA50-4498-974F-217DAE5F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11</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2020-04-20T05:47:00Z</dcterms:modified>
</cp:coreProperties>
</file>