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30961" w:rsidRDefault="0059033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30961" w:rsidRDefault="0059033E">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30961" w:rsidRDefault="0059033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30961" w:rsidRDefault="0059033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30961" w:rsidRDefault="0059033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2,064,639,838.06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E71A9" w:rsidRPr="00414345" w:rsidTr="00AE71A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E71A9" w:rsidRPr="00414345" w:rsidTr="00AE71A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293,070,938.59</w:t>
            </w:r>
          </w:p>
        </w:tc>
      </w:tr>
      <w:tr w:rsidR="00AE71A9" w:rsidRPr="00414345" w:rsidTr="00AE71A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-3,487,522.48</w:t>
            </w:r>
          </w:p>
        </w:tc>
      </w:tr>
      <w:tr w:rsidR="00AE71A9" w:rsidRPr="00414345" w:rsidTr="00AE71A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-0.0015</w:t>
            </w:r>
          </w:p>
        </w:tc>
      </w:tr>
      <w:tr w:rsidR="00AE71A9" w:rsidRPr="00414345" w:rsidTr="00AE71A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2,705,404,925.26</w:t>
            </w:r>
          </w:p>
        </w:tc>
      </w:tr>
      <w:tr w:rsidR="00AE71A9" w:rsidRPr="00414345" w:rsidTr="00AE71A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1.3104</w:t>
            </w:r>
          </w:p>
        </w:tc>
      </w:tr>
    </w:tbl>
    <w:p w:rsidR="00930961" w:rsidRDefault="0059033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AE71A9">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30961">
        <w:trPr>
          <w:jc w:val="center"/>
        </w:trPr>
        <w:tc>
          <w:tcPr>
            <w:tcW w:w="1701" w:type="dxa"/>
            <w:vAlign w:val="center"/>
          </w:tcPr>
          <w:p w:rsidR="00930961" w:rsidRDefault="0059033E">
            <w:pPr>
              <w:jc w:val="left"/>
            </w:pPr>
            <w:r>
              <w:rPr>
                <w:color w:val="000000"/>
                <w:sz w:val="24"/>
                <w:szCs w:val="24"/>
              </w:rPr>
              <w:t>过去三个月</w:t>
            </w:r>
          </w:p>
        </w:tc>
        <w:tc>
          <w:tcPr>
            <w:tcW w:w="1045" w:type="dxa"/>
            <w:vAlign w:val="center"/>
          </w:tcPr>
          <w:p w:rsidR="00930961" w:rsidRDefault="0059033E">
            <w:pPr>
              <w:jc w:val="center"/>
            </w:pPr>
            <w:r>
              <w:rPr>
                <w:color w:val="000000"/>
                <w:sz w:val="24"/>
                <w:szCs w:val="24"/>
              </w:rPr>
              <w:t>-1.06%</w:t>
            </w:r>
          </w:p>
        </w:tc>
        <w:tc>
          <w:tcPr>
            <w:tcW w:w="1344" w:type="dxa"/>
            <w:vAlign w:val="center"/>
          </w:tcPr>
          <w:p w:rsidR="00930961" w:rsidRDefault="0059033E">
            <w:pPr>
              <w:jc w:val="center"/>
            </w:pPr>
            <w:r>
              <w:rPr>
                <w:color w:val="000000"/>
                <w:sz w:val="24"/>
                <w:szCs w:val="24"/>
              </w:rPr>
              <w:t>1.99%</w:t>
            </w:r>
          </w:p>
        </w:tc>
        <w:tc>
          <w:tcPr>
            <w:tcW w:w="1194" w:type="dxa"/>
            <w:vAlign w:val="center"/>
          </w:tcPr>
          <w:p w:rsidR="00930961" w:rsidRDefault="0059033E">
            <w:pPr>
              <w:jc w:val="center"/>
            </w:pPr>
            <w:r>
              <w:rPr>
                <w:color w:val="000000"/>
                <w:sz w:val="24"/>
                <w:szCs w:val="24"/>
              </w:rPr>
              <w:t>-4.20%</w:t>
            </w:r>
          </w:p>
        </w:tc>
        <w:tc>
          <w:tcPr>
            <w:tcW w:w="1492" w:type="dxa"/>
            <w:vAlign w:val="center"/>
          </w:tcPr>
          <w:p w:rsidR="00930961" w:rsidRDefault="0059033E">
            <w:pPr>
              <w:jc w:val="center"/>
            </w:pPr>
            <w:r>
              <w:rPr>
                <w:color w:val="000000"/>
                <w:sz w:val="24"/>
                <w:szCs w:val="24"/>
              </w:rPr>
              <w:t>1.30%</w:t>
            </w:r>
          </w:p>
        </w:tc>
        <w:tc>
          <w:tcPr>
            <w:tcW w:w="1194" w:type="dxa"/>
            <w:vAlign w:val="center"/>
          </w:tcPr>
          <w:p w:rsidR="00930961" w:rsidRDefault="0059033E">
            <w:pPr>
              <w:jc w:val="center"/>
            </w:pPr>
            <w:r>
              <w:rPr>
                <w:color w:val="000000"/>
                <w:sz w:val="24"/>
                <w:szCs w:val="24"/>
              </w:rPr>
              <w:t>3.14%</w:t>
            </w:r>
          </w:p>
        </w:tc>
        <w:tc>
          <w:tcPr>
            <w:tcW w:w="898" w:type="dxa"/>
            <w:vAlign w:val="center"/>
          </w:tcPr>
          <w:p w:rsidR="00930961" w:rsidRDefault="0059033E">
            <w:pPr>
              <w:jc w:val="center"/>
            </w:pPr>
            <w:r>
              <w:rPr>
                <w:color w:val="000000"/>
                <w:sz w:val="24"/>
                <w:szCs w:val="24"/>
              </w:rPr>
              <w:t>0.69%</w:t>
            </w:r>
          </w:p>
        </w:tc>
      </w:tr>
    </w:tbl>
    <w:p w:rsidR="00930961" w:rsidRDefault="0059033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w:t>
      </w:r>
      <w:r w:rsidRPr="00414345">
        <w:rPr>
          <w:color w:val="000000"/>
          <w:sz w:val="24"/>
          <w:szCs w:val="24"/>
        </w:rPr>
        <w:lastRenderedPageBreak/>
        <w:t>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30961">
        <w:trPr>
          <w:jc w:val="center"/>
        </w:trPr>
        <w:tc>
          <w:tcPr>
            <w:tcW w:w="846" w:type="dxa"/>
            <w:vAlign w:val="center"/>
          </w:tcPr>
          <w:p w:rsidR="00930961" w:rsidRDefault="0059033E">
            <w:pPr>
              <w:jc w:val="center"/>
            </w:pPr>
            <w:r>
              <w:rPr>
                <w:color w:val="000000"/>
                <w:sz w:val="24"/>
                <w:szCs w:val="24"/>
              </w:rPr>
              <w:t>陈孜铎</w:t>
            </w:r>
          </w:p>
        </w:tc>
        <w:tc>
          <w:tcPr>
            <w:tcW w:w="845" w:type="dxa"/>
            <w:vAlign w:val="center"/>
          </w:tcPr>
          <w:p w:rsidR="00930961" w:rsidRDefault="0059033E">
            <w:pPr>
              <w:jc w:val="center"/>
            </w:pPr>
            <w:r>
              <w:rPr>
                <w:color w:val="000000"/>
                <w:sz w:val="24"/>
                <w:szCs w:val="24"/>
              </w:rPr>
              <w:t>交银稳健配置混合的基金经理，公司研究部助理总经理</w:t>
            </w:r>
          </w:p>
        </w:tc>
        <w:tc>
          <w:tcPr>
            <w:tcW w:w="1549" w:type="dxa"/>
            <w:vAlign w:val="center"/>
          </w:tcPr>
          <w:p w:rsidR="00930961" w:rsidRDefault="0059033E">
            <w:pPr>
              <w:jc w:val="center"/>
            </w:pPr>
            <w:r>
              <w:rPr>
                <w:color w:val="000000"/>
                <w:sz w:val="24"/>
                <w:szCs w:val="24"/>
              </w:rPr>
              <w:t>2018-07-04</w:t>
            </w:r>
          </w:p>
        </w:tc>
        <w:tc>
          <w:tcPr>
            <w:tcW w:w="1548" w:type="dxa"/>
            <w:vAlign w:val="center"/>
          </w:tcPr>
          <w:p w:rsidR="00930961" w:rsidRDefault="0059033E">
            <w:pPr>
              <w:jc w:val="center"/>
            </w:pPr>
            <w:r>
              <w:rPr>
                <w:color w:val="000000"/>
                <w:sz w:val="24"/>
                <w:szCs w:val="24"/>
              </w:rPr>
              <w:t>-</w:t>
            </w:r>
          </w:p>
        </w:tc>
        <w:tc>
          <w:tcPr>
            <w:tcW w:w="1407" w:type="dxa"/>
            <w:vAlign w:val="center"/>
          </w:tcPr>
          <w:p w:rsidR="00930961" w:rsidRDefault="0059033E">
            <w:pPr>
              <w:jc w:val="center"/>
            </w:pPr>
            <w:r>
              <w:rPr>
                <w:color w:val="000000"/>
                <w:sz w:val="24"/>
                <w:szCs w:val="24"/>
              </w:rPr>
              <w:t>12</w:t>
            </w:r>
            <w:r>
              <w:rPr>
                <w:color w:val="000000"/>
                <w:sz w:val="24"/>
                <w:szCs w:val="24"/>
              </w:rPr>
              <w:t>年</w:t>
            </w:r>
          </w:p>
        </w:tc>
        <w:tc>
          <w:tcPr>
            <w:tcW w:w="2673" w:type="dxa"/>
            <w:vAlign w:val="center"/>
          </w:tcPr>
          <w:p w:rsidR="00930961" w:rsidRDefault="0059033E">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28</w:t>
            </w:r>
            <w:r>
              <w:rPr>
                <w:color w:val="000000"/>
                <w:sz w:val="24"/>
                <w:szCs w:val="24"/>
              </w:rPr>
              <w:t>日担任交银施罗德蓝筹混合型证券投资基金的基金经理。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30961" w:rsidRDefault="0059033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30961" w:rsidRDefault="0059033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30961" w:rsidRDefault="0059033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30961" w:rsidRDefault="0059033E">
      <w:pPr>
        <w:spacing w:before="29" w:line="288" w:lineRule="auto"/>
        <w:ind w:firstLineChars="200" w:firstLine="480"/>
        <w:rPr>
          <w:color w:val="000000"/>
          <w:sz w:val="24"/>
          <w:szCs w:val="24"/>
        </w:rPr>
      </w:pPr>
      <w:r>
        <w:rPr>
          <w:color w:val="000000"/>
          <w:sz w:val="24"/>
          <w:szCs w:val="24"/>
        </w:rPr>
        <w:t>2020</w:t>
      </w:r>
      <w:r>
        <w:rPr>
          <w:color w:val="000000"/>
          <w:sz w:val="24"/>
          <w:szCs w:val="24"/>
        </w:rPr>
        <w:t>年一季度，整个</w:t>
      </w:r>
      <w:r>
        <w:rPr>
          <w:color w:val="000000"/>
          <w:sz w:val="24"/>
          <w:szCs w:val="24"/>
        </w:rPr>
        <w:t>A</w:t>
      </w:r>
      <w:r>
        <w:rPr>
          <w:color w:val="000000"/>
          <w:sz w:val="24"/>
          <w:szCs w:val="24"/>
        </w:rPr>
        <w:t>股市场整体呈震荡下行走势。在新冠疫情爆发以前的一月，整体</w:t>
      </w:r>
      <w:r>
        <w:rPr>
          <w:color w:val="000000"/>
          <w:sz w:val="24"/>
          <w:szCs w:val="24"/>
        </w:rPr>
        <w:t>A</w:t>
      </w:r>
      <w:r>
        <w:rPr>
          <w:color w:val="000000"/>
          <w:sz w:val="24"/>
          <w:szCs w:val="24"/>
        </w:rPr>
        <w:t>股风险偏好较高，高估值</w:t>
      </w:r>
      <w:r>
        <w:rPr>
          <w:color w:val="000000"/>
          <w:sz w:val="24"/>
          <w:szCs w:val="24"/>
        </w:rPr>
        <w:t>TMT</w:t>
      </w:r>
      <w:r>
        <w:rPr>
          <w:color w:val="000000"/>
          <w:sz w:val="24"/>
          <w:szCs w:val="24"/>
        </w:rPr>
        <w:t>类股票取得显著绝对收益。随着春节疫情影响不断扩大，绝大多数行业及整体宏观经济运行受到巨大影响。进入三月以后，国内疫情逐渐缓解，海外疫情快速爆发，全球金融市场巨震。</w:t>
      </w:r>
    </w:p>
    <w:p w:rsidR="00930961" w:rsidRDefault="0059033E">
      <w:pPr>
        <w:spacing w:before="29" w:line="288" w:lineRule="auto"/>
        <w:ind w:firstLineChars="200" w:firstLine="480"/>
        <w:rPr>
          <w:color w:val="000000"/>
          <w:sz w:val="24"/>
          <w:szCs w:val="24"/>
        </w:rPr>
      </w:pPr>
      <w:r>
        <w:rPr>
          <w:color w:val="000000"/>
          <w:sz w:val="24"/>
          <w:szCs w:val="24"/>
        </w:rPr>
        <w:t>在黑天鹅的冲击中，本基金进一步关注所持有资产的估值与受疫情的影响程度，尽力减少对基金净值的影响。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一季度全球新冠疫情的爆发始料未及，疫情对全球经济造成巨大影响。国内积极地防控措施虽然在国内较快的控制住了疫情的冲击，但海外疫情的冲击将对全球经济造成超预期的负面影响。在这种内外形势下，国内疫情</w:t>
      </w:r>
      <w:r w:rsidR="00461B1F">
        <w:rPr>
          <w:rFonts w:hint="eastAsia"/>
          <w:color w:val="000000"/>
          <w:sz w:val="24"/>
          <w:szCs w:val="24"/>
        </w:rPr>
        <w:t>后期</w:t>
      </w:r>
      <w:r w:rsidRPr="00414345">
        <w:rPr>
          <w:color w:val="000000"/>
          <w:sz w:val="24"/>
          <w:szCs w:val="24"/>
        </w:rPr>
        <w:t>的政策对冲和各个行业内竞争格局的变化将会成为投资主线。中国受疫情冲击最早，防控得力，经济秩序</w:t>
      </w:r>
      <w:r w:rsidR="00461B1F">
        <w:rPr>
          <w:rFonts w:hint="eastAsia"/>
          <w:color w:val="000000"/>
          <w:sz w:val="24"/>
          <w:szCs w:val="24"/>
        </w:rPr>
        <w:t>恢复</w:t>
      </w:r>
      <w:r w:rsidRPr="00414345">
        <w:rPr>
          <w:color w:val="000000"/>
          <w:sz w:val="24"/>
          <w:szCs w:val="24"/>
        </w:rPr>
        <w:t>的也相对最早最快，在一至两个季度疫情对全球影响更为明确之后，中国企业在国际竞争中的地位会进一步凸显。在上述</w:t>
      </w:r>
      <w:r w:rsidR="00461B1F">
        <w:rPr>
          <w:rFonts w:hint="eastAsia"/>
          <w:color w:val="000000"/>
          <w:sz w:val="24"/>
          <w:szCs w:val="24"/>
        </w:rPr>
        <w:t>情况</w:t>
      </w:r>
      <w:bookmarkStart w:id="0" w:name="_GoBack"/>
      <w:bookmarkEnd w:id="0"/>
      <w:r w:rsidRPr="00414345">
        <w:rPr>
          <w:color w:val="000000"/>
          <w:sz w:val="24"/>
          <w:szCs w:val="24"/>
        </w:rPr>
        <w:t>下，本基金将努力寻找在底部的价值品种，受益于政策导向的品种以及产业潜力及竞争力具备优势的品种进行布局，努力为投资者持续创造回报。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AE71A9" w:rsidRDefault="00AE71A9" w:rsidP="00421CD2">
      <w:pPr>
        <w:spacing w:before="29" w:line="288" w:lineRule="auto"/>
        <w:ind w:firstLineChars="200" w:firstLine="480"/>
        <w:rPr>
          <w:color w:val="000000"/>
          <w:sz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AE71A9" w:rsidRDefault="009C1009" w:rsidP="009C1009">
      <w:pPr>
        <w:autoSpaceDE w:val="0"/>
        <w:autoSpaceDN w:val="0"/>
        <w:adjustRightInd w:val="0"/>
        <w:spacing w:line="360" w:lineRule="auto"/>
        <w:jc w:val="right"/>
        <w:rPr>
          <w:rFonts w:eastAsiaTheme="minorEastAsia"/>
          <w:b/>
          <w:color w:val="000000" w:themeColor="text1"/>
          <w:kern w:val="0"/>
          <w:sz w:val="32"/>
          <w:szCs w:val="24"/>
        </w:rPr>
      </w:pPr>
      <w:r w:rsidRPr="00AE71A9">
        <w:rPr>
          <w:rFonts w:hint="eastAsia"/>
          <w:color w:val="000000"/>
          <w:kern w:val="0"/>
          <w:sz w:val="24"/>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2,255,376,728.23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82.26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2,255,376,728.23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82.26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163,661,638.06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163,661,638.06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315,624,614.35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11.51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6,962,925.70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2,741,625,906.34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910,135,732.71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53,790,000.00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131,613,921.12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78,949.61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136,384,233.84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85,755,895.80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863,983,397.35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31.94</w:t>
            </w:r>
          </w:p>
        </w:tc>
      </w:tr>
      <w:tr w:rsidR="00531F10" w:rsidRPr="00414345" w:rsidTr="00AE71A9">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29,510,400.00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w:t>
            </w:r>
          </w:p>
        </w:tc>
      </w:tr>
      <w:tr w:rsidR="00531F10" w:rsidRPr="00414345" w:rsidTr="00AE71A9">
        <w:trPr>
          <w:trHeight w:val="285"/>
          <w:jc w:val="center"/>
        </w:trPr>
        <w:tc>
          <w:tcPr>
            <w:tcW w:w="845" w:type="dxa"/>
            <w:tcBorders>
              <w:top w:val="single" w:sz="4" w:space="0" w:color="000000"/>
              <w:left w:val="single" w:sz="4" w:space="0" w:color="000000"/>
              <w:bottom w:val="single" w:sz="4" w:space="0" w:color="auto"/>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auto"/>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auto"/>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179,136.28</w:t>
            </w:r>
          </w:p>
        </w:tc>
        <w:tc>
          <w:tcPr>
            <w:tcW w:w="1638" w:type="dxa"/>
            <w:tcBorders>
              <w:top w:val="single" w:sz="4" w:space="0" w:color="000000"/>
              <w:left w:val="single" w:sz="4" w:space="0" w:color="000000"/>
              <w:bottom w:val="single" w:sz="4" w:space="0" w:color="auto"/>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AE71A9">
        <w:trPr>
          <w:trHeight w:val="285"/>
          <w:jc w:val="center"/>
        </w:trPr>
        <w:tc>
          <w:tcPr>
            <w:tcW w:w="845" w:type="dxa"/>
            <w:tcBorders>
              <w:top w:val="single" w:sz="4" w:space="0" w:color="auto"/>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auto"/>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auto"/>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81,602.52</w:t>
            </w:r>
          </w:p>
        </w:tc>
        <w:tc>
          <w:tcPr>
            <w:tcW w:w="1638" w:type="dxa"/>
            <w:tcBorders>
              <w:top w:val="single" w:sz="4" w:space="0" w:color="auto"/>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21,363,459.00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2,255,376,728.23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83.37</w:t>
            </w:r>
          </w:p>
        </w:tc>
      </w:tr>
    </w:tbl>
    <w:p w:rsidR="00AE71A9" w:rsidRDefault="00AE71A9"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30961">
        <w:trPr>
          <w:jc w:val="center"/>
        </w:trPr>
        <w:tc>
          <w:tcPr>
            <w:tcW w:w="855" w:type="dxa"/>
            <w:vAlign w:val="center"/>
          </w:tcPr>
          <w:p w:rsidR="00930961" w:rsidRDefault="0059033E">
            <w:pPr>
              <w:jc w:val="center"/>
            </w:pPr>
            <w:r>
              <w:rPr>
                <w:color w:val="000000"/>
                <w:sz w:val="24"/>
                <w:szCs w:val="24"/>
              </w:rPr>
              <w:t>1</w:t>
            </w:r>
          </w:p>
        </w:tc>
        <w:tc>
          <w:tcPr>
            <w:tcW w:w="1334" w:type="dxa"/>
            <w:vAlign w:val="center"/>
          </w:tcPr>
          <w:p w:rsidR="00930961" w:rsidRDefault="0059033E">
            <w:pPr>
              <w:jc w:val="center"/>
            </w:pPr>
            <w:r>
              <w:rPr>
                <w:color w:val="000000"/>
                <w:sz w:val="24"/>
                <w:szCs w:val="24"/>
              </w:rPr>
              <w:t>600383</w:t>
            </w:r>
          </w:p>
        </w:tc>
        <w:tc>
          <w:tcPr>
            <w:tcW w:w="1777" w:type="dxa"/>
            <w:vAlign w:val="center"/>
          </w:tcPr>
          <w:p w:rsidR="00930961" w:rsidRDefault="0059033E">
            <w:pPr>
              <w:jc w:val="center"/>
            </w:pPr>
            <w:r>
              <w:rPr>
                <w:color w:val="000000"/>
                <w:sz w:val="24"/>
                <w:szCs w:val="24"/>
              </w:rPr>
              <w:t>金地集团</w:t>
            </w:r>
          </w:p>
        </w:tc>
        <w:tc>
          <w:tcPr>
            <w:tcW w:w="1334" w:type="dxa"/>
            <w:vAlign w:val="center"/>
          </w:tcPr>
          <w:p w:rsidR="00930961" w:rsidRDefault="0059033E">
            <w:pPr>
              <w:jc w:val="right"/>
            </w:pPr>
            <w:r>
              <w:rPr>
                <w:color w:val="000000"/>
                <w:sz w:val="24"/>
                <w:szCs w:val="24"/>
              </w:rPr>
              <w:t>15,026,800</w:t>
            </w:r>
          </w:p>
        </w:tc>
        <w:tc>
          <w:tcPr>
            <w:tcW w:w="1924" w:type="dxa"/>
            <w:vAlign w:val="center"/>
          </w:tcPr>
          <w:p w:rsidR="00930961" w:rsidRDefault="0059033E">
            <w:pPr>
              <w:jc w:val="right"/>
            </w:pPr>
            <w:r>
              <w:rPr>
                <w:color w:val="000000"/>
                <w:sz w:val="24"/>
                <w:szCs w:val="24"/>
              </w:rPr>
              <w:t>211,727,612.00</w:t>
            </w:r>
          </w:p>
        </w:tc>
        <w:tc>
          <w:tcPr>
            <w:tcW w:w="1644" w:type="dxa"/>
            <w:vAlign w:val="center"/>
          </w:tcPr>
          <w:p w:rsidR="00930961" w:rsidRDefault="0059033E">
            <w:pPr>
              <w:jc w:val="right"/>
            </w:pPr>
            <w:r>
              <w:rPr>
                <w:color w:val="000000"/>
                <w:sz w:val="24"/>
                <w:szCs w:val="24"/>
              </w:rPr>
              <w:t>7.83</w:t>
            </w:r>
          </w:p>
        </w:tc>
      </w:tr>
      <w:tr w:rsidR="00930961">
        <w:trPr>
          <w:jc w:val="center"/>
        </w:trPr>
        <w:tc>
          <w:tcPr>
            <w:tcW w:w="855" w:type="dxa"/>
            <w:vAlign w:val="center"/>
          </w:tcPr>
          <w:p w:rsidR="00930961" w:rsidRDefault="0059033E">
            <w:pPr>
              <w:jc w:val="center"/>
            </w:pPr>
            <w:r>
              <w:rPr>
                <w:color w:val="000000"/>
                <w:sz w:val="24"/>
                <w:szCs w:val="24"/>
              </w:rPr>
              <w:t>2</w:t>
            </w:r>
          </w:p>
        </w:tc>
        <w:tc>
          <w:tcPr>
            <w:tcW w:w="1334" w:type="dxa"/>
            <w:vAlign w:val="center"/>
          </w:tcPr>
          <w:p w:rsidR="00930961" w:rsidRDefault="0059033E">
            <w:pPr>
              <w:jc w:val="center"/>
            </w:pPr>
            <w:r>
              <w:rPr>
                <w:color w:val="000000"/>
                <w:sz w:val="24"/>
                <w:szCs w:val="24"/>
              </w:rPr>
              <w:t>603517</w:t>
            </w:r>
          </w:p>
        </w:tc>
        <w:tc>
          <w:tcPr>
            <w:tcW w:w="1777" w:type="dxa"/>
            <w:vAlign w:val="center"/>
          </w:tcPr>
          <w:p w:rsidR="00930961" w:rsidRDefault="0059033E">
            <w:pPr>
              <w:jc w:val="center"/>
            </w:pPr>
            <w:r>
              <w:rPr>
                <w:color w:val="000000"/>
                <w:sz w:val="24"/>
                <w:szCs w:val="24"/>
              </w:rPr>
              <w:t>绝味食品</w:t>
            </w:r>
          </w:p>
        </w:tc>
        <w:tc>
          <w:tcPr>
            <w:tcW w:w="1334" w:type="dxa"/>
            <w:vAlign w:val="center"/>
          </w:tcPr>
          <w:p w:rsidR="00930961" w:rsidRDefault="0059033E">
            <w:pPr>
              <w:jc w:val="right"/>
            </w:pPr>
            <w:r>
              <w:rPr>
                <w:color w:val="000000"/>
                <w:sz w:val="24"/>
                <w:szCs w:val="24"/>
              </w:rPr>
              <w:t>4,000,000</w:t>
            </w:r>
          </w:p>
        </w:tc>
        <w:tc>
          <w:tcPr>
            <w:tcW w:w="1924" w:type="dxa"/>
            <w:vAlign w:val="center"/>
          </w:tcPr>
          <w:p w:rsidR="00930961" w:rsidRDefault="0059033E">
            <w:pPr>
              <w:jc w:val="right"/>
            </w:pPr>
            <w:r>
              <w:rPr>
                <w:color w:val="000000"/>
                <w:sz w:val="24"/>
                <w:szCs w:val="24"/>
              </w:rPr>
              <w:t>207,000,000.00</w:t>
            </w:r>
          </w:p>
        </w:tc>
        <w:tc>
          <w:tcPr>
            <w:tcW w:w="1644" w:type="dxa"/>
            <w:vAlign w:val="center"/>
          </w:tcPr>
          <w:p w:rsidR="00930961" w:rsidRDefault="0059033E">
            <w:pPr>
              <w:jc w:val="right"/>
            </w:pPr>
            <w:r>
              <w:rPr>
                <w:color w:val="000000"/>
                <w:sz w:val="24"/>
                <w:szCs w:val="24"/>
              </w:rPr>
              <w:t>7.65</w:t>
            </w:r>
          </w:p>
        </w:tc>
      </w:tr>
      <w:tr w:rsidR="00930961">
        <w:trPr>
          <w:jc w:val="center"/>
        </w:trPr>
        <w:tc>
          <w:tcPr>
            <w:tcW w:w="855" w:type="dxa"/>
            <w:vAlign w:val="center"/>
          </w:tcPr>
          <w:p w:rsidR="00930961" w:rsidRDefault="0059033E">
            <w:pPr>
              <w:jc w:val="center"/>
            </w:pPr>
            <w:r>
              <w:rPr>
                <w:color w:val="000000"/>
                <w:sz w:val="24"/>
                <w:szCs w:val="24"/>
              </w:rPr>
              <w:t>3</w:t>
            </w:r>
          </w:p>
        </w:tc>
        <w:tc>
          <w:tcPr>
            <w:tcW w:w="1334" w:type="dxa"/>
            <w:vAlign w:val="center"/>
          </w:tcPr>
          <w:p w:rsidR="00930961" w:rsidRDefault="0059033E">
            <w:pPr>
              <w:jc w:val="center"/>
            </w:pPr>
            <w:r>
              <w:rPr>
                <w:color w:val="000000"/>
                <w:sz w:val="24"/>
                <w:szCs w:val="24"/>
              </w:rPr>
              <w:t>000002</w:t>
            </w:r>
          </w:p>
        </w:tc>
        <w:tc>
          <w:tcPr>
            <w:tcW w:w="1777" w:type="dxa"/>
            <w:vAlign w:val="center"/>
          </w:tcPr>
          <w:p w:rsidR="00930961" w:rsidRDefault="0059033E">
            <w:pPr>
              <w:jc w:val="center"/>
            </w:pPr>
            <w:r>
              <w:rPr>
                <w:color w:val="000000"/>
                <w:sz w:val="24"/>
                <w:szCs w:val="24"/>
              </w:rPr>
              <w:t>万科</w:t>
            </w:r>
            <w:r>
              <w:rPr>
                <w:color w:val="000000"/>
                <w:sz w:val="24"/>
                <w:szCs w:val="24"/>
              </w:rPr>
              <w:t>A</w:t>
            </w:r>
          </w:p>
        </w:tc>
        <w:tc>
          <w:tcPr>
            <w:tcW w:w="1334" w:type="dxa"/>
            <w:vAlign w:val="center"/>
          </w:tcPr>
          <w:p w:rsidR="00930961" w:rsidRDefault="0059033E">
            <w:pPr>
              <w:jc w:val="right"/>
            </w:pPr>
            <w:r>
              <w:rPr>
                <w:color w:val="000000"/>
                <w:sz w:val="24"/>
                <w:szCs w:val="24"/>
              </w:rPr>
              <w:t>7,097,028</w:t>
            </w:r>
          </w:p>
        </w:tc>
        <w:tc>
          <w:tcPr>
            <w:tcW w:w="1924" w:type="dxa"/>
            <w:vAlign w:val="center"/>
          </w:tcPr>
          <w:p w:rsidR="00930961" w:rsidRDefault="0059033E">
            <w:pPr>
              <w:jc w:val="right"/>
            </w:pPr>
            <w:r>
              <w:rPr>
                <w:color w:val="000000"/>
                <w:sz w:val="24"/>
                <w:szCs w:val="24"/>
              </w:rPr>
              <w:t>182,038,768.20</w:t>
            </w:r>
          </w:p>
        </w:tc>
        <w:tc>
          <w:tcPr>
            <w:tcW w:w="1644" w:type="dxa"/>
            <w:vAlign w:val="center"/>
          </w:tcPr>
          <w:p w:rsidR="00930961" w:rsidRDefault="0059033E">
            <w:pPr>
              <w:jc w:val="right"/>
            </w:pPr>
            <w:r>
              <w:rPr>
                <w:color w:val="000000"/>
                <w:sz w:val="24"/>
                <w:szCs w:val="24"/>
              </w:rPr>
              <w:t>6.73</w:t>
            </w:r>
          </w:p>
        </w:tc>
      </w:tr>
      <w:tr w:rsidR="00930961">
        <w:trPr>
          <w:jc w:val="center"/>
        </w:trPr>
        <w:tc>
          <w:tcPr>
            <w:tcW w:w="855" w:type="dxa"/>
            <w:vAlign w:val="center"/>
          </w:tcPr>
          <w:p w:rsidR="00930961" w:rsidRDefault="0059033E">
            <w:pPr>
              <w:jc w:val="center"/>
            </w:pPr>
            <w:r>
              <w:rPr>
                <w:color w:val="000000"/>
                <w:sz w:val="24"/>
                <w:szCs w:val="24"/>
              </w:rPr>
              <w:t>4</w:t>
            </w:r>
          </w:p>
        </w:tc>
        <w:tc>
          <w:tcPr>
            <w:tcW w:w="1334" w:type="dxa"/>
            <w:vAlign w:val="center"/>
          </w:tcPr>
          <w:p w:rsidR="00930961" w:rsidRDefault="0059033E">
            <w:pPr>
              <w:jc w:val="center"/>
            </w:pPr>
            <w:r>
              <w:rPr>
                <w:color w:val="000000"/>
                <w:sz w:val="24"/>
                <w:szCs w:val="24"/>
              </w:rPr>
              <w:t>300724</w:t>
            </w:r>
          </w:p>
        </w:tc>
        <w:tc>
          <w:tcPr>
            <w:tcW w:w="1777" w:type="dxa"/>
            <w:vAlign w:val="center"/>
          </w:tcPr>
          <w:p w:rsidR="00930961" w:rsidRDefault="0059033E">
            <w:pPr>
              <w:jc w:val="center"/>
            </w:pPr>
            <w:r>
              <w:rPr>
                <w:color w:val="000000"/>
                <w:sz w:val="24"/>
                <w:szCs w:val="24"/>
              </w:rPr>
              <w:t>捷佳伟创</w:t>
            </w:r>
          </w:p>
        </w:tc>
        <w:tc>
          <w:tcPr>
            <w:tcW w:w="1334" w:type="dxa"/>
            <w:vAlign w:val="center"/>
          </w:tcPr>
          <w:p w:rsidR="00930961" w:rsidRDefault="0059033E">
            <w:pPr>
              <w:jc w:val="right"/>
            </w:pPr>
            <w:r>
              <w:rPr>
                <w:color w:val="000000"/>
                <w:sz w:val="24"/>
                <w:szCs w:val="24"/>
              </w:rPr>
              <w:t>3,500,000</w:t>
            </w:r>
          </w:p>
        </w:tc>
        <w:tc>
          <w:tcPr>
            <w:tcW w:w="1924" w:type="dxa"/>
            <w:vAlign w:val="center"/>
          </w:tcPr>
          <w:p w:rsidR="00930961" w:rsidRDefault="0059033E">
            <w:pPr>
              <w:jc w:val="right"/>
            </w:pPr>
            <w:r>
              <w:rPr>
                <w:color w:val="000000"/>
                <w:sz w:val="24"/>
                <w:szCs w:val="24"/>
              </w:rPr>
              <w:t>162,225,000.00</w:t>
            </w:r>
          </w:p>
        </w:tc>
        <w:tc>
          <w:tcPr>
            <w:tcW w:w="1644" w:type="dxa"/>
            <w:vAlign w:val="center"/>
          </w:tcPr>
          <w:p w:rsidR="00930961" w:rsidRDefault="0059033E">
            <w:pPr>
              <w:jc w:val="right"/>
            </w:pPr>
            <w:r>
              <w:rPr>
                <w:color w:val="000000"/>
                <w:sz w:val="24"/>
                <w:szCs w:val="24"/>
              </w:rPr>
              <w:t>6.00</w:t>
            </w:r>
          </w:p>
        </w:tc>
      </w:tr>
      <w:tr w:rsidR="00930961">
        <w:trPr>
          <w:jc w:val="center"/>
        </w:trPr>
        <w:tc>
          <w:tcPr>
            <w:tcW w:w="855" w:type="dxa"/>
            <w:vAlign w:val="center"/>
          </w:tcPr>
          <w:p w:rsidR="00930961" w:rsidRDefault="0059033E">
            <w:pPr>
              <w:jc w:val="center"/>
            </w:pPr>
            <w:r>
              <w:rPr>
                <w:color w:val="000000"/>
                <w:sz w:val="24"/>
                <w:szCs w:val="24"/>
              </w:rPr>
              <w:t>5</w:t>
            </w:r>
          </w:p>
        </w:tc>
        <w:tc>
          <w:tcPr>
            <w:tcW w:w="1334" w:type="dxa"/>
            <w:vAlign w:val="center"/>
          </w:tcPr>
          <w:p w:rsidR="00930961" w:rsidRDefault="0059033E">
            <w:pPr>
              <w:jc w:val="center"/>
            </w:pPr>
            <w:r>
              <w:rPr>
                <w:color w:val="000000"/>
                <w:sz w:val="24"/>
                <w:szCs w:val="24"/>
              </w:rPr>
              <w:t>000961</w:t>
            </w:r>
          </w:p>
        </w:tc>
        <w:tc>
          <w:tcPr>
            <w:tcW w:w="1777" w:type="dxa"/>
            <w:vAlign w:val="center"/>
          </w:tcPr>
          <w:p w:rsidR="00930961" w:rsidRDefault="0059033E">
            <w:pPr>
              <w:jc w:val="center"/>
            </w:pPr>
            <w:r>
              <w:rPr>
                <w:color w:val="000000"/>
                <w:sz w:val="24"/>
                <w:szCs w:val="24"/>
              </w:rPr>
              <w:t>中南建设</w:t>
            </w:r>
          </w:p>
        </w:tc>
        <w:tc>
          <w:tcPr>
            <w:tcW w:w="1334" w:type="dxa"/>
            <w:vAlign w:val="center"/>
          </w:tcPr>
          <w:p w:rsidR="00930961" w:rsidRDefault="0059033E">
            <w:pPr>
              <w:jc w:val="right"/>
            </w:pPr>
            <w:r>
              <w:rPr>
                <w:color w:val="000000"/>
                <w:sz w:val="24"/>
                <w:szCs w:val="24"/>
              </w:rPr>
              <w:t>18,452,710</w:t>
            </w:r>
          </w:p>
        </w:tc>
        <w:tc>
          <w:tcPr>
            <w:tcW w:w="1924" w:type="dxa"/>
            <w:vAlign w:val="center"/>
          </w:tcPr>
          <w:p w:rsidR="00930961" w:rsidRDefault="0059033E">
            <w:pPr>
              <w:jc w:val="right"/>
            </w:pPr>
            <w:r>
              <w:rPr>
                <w:color w:val="000000"/>
                <w:sz w:val="24"/>
                <w:szCs w:val="24"/>
              </w:rPr>
              <w:t>143,008,502.50</w:t>
            </w:r>
          </w:p>
        </w:tc>
        <w:tc>
          <w:tcPr>
            <w:tcW w:w="1644" w:type="dxa"/>
            <w:vAlign w:val="center"/>
          </w:tcPr>
          <w:p w:rsidR="00930961" w:rsidRDefault="0059033E">
            <w:pPr>
              <w:jc w:val="right"/>
            </w:pPr>
            <w:r>
              <w:rPr>
                <w:color w:val="000000"/>
                <w:sz w:val="24"/>
                <w:szCs w:val="24"/>
              </w:rPr>
              <w:t>5.29</w:t>
            </w:r>
          </w:p>
        </w:tc>
      </w:tr>
      <w:tr w:rsidR="00930961">
        <w:trPr>
          <w:jc w:val="center"/>
        </w:trPr>
        <w:tc>
          <w:tcPr>
            <w:tcW w:w="855" w:type="dxa"/>
            <w:vAlign w:val="center"/>
          </w:tcPr>
          <w:p w:rsidR="00930961" w:rsidRDefault="0059033E">
            <w:pPr>
              <w:jc w:val="center"/>
            </w:pPr>
            <w:r>
              <w:rPr>
                <w:color w:val="000000"/>
                <w:sz w:val="24"/>
                <w:szCs w:val="24"/>
              </w:rPr>
              <w:t>6</w:t>
            </w:r>
          </w:p>
        </w:tc>
        <w:tc>
          <w:tcPr>
            <w:tcW w:w="1334" w:type="dxa"/>
            <w:vAlign w:val="center"/>
          </w:tcPr>
          <w:p w:rsidR="00930961" w:rsidRDefault="0059033E">
            <w:pPr>
              <w:jc w:val="center"/>
            </w:pPr>
            <w:r>
              <w:rPr>
                <w:color w:val="000000"/>
                <w:sz w:val="24"/>
                <w:szCs w:val="24"/>
              </w:rPr>
              <w:t>000671</w:t>
            </w:r>
          </w:p>
        </w:tc>
        <w:tc>
          <w:tcPr>
            <w:tcW w:w="1777" w:type="dxa"/>
            <w:vAlign w:val="center"/>
          </w:tcPr>
          <w:p w:rsidR="00930961" w:rsidRDefault="0059033E">
            <w:pPr>
              <w:jc w:val="center"/>
            </w:pPr>
            <w:r>
              <w:rPr>
                <w:color w:val="000000"/>
                <w:sz w:val="24"/>
                <w:szCs w:val="24"/>
              </w:rPr>
              <w:t>阳光城</w:t>
            </w:r>
          </w:p>
        </w:tc>
        <w:tc>
          <w:tcPr>
            <w:tcW w:w="1334" w:type="dxa"/>
            <w:vAlign w:val="center"/>
          </w:tcPr>
          <w:p w:rsidR="00930961" w:rsidRDefault="0059033E">
            <w:pPr>
              <w:jc w:val="right"/>
            </w:pPr>
            <w:r>
              <w:rPr>
                <w:color w:val="000000"/>
                <w:sz w:val="24"/>
                <w:szCs w:val="24"/>
              </w:rPr>
              <w:t>20,004,600</w:t>
            </w:r>
          </w:p>
        </w:tc>
        <w:tc>
          <w:tcPr>
            <w:tcW w:w="1924" w:type="dxa"/>
            <w:vAlign w:val="center"/>
          </w:tcPr>
          <w:p w:rsidR="00930961" w:rsidRDefault="0059033E">
            <w:pPr>
              <w:jc w:val="right"/>
            </w:pPr>
            <w:r>
              <w:rPr>
                <w:color w:val="000000"/>
                <w:sz w:val="24"/>
                <w:szCs w:val="24"/>
              </w:rPr>
              <w:t>139,832,154.00</w:t>
            </w:r>
          </w:p>
        </w:tc>
        <w:tc>
          <w:tcPr>
            <w:tcW w:w="1644" w:type="dxa"/>
            <w:vAlign w:val="center"/>
          </w:tcPr>
          <w:p w:rsidR="00930961" w:rsidRDefault="0059033E">
            <w:pPr>
              <w:jc w:val="right"/>
            </w:pPr>
            <w:r>
              <w:rPr>
                <w:color w:val="000000"/>
                <w:sz w:val="24"/>
                <w:szCs w:val="24"/>
              </w:rPr>
              <w:t>5.17</w:t>
            </w:r>
          </w:p>
        </w:tc>
      </w:tr>
      <w:tr w:rsidR="00930961">
        <w:trPr>
          <w:jc w:val="center"/>
        </w:trPr>
        <w:tc>
          <w:tcPr>
            <w:tcW w:w="855" w:type="dxa"/>
            <w:vAlign w:val="center"/>
          </w:tcPr>
          <w:p w:rsidR="00930961" w:rsidRDefault="0059033E">
            <w:pPr>
              <w:jc w:val="center"/>
            </w:pPr>
            <w:r>
              <w:rPr>
                <w:color w:val="000000"/>
                <w:sz w:val="24"/>
                <w:szCs w:val="24"/>
              </w:rPr>
              <w:t>7</w:t>
            </w:r>
          </w:p>
        </w:tc>
        <w:tc>
          <w:tcPr>
            <w:tcW w:w="1334" w:type="dxa"/>
            <w:vAlign w:val="center"/>
          </w:tcPr>
          <w:p w:rsidR="00930961" w:rsidRDefault="0059033E">
            <w:pPr>
              <w:jc w:val="center"/>
            </w:pPr>
            <w:r>
              <w:rPr>
                <w:color w:val="000000"/>
                <w:sz w:val="24"/>
                <w:szCs w:val="24"/>
              </w:rPr>
              <w:t>603359</w:t>
            </w:r>
          </w:p>
        </w:tc>
        <w:tc>
          <w:tcPr>
            <w:tcW w:w="1777" w:type="dxa"/>
            <w:vAlign w:val="center"/>
          </w:tcPr>
          <w:p w:rsidR="00930961" w:rsidRDefault="0059033E">
            <w:pPr>
              <w:jc w:val="center"/>
            </w:pPr>
            <w:r>
              <w:rPr>
                <w:color w:val="000000"/>
                <w:sz w:val="24"/>
                <w:szCs w:val="24"/>
              </w:rPr>
              <w:t>东珠生态</w:t>
            </w:r>
          </w:p>
        </w:tc>
        <w:tc>
          <w:tcPr>
            <w:tcW w:w="1334" w:type="dxa"/>
            <w:vAlign w:val="center"/>
          </w:tcPr>
          <w:p w:rsidR="00930961" w:rsidRDefault="0059033E">
            <w:pPr>
              <w:jc w:val="right"/>
            </w:pPr>
            <w:r>
              <w:rPr>
                <w:color w:val="000000"/>
                <w:sz w:val="24"/>
                <w:szCs w:val="24"/>
              </w:rPr>
              <w:t>6,509,096</w:t>
            </w:r>
          </w:p>
        </w:tc>
        <w:tc>
          <w:tcPr>
            <w:tcW w:w="1924" w:type="dxa"/>
            <w:vAlign w:val="center"/>
          </w:tcPr>
          <w:p w:rsidR="00930961" w:rsidRDefault="0059033E">
            <w:pPr>
              <w:jc w:val="right"/>
            </w:pPr>
            <w:r>
              <w:rPr>
                <w:color w:val="000000"/>
                <w:sz w:val="24"/>
                <w:szCs w:val="24"/>
              </w:rPr>
              <w:t>131,613,921.12</w:t>
            </w:r>
          </w:p>
        </w:tc>
        <w:tc>
          <w:tcPr>
            <w:tcW w:w="1644" w:type="dxa"/>
            <w:vAlign w:val="center"/>
          </w:tcPr>
          <w:p w:rsidR="00930961" w:rsidRDefault="0059033E">
            <w:pPr>
              <w:jc w:val="right"/>
            </w:pPr>
            <w:r>
              <w:rPr>
                <w:color w:val="000000"/>
                <w:sz w:val="24"/>
                <w:szCs w:val="24"/>
              </w:rPr>
              <w:t>4.86</w:t>
            </w:r>
          </w:p>
        </w:tc>
      </w:tr>
      <w:tr w:rsidR="00930961">
        <w:trPr>
          <w:jc w:val="center"/>
        </w:trPr>
        <w:tc>
          <w:tcPr>
            <w:tcW w:w="855" w:type="dxa"/>
            <w:vAlign w:val="center"/>
          </w:tcPr>
          <w:p w:rsidR="00930961" w:rsidRDefault="0059033E">
            <w:pPr>
              <w:jc w:val="center"/>
            </w:pPr>
            <w:r>
              <w:rPr>
                <w:color w:val="000000"/>
                <w:sz w:val="24"/>
                <w:szCs w:val="24"/>
              </w:rPr>
              <w:t>8</w:t>
            </w:r>
          </w:p>
        </w:tc>
        <w:tc>
          <w:tcPr>
            <w:tcW w:w="1334" w:type="dxa"/>
            <w:vAlign w:val="center"/>
          </w:tcPr>
          <w:p w:rsidR="00930961" w:rsidRDefault="0059033E">
            <w:pPr>
              <w:jc w:val="center"/>
            </w:pPr>
            <w:r>
              <w:rPr>
                <w:color w:val="000000"/>
                <w:sz w:val="24"/>
                <w:szCs w:val="24"/>
              </w:rPr>
              <w:t>601838</w:t>
            </w:r>
          </w:p>
        </w:tc>
        <w:tc>
          <w:tcPr>
            <w:tcW w:w="1777" w:type="dxa"/>
            <w:vAlign w:val="center"/>
          </w:tcPr>
          <w:p w:rsidR="00930961" w:rsidRDefault="0059033E">
            <w:pPr>
              <w:jc w:val="center"/>
            </w:pPr>
            <w:r>
              <w:rPr>
                <w:color w:val="000000"/>
                <w:sz w:val="24"/>
                <w:szCs w:val="24"/>
              </w:rPr>
              <w:t>成都银行</w:t>
            </w:r>
          </w:p>
        </w:tc>
        <w:tc>
          <w:tcPr>
            <w:tcW w:w="1334" w:type="dxa"/>
            <w:vAlign w:val="center"/>
          </w:tcPr>
          <w:p w:rsidR="00930961" w:rsidRDefault="0059033E">
            <w:pPr>
              <w:jc w:val="right"/>
            </w:pPr>
            <w:r>
              <w:rPr>
                <w:color w:val="000000"/>
                <w:sz w:val="24"/>
                <w:szCs w:val="24"/>
              </w:rPr>
              <w:t>11,364,825</w:t>
            </w:r>
          </w:p>
        </w:tc>
        <w:tc>
          <w:tcPr>
            <w:tcW w:w="1924" w:type="dxa"/>
            <w:vAlign w:val="center"/>
          </w:tcPr>
          <w:p w:rsidR="00930961" w:rsidRDefault="0059033E">
            <w:pPr>
              <w:jc w:val="right"/>
            </w:pPr>
            <w:r>
              <w:rPr>
                <w:color w:val="000000"/>
                <w:sz w:val="24"/>
                <w:szCs w:val="24"/>
              </w:rPr>
              <w:t>85,577,132.25</w:t>
            </w:r>
          </w:p>
        </w:tc>
        <w:tc>
          <w:tcPr>
            <w:tcW w:w="1644" w:type="dxa"/>
            <w:vAlign w:val="center"/>
          </w:tcPr>
          <w:p w:rsidR="00930961" w:rsidRDefault="0059033E">
            <w:pPr>
              <w:jc w:val="right"/>
            </w:pPr>
            <w:r>
              <w:rPr>
                <w:color w:val="000000"/>
                <w:sz w:val="24"/>
                <w:szCs w:val="24"/>
              </w:rPr>
              <w:t>3.16</w:t>
            </w:r>
          </w:p>
        </w:tc>
      </w:tr>
      <w:tr w:rsidR="00930961">
        <w:trPr>
          <w:jc w:val="center"/>
        </w:trPr>
        <w:tc>
          <w:tcPr>
            <w:tcW w:w="855" w:type="dxa"/>
            <w:vAlign w:val="center"/>
          </w:tcPr>
          <w:p w:rsidR="00930961" w:rsidRDefault="0059033E">
            <w:pPr>
              <w:jc w:val="center"/>
            </w:pPr>
            <w:r>
              <w:rPr>
                <w:color w:val="000000"/>
                <w:sz w:val="24"/>
                <w:szCs w:val="24"/>
              </w:rPr>
              <w:t>9</w:t>
            </w:r>
          </w:p>
        </w:tc>
        <w:tc>
          <w:tcPr>
            <w:tcW w:w="1334" w:type="dxa"/>
            <w:vAlign w:val="center"/>
          </w:tcPr>
          <w:p w:rsidR="00930961" w:rsidRDefault="0059033E">
            <w:pPr>
              <w:jc w:val="center"/>
            </w:pPr>
            <w:r>
              <w:rPr>
                <w:color w:val="000000"/>
                <w:sz w:val="24"/>
                <w:szCs w:val="24"/>
              </w:rPr>
              <w:t>000656</w:t>
            </w:r>
          </w:p>
        </w:tc>
        <w:tc>
          <w:tcPr>
            <w:tcW w:w="1777" w:type="dxa"/>
            <w:vAlign w:val="center"/>
          </w:tcPr>
          <w:p w:rsidR="00930961" w:rsidRDefault="0059033E">
            <w:pPr>
              <w:jc w:val="center"/>
            </w:pPr>
            <w:r>
              <w:rPr>
                <w:color w:val="000000"/>
                <w:sz w:val="24"/>
                <w:szCs w:val="24"/>
              </w:rPr>
              <w:t>金科股份</w:t>
            </w:r>
          </w:p>
        </w:tc>
        <w:tc>
          <w:tcPr>
            <w:tcW w:w="1334" w:type="dxa"/>
            <w:vAlign w:val="center"/>
          </w:tcPr>
          <w:p w:rsidR="00930961" w:rsidRDefault="0059033E">
            <w:pPr>
              <w:jc w:val="right"/>
            </w:pPr>
            <w:r>
              <w:rPr>
                <w:color w:val="000000"/>
                <w:sz w:val="24"/>
                <w:szCs w:val="24"/>
              </w:rPr>
              <w:t>10,006,096</w:t>
            </w:r>
          </w:p>
        </w:tc>
        <w:tc>
          <w:tcPr>
            <w:tcW w:w="1924" w:type="dxa"/>
            <w:vAlign w:val="center"/>
          </w:tcPr>
          <w:p w:rsidR="00930961" w:rsidRDefault="0059033E">
            <w:pPr>
              <w:jc w:val="right"/>
            </w:pPr>
            <w:r>
              <w:rPr>
                <w:color w:val="000000"/>
                <w:sz w:val="24"/>
                <w:szCs w:val="24"/>
              </w:rPr>
              <w:t>79,648,524.16</w:t>
            </w:r>
          </w:p>
        </w:tc>
        <w:tc>
          <w:tcPr>
            <w:tcW w:w="1644" w:type="dxa"/>
            <w:vAlign w:val="center"/>
          </w:tcPr>
          <w:p w:rsidR="00930961" w:rsidRDefault="0059033E">
            <w:pPr>
              <w:jc w:val="right"/>
            </w:pPr>
            <w:r>
              <w:rPr>
                <w:color w:val="000000"/>
                <w:sz w:val="24"/>
                <w:szCs w:val="24"/>
              </w:rPr>
              <w:t>2.94</w:t>
            </w:r>
          </w:p>
        </w:tc>
      </w:tr>
      <w:tr w:rsidR="00930961">
        <w:trPr>
          <w:jc w:val="center"/>
        </w:trPr>
        <w:tc>
          <w:tcPr>
            <w:tcW w:w="855" w:type="dxa"/>
            <w:vAlign w:val="center"/>
          </w:tcPr>
          <w:p w:rsidR="00930961" w:rsidRDefault="0059033E">
            <w:pPr>
              <w:jc w:val="center"/>
            </w:pPr>
            <w:r>
              <w:rPr>
                <w:color w:val="000000"/>
                <w:sz w:val="24"/>
                <w:szCs w:val="24"/>
              </w:rPr>
              <w:t>10</w:t>
            </w:r>
          </w:p>
        </w:tc>
        <w:tc>
          <w:tcPr>
            <w:tcW w:w="1334" w:type="dxa"/>
            <w:vAlign w:val="center"/>
          </w:tcPr>
          <w:p w:rsidR="00930961" w:rsidRDefault="0059033E">
            <w:pPr>
              <w:jc w:val="center"/>
            </w:pPr>
            <w:r>
              <w:rPr>
                <w:color w:val="000000"/>
                <w:sz w:val="24"/>
                <w:szCs w:val="24"/>
              </w:rPr>
              <w:t>600529</w:t>
            </w:r>
          </w:p>
        </w:tc>
        <w:tc>
          <w:tcPr>
            <w:tcW w:w="1777" w:type="dxa"/>
            <w:vAlign w:val="center"/>
          </w:tcPr>
          <w:p w:rsidR="00930961" w:rsidRDefault="0059033E">
            <w:pPr>
              <w:jc w:val="center"/>
            </w:pPr>
            <w:r>
              <w:rPr>
                <w:color w:val="000000"/>
                <w:sz w:val="24"/>
                <w:szCs w:val="24"/>
              </w:rPr>
              <w:t>山东药玻</w:t>
            </w:r>
          </w:p>
        </w:tc>
        <w:tc>
          <w:tcPr>
            <w:tcW w:w="1334" w:type="dxa"/>
            <w:vAlign w:val="center"/>
          </w:tcPr>
          <w:p w:rsidR="00930961" w:rsidRDefault="0059033E">
            <w:pPr>
              <w:jc w:val="right"/>
            </w:pPr>
            <w:r>
              <w:rPr>
                <w:color w:val="000000"/>
                <w:sz w:val="24"/>
                <w:szCs w:val="24"/>
              </w:rPr>
              <w:t>2,000,000</w:t>
            </w:r>
          </w:p>
        </w:tc>
        <w:tc>
          <w:tcPr>
            <w:tcW w:w="1924" w:type="dxa"/>
            <w:vAlign w:val="center"/>
          </w:tcPr>
          <w:p w:rsidR="00930961" w:rsidRDefault="0059033E">
            <w:pPr>
              <w:jc w:val="right"/>
            </w:pPr>
            <w:r>
              <w:rPr>
                <w:color w:val="000000"/>
                <w:sz w:val="24"/>
                <w:szCs w:val="24"/>
              </w:rPr>
              <w:t>67,160,000.00</w:t>
            </w:r>
          </w:p>
        </w:tc>
        <w:tc>
          <w:tcPr>
            <w:tcW w:w="1644" w:type="dxa"/>
            <w:vAlign w:val="center"/>
          </w:tcPr>
          <w:p w:rsidR="00930961" w:rsidRDefault="0059033E">
            <w:pPr>
              <w:jc w:val="right"/>
            </w:pPr>
            <w:r>
              <w:rPr>
                <w:color w:val="000000"/>
                <w:sz w:val="24"/>
                <w:szCs w:val="24"/>
              </w:rPr>
              <w:t>2.48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160,264,000.00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160,264,000.00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3,397,638.06</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0.13</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163,661,638.06</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30961">
        <w:trPr>
          <w:jc w:val="center"/>
        </w:trPr>
        <w:tc>
          <w:tcPr>
            <w:tcW w:w="850" w:type="dxa"/>
            <w:vAlign w:val="center"/>
          </w:tcPr>
          <w:p w:rsidR="00930961" w:rsidRDefault="0059033E">
            <w:pPr>
              <w:jc w:val="center"/>
            </w:pPr>
            <w:r>
              <w:rPr>
                <w:color w:val="000000"/>
                <w:sz w:val="24"/>
                <w:szCs w:val="24"/>
              </w:rPr>
              <w:t>1</w:t>
            </w:r>
          </w:p>
        </w:tc>
        <w:tc>
          <w:tcPr>
            <w:tcW w:w="1475" w:type="dxa"/>
            <w:vAlign w:val="center"/>
          </w:tcPr>
          <w:p w:rsidR="00930961" w:rsidRDefault="0059033E">
            <w:pPr>
              <w:jc w:val="center"/>
            </w:pPr>
            <w:r>
              <w:rPr>
                <w:color w:val="000000"/>
                <w:sz w:val="24"/>
                <w:szCs w:val="24"/>
              </w:rPr>
              <w:t>190405</w:t>
            </w:r>
          </w:p>
        </w:tc>
        <w:tc>
          <w:tcPr>
            <w:tcW w:w="1769" w:type="dxa"/>
            <w:vAlign w:val="center"/>
          </w:tcPr>
          <w:p w:rsidR="00930961" w:rsidRDefault="0059033E">
            <w:pPr>
              <w:jc w:val="center"/>
            </w:pPr>
            <w:r>
              <w:rPr>
                <w:color w:val="000000"/>
                <w:sz w:val="24"/>
                <w:szCs w:val="24"/>
              </w:rPr>
              <w:t>19</w:t>
            </w:r>
            <w:r>
              <w:rPr>
                <w:color w:val="000000"/>
                <w:sz w:val="24"/>
                <w:szCs w:val="24"/>
              </w:rPr>
              <w:t>农发</w:t>
            </w:r>
            <w:r>
              <w:rPr>
                <w:color w:val="000000"/>
                <w:sz w:val="24"/>
                <w:szCs w:val="24"/>
              </w:rPr>
              <w:t>05</w:t>
            </w:r>
          </w:p>
        </w:tc>
        <w:tc>
          <w:tcPr>
            <w:tcW w:w="1387" w:type="dxa"/>
            <w:vAlign w:val="center"/>
          </w:tcPr>
          <w:p w:rsidR="00930961" w:rsidRDefault="0059033E">
            <w:pPr>
              <w:jc w:val="right"/>
            </w:pPr>
            <w:r>
              <w:rPr>
                <w:color w:val="000000"/>
                <w:sz w:val="24"/>
                <w:szCs w:val="24"/>
              </w:rPr>
              <w:t>800,000</w:t>
            </w:r>
          </w:p>
        </w:tc>
        <w:tc>
          <w:tcPr>
            <w:tcW w:w="2150" w:type="dxa"/>
            <w:vAlign w:val="center"/>
          </w:tcPr>
          <w:p w:rsidR="00930961" w:rsidRDefault="0059033E">
            <w:pPr>
              <w:jc w:val="right"/>
            </w:pPr>
            <w:r>
              <w:rPr>
                <w:color w:val="000000"/>
                <w:sz w:val="24"/>
                <w:szCs w:val="24"/>
              </w:rPr>
              <w:t>80,200,000.00</w:t>
            </w:r>
          </w:p>
        </w:tc>
        <w:tc>
          <w:tcPr>
            <w:tcW w:w="1237" w:type="dxa"/>
            <w:vAlign w:val="center"/>
          </w:tcPr>
          <w:p w:rsidR="00930961" w:rsidRDefault="0059033E">
            <w:pPr>
              <w:jc w:val="right"/>
            </w:pPr>
            <w:r>
              <w:rPr>
                <w:color w:val="000000"/>
                <w:sz w:val="24"/>
                <w:szCs w:val="24"/>
              </w:rPr>
              <w:t>2.96</w:t>
            </w:r>
          </w:p>
        </w:tc>
      </w:tr>
      <w:tr w:rsidR="00930961">
        <w:trPr>
          <w:jc w:val="center"/>
        </w:trPr>
        <w:tc>
          <w:tcPr>
            <w:tcW w:w="850" w:type="dxa"/>
            <w:vAlign w:val="center"/>
          </w:tcPr>
          <w:p w:rsidR="00930961" w:rsidRDefault="0059033E">
            <w:pPr>
              <w:jc w:val="center"/>
            </w:pPr>
            <w:r>
              <w:rPr>
                <w:color w:val="000000"/>
                <w:sz w:val="24"/>
                <w:szCs w:val="24"/>
              </w:rPr>
              <w:t>2</w:t>
            </w:r>
          </w:p>
        </w:tc>
        <w:tc>
          <w:tcPr>
            <w:tcW w:w="1475" w:type="dxa"/>
            <w:vAlign w:val="center"/>
          </w:tcPr>
          <w:p w:rsidR="00930961" w:rsidRDefault="0059033E">
            <w:pPr>
              <w:jc w:val="center"/>
            </w:pPr>
            <w:r>
              <w:rPr>
                <w:color w:val="000000"/>
                <w:sz w:val="24"/>
                <w:szCs w:val="24"/>
              </w:rPr>
              <w:t>190206</w:t>
            </w:r>
          </w:p>
        </w:tc>
        <w:tc>
          <w:tcPr>
            <w:tcW w:w="1769" w:type="dxa"/>
            <w:vAlign w:val="center"/>
          </w:tcPr>
          <w:p w:rsidR="00930961" w:rsidRDefault="0059033E">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930961" w:rsidRDefault="0059033E">
            <w:pPr>
              <w:jc w:val="right"/>
            </w:pPr>
            <w:r>
              <w:rPr>
                <w:color w:val="000000"/>
                <w:sz w:val="24"/>
                <w:szCs w:val="24"/>
              </w:rPr>
              <w:t>800,000</w:t>
            </w:r>
          </w:p>
        </w:tc>
        <w:tc>
          <w:tcPr>
            <w:tcW w:w="2150" w:type="dxa"/>
            <w:vAlign w:val="center"/>
          </w:tcPr>
          <w:p w:rsidR="00930961" w:rsidRDefault="0059033E">
            <w:pPr>
              <w:jc w:val="right"/>
            </w:pPr>
            <w:r>
              <w:rPr>
                <w:color w:val="000000"/>
                <w:sz w:val="24"/>
                <w:szCs w:val="24"/>
              </w:rPr>
              <w:t>80,064,000.00</w:t>
            </w:r>
          </w:p>
        </w:tc>
        <w:tc>
          <w:tcPr>
            <w:tcW w:w="1237" w:type="dxa"/>
            <w:vAlign w:val="center"/>
          </w:tcPr>
          <w:p w:rsidR="00930961" w:rsidRDefault="0059033E">
            <w:pPr>
              <w:jc w:val="right"/>
            </w:pPr>
            <w:r>
              <w:rPr>
                <w:color w:val="000000"/>
                <w:sz w:val="24"/>
                <w:szCs w:val="24"/>
              </w:rPr>
              <w:t>2.96</w:t>
            </w:r>
          </w:p>
        </w:tc>
      </w:tr>
      <w:tr w:rsidR="00930961">
        <w:trPr>
          <w:jc w:val="center"/>
        </w:trPr>
        <w:tc>
          <w:tcPr>
            <w:tcW w:w="850" w:type="dxa"/>
            <w:vAlign w:val="center"/>
          </w:tcPr>
          <w:p w:rsidR="00930961" w:rsidRDefault="0059033E">
            <w:pPr>
              <w:jc w:val="center"/>
            </w:pPr>
            <w:r>
              <w:rPr>
                <w:color w:val="000000"/>
                <w:sz w:val="24"/>
                <w:szCs w:val="24"/>
              </w:rPr>
              <w:t>3</w:t>
            </w:r>
          </w:p>
        </w:tc>
        <w:tc>
          <w:tcPr>
            <w:tcW w:w="1475" w:type="dxa"/>
            <w:vAlign w:val="center"/>
          </w:tcPr>
          <w:p w:rsidR="00930961" w:rsidRDefault="0059033E">
            <w:pPr>
              <w:jc w:val="center"/>
            </w:pPr>
            <w:r>
              <w:rPr>
                <w:color w:val="000000"/>
                <w:sz w:val="24"/>
                <w:szCs w:val="24"/>
              </w:rPr>
              <w:t>128035</w:t>
            </w:r>
          </w:p>
        </w:tc>
        <w:tc>
          <w:tcPr>
            <w:tcW w:w="1769" w:type="dxa"/>
            <w:vAlign w:val="center"/>
          </w:tcPr>
          <w:p w:rsidR="00930961" w:rsidRDefault="0059033E">
            <w:pPr>
              <w:jc w:val="center"/>
            </w:pPr>
            <w:r>
              <w:rPr>
                <w:color w:val="000000"/>
                <w:sz w:val="24"/>
                <w:szCs w:val="24"/>
              </w:rPr>
              <w:t>大族转债</w:t>
            </w:r>
          </w:p>
        </w:tc>
        <w:tc>
          <w:tcPr>
            <w:tcW w:w="1387" w:type="dxa"/>
            <w:vAlign w:val="center"/>
          </w:tcPr>
          <w:p w:rsidR="00930961" w:rsidRDefault="0059033E">
            <w:pPr>
              <w:jc w:val="right"/>
            </w:pPr>
            <w:r>
              <w:rPr>
                <w:color w:val="000000"/>
                <w:sz w:val="24"/>
                <w:szCs w:val="24"/>
              </w:rPr>
              <w:t>31,514</w:t>
            </w:r>
          </w:p>
        </w:tc>
        <w:tc>
          <w:tcPr>
            <w:tcW w:w="2150" w:type="dxa"/>
            <w:vAlign w:val="center"/>
          </w:tcPr>
          <w:p w:rsidR="00930961" w:rsidRDefault="0059033E">
            <w:pPr>
              <w:jc w:val="right"/>
            </w:pPr>
            <w:r>
              <w:rPr>
                <w:color w:val="000000"/>
                <w:sz w:val="24"/>
                <w:szCs w:val="24"/>
              </w:rPr>
              <w:t>3,395,003.22</w:t>
            </w:r>
          </w:p>
        </w:tc>
        <w:tc>
          <w:tcPr>
            <w:tcW w:w="1237" w:type="dxa"/>
            <w:vAlign w:val="center"/>
          </w:tcPr>
          <w:p w:rsidR="00930961" w:rsidRDefault="0059033E">
            <w:pPr>
              <w:jc w:val="right"/>
            </w:pPr>
            <w:r>
              <w:rPr>
                <w:color w:val="000000"/>
                <w:sz w:val="24"/>
                <w:szCs w:val="24"/>
              </w:rPr>
              <w:t>0.13</w:t>
            </w:r>
          </w:p>
        </w:tc>
      </w:tr>
      <w:tr w:rsidR="00930961">
        <w:trPr>
          <w:jc w:val="center"/>
        </w:trPr>
        <w:tc>
          <w:tcPr>
            <w:tcW w:w="850" w:type="dxa"/>
            <w:vAlign w:val="center"/>
          </w:tcPr>
          <w:p w:rsidR="00930961" w:rsidRDefault="0059033E">
            <w:pPr>
              <w:jc w:val="center"/>
            </w:pPr>
            <w:r>
              <w:rPr>
                <w:color w:val="000000"/>
                <w:sz w:val="24"/>
                <w:szCs w:val="24"/>
              </w:rPr>
              <w:t>4</w:t>
            </w:r>
          </w:p>
        </w:tc>
        <w:tc>
          <w:tcPr>
            <w:tcW w:w="1475" w:type="dxa"/>
            <w:vAlign w:val="center"/>
          </w:tcPr>
          <w:p w:rsidR="00930961" w:rsidRDefault="0059033E">
            <w:pPr>
              <w:jc w:val="center"/>
            </w:pPr>
            <w:r>
              <w:rPr>
                <w:color w:val="000000"/>
                <w:sz w:val="24"/>
                <w:szCs w:val="24"/>
              </w:rPr>
              <w:t>128023</w:t>
            </w:r>
          </w:p>
        </w:tc>
        <w:tc>
          <w:tcPr>
            <w:tcW w:w="1769" w:type="dxa"/>
            <w:vAlign w:val="center"/>
          </w:tcPr>
          <w:p w:rsidR="00930961" w:rsidRDefault="0059033E">
            <w:pPr>
              <w:jc w:val="center"/>
            </w:pPr>
            <w:r>
              <w:rPr>
                <w:color w:val="000000"/>
                <w:sz w:val="24"/>
                <w:szCs w:val="24"/>
              </w:rPr>
              <w:t>亚太转债</w:t>
            </w:r>
          </w:p>
        </w:tc>
        <w:tc>
          <w:tcPr>
            <w:tcW w:w="1387" w:type="dxa"/>
            <w:vAlign w:val="center"/>
          </w:tcPr>
          <w:p w:rsidR="00930961" w:rsidRDefault="0059033E">
            <w:pPr>
              <w:jc w:val="right"/>
            </w:pPr>
            <w:r>
              <w:rPr>
                <w:color w:val="000000"/>
                <w:sz w:val="24"/>
                <w:szCs w:val="24"/>
              </w:rPr>
              <w:t>26</w:t>
            </w:r>
          </w:p>
        </w:tc>
        <w:tc>
          <w:tcPr>
            <w:tcW w:w="2150" w:type="dxa"/>
            <w:vAlign w:val="center"/>
          </w:tcPr>
          <w:p w:rsidR="00930961" w:rsidRDefault="0059033E">
            <w:pPr>
              <w:jc w:val="right"/>
            </w:pPr>
            <w:r>
              <w:rPr>
                <w:color w:val="000000"/>
                <w:sz w:val="24"/>
                <w:szCs w:val="24"/>
              </w:rPr>
              <w:t>2,634.84</w:t>
            </w:r>
          </w:p>
        </w:tc>
        <w:tc>
          <w:tcPr>
            <w:tcW w:w="1237" w:type="dxa"/>
            <w:vAlign w:val="center"/>
          </w:tcPr>
          <w:p w:rsidR="00930961" w:rsidRDefault="0059033E">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E71A9" w:rsidRPr="00414345" w:rsidRDefault="00AE71A9"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1,759,978.05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3,617,294.90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1,585,652.75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6,962,925.70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930961">
        <w:trPr>
          <w:jc w:val="center"/>
        </w:trPr>
        <w:tc>
          <w:tcPr>
            <w:tcW w:w="1883" w:type="dxa"/>
            <w:vAlign w:val="center"/>
          </w:tcPr>
          <w:p w:rsidR="00930961" w:rsidRDefault="0059033E">
            <w:pPr>
              <w:jc w:val="center"/>
            </w:pPr>
            <w:r>
              <w:rPr>
                <w:color w:val="000000"/>
                <w:sz w:val="24"/>
                <w:szCs w:val="24"/>
              </w:rPr>
              <w:t>1</w:t>
            </w:r>
          </w:p>
        </w:tc>
        <w:tc>
          <w:tcPr>
            <w:tcW w:w="1801" w:type="dxa"/>
            <w:vAlign w:val="center"/>
          </w:tcPr>
          <w:p w:rsidR="00930961" w:rsidRDefault="0059033E">
            <w:pPr>
              <w:jc w:val="center"/>
            </w:pPr>
            <w:r>
              <w:rPr>
                <w:color w:val="000000"/>
                <w:sz w:val="24"/>
                <w:szCs w:val="24"/>
              </w:rPr>
              <w:t>128035</w:t>
            </w:r>
          </w:p>
        </w:tc>
        <w:tc>
          <w:tcPr>
            <w:tcW w:w="1727" w:type="dxa"/>
            <w:vAlign w:val="center"/>
          </w:tcPr>
          <w:p w:rsidR="00930961" w:rsidRDefault="0059033E">
            <w:pPr>
              <w:jc w:val="center"/>
            </w:pPr>
            <w:r>
              <w:rPr>
                <w:color w:val="000000"/>
                <w:sz w:val="24"/>
                <w:szCs w:val="24"/>
              </w:rPr>
              <w:t>大族转债</w:t>
            </w:r>
          </w:p>
        </w:tc>
        <w:tc>
          <w:tcPr>
            <w:tcW w:w="1768" w:type="dxa"/>
            <w:vAlign w:val="center"/>
          </w:tcPr>
          <w:p w:rsidR="00930961" w:rsidRDefault="0059033E">
            <w:pPr>
              <w:jc w:val="right"/>
            </w:pPr>
            <w:r>
              <w:rPr>
                <w:color w:val="000000"/>
                <w:sz w:val="24"/>
                <w:szCs w:val="24"/>
              </w:rPr>
              <w:t>3,395,003.22</w:t>
            </w:r>
          </w:p>
        </w:tc>
        <w:tc>
          <w:tcPr>
            <w:tcW w:w="1689" w:type="dxa"/>
            <w:vAlign w:val="center"/>
          </w:tcPr>
          <w:p w:rsidR="00930961" w:rsidRDefault="0059033E">
            <w:pPr>
              <w:jc w:val="right"/>
            </w:pPr>
            <w:r>
              <w:rPr>
                <w:color w:val="000000"/>
                <w:sz w:val="24"/>
                <w:szCs w:val="24"/>
              </w:rPr>
              <w:t>0.13</w:t>
            </w:r>
          </w:p>
        </w:tc>
      </w:tr>
      <w:tr w:rsidR="00930961">
        <w:trPr>
          <w:jc w:val="center"/>
        </w:trPr>
        <w:tc>
          <w:tcPr>
            <w:tcW w:w="1883" w:type="dxa"/>
            <w:vAlign w:val="center"/>
          </w:tcPr>
          <w:p w:rsidR="00930961" w:rsidRDefault="0059033E">
            <w:pPr>
              <w:jc w:val="center"/>
            </w:pPr>
            <w:r>
              <w:rPr>
                <w:color w:val="000000"/>
                <w:sz w:val="24"/>
                <w:szCs w:val="24"/>
              </w:rPr>
              <w:t>2</w:t>
            </w:r>
          </w:p>
        </w:tc>
        <w:tc>
          <w:tcPr>
            <w:tcW w:w="1801" w:type="dxa"/>
            <w:vAlign w:val="center"/>
          </w:tcPr>
          <w:p w:rsidR="00930961" w:rsidRDefault="0059033E">
            <w:pPr>
              <w:jc w:val="center"/>
            </w:pPr>
            <w:r>
              <w:rPr>
                <w:color w:val="000000"/>
                <w:sz w:val="24"/>
                <w:szCs w:val="24"/>
              </w:rPr>
              <w:t>128023</w:t>
            </w:r>
          </w:p>
        </w:tc>
        <w:tc>
          <w:tcPr>
            <w:tcW w:w="1727" w:type="dxa"/>
            <w:vAlign w:val="center"/>
          </w:tcPr>
          <w:p w:rsidR="00930961" w:rsidRDefault="0059033E">
            <w:pPr>
              <w:jc w:val="center"/>
            </w:pPr>
            <w:r>
              <w:rPr>
                <w:color w:val="000000"/>
                <w:sz w:val="24"/>
                <w:szCs w:val="24"/>
              </w:rPr>
              <w:t>亚太转债</w:t>
            </w:r>
          </w:p>
        </w:tc>
        <w:tc>
          <w:tcPr>
            <w:tcW w:w="1768" w:type="dxa"/>
            <w:vAlign w:val="center"/>
          </w:tcPr>
          <w:p w:rsidR="00930961" w:rsidRDefault="0059033E">
            <w:pPr>
              <w:jc w:val="right"/>
            </w:pPr>
            <w:r>
              <w:rPr>
                <w:color w:val="000000"/>
                <w:sz w:val="24"/>
                <w:szCs w:val="24"/>
              </w:rPr>
              <w:t>2,634.84</w:t>
            </w:r>
          </w:p>
        </w:tc>
        <w:tc>
          <w:tcPr>
            <w:tcW w:w="1689" w:type="dxa"/>
            <w:vAlign w:val="center"/>
          </w:tcPr>
          <w:p w:rsidR="00930961" w:rsidRDefault="0059033E">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AE71A9" w:rsidRPr="00414345" w:rsidRDefault="00AE71A9"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2,589,193,618.64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84,399,951.09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608,953,731.67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2,064,639,838.06</w:t>
            </w:r>
          </w:p>
        </w:tc>
      </w:tr>
    </w:tbl>
    <w:p w:rsidR="00930961" w:rsidRDefault="0059033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AE71A9">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30961" w:rsidRDefault="0059033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930961" w:rsidRDefault="0059033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930961" w:rsidRDefault="0059033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930961" w:rsidRDefault="0059033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930961" w:rsidRDefault="0059033E">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930961" w:rsidRDefault="0059033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30961" w:rsidRDefault="0059033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30961" w:rsidRDefault="0059033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3E" w:rsidRDefault="0059033E" w:rsidP="00876D65">
      <w:r>
        <w:separator/>
      </w:r>
    </w:p>
  </w:endnote>
  <w:endnote w:type="continuationSeparator" w:id="0">
    <w:p w:rsidR="0059033E" w:rsidRDefault="0059033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61B1F">
      <w:rPr>
        <w:noProof/>
        <w:kern w:val="0"/>
        <w:szCs w:val="21"/>
      </w:rPr>
      <w:t>5</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461B1F">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3E" w:rsidRDefault="0059033E" w:rsidP="00876D65">
      <w:r>
        <w:separator/>
      </w:r>
    </w:p>
  </w:footnote>
  <w:footnote w:type="continuationSeparator" w:id="0">
    <w:p w:rsidR="0059033E" w:rsidRDefault="0059033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交银施罗德稳健配置混合型证券投资基金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1B1F"/>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33E"/>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0961"/>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1A9"/>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8CDB-615A-452D-82C3-2D7D6C47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1839</TotalTime>
  <Pages>12</Pages>
  <Words>1080</Words>
  <Characters>6161</Characters>
  <Application>Microsoft Office Word</Application>
  <DocSecurity>0</DocSecurity>
  <Lines>51</Lines>
  <Paragraphs>14</Paragraphs>
  <ScaleCrop>false</ScaleCrop>
  <Company/>
  <LinksUpToDate>false</LinksUpToDate>
  <CharactersWithSpaces>7227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602</cp:revision>
  <dcterms:created xsi:type="dcterms:W3CDTF">2012-10-16T06:07:00Z</dcterms:created>
  <dcterms:modified xsi:type="dcterms:W3CDTF">2020-04-21T05:17:00Z</dcterms:modified>
</cp:coreProperties>
</file>