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交银施罗德瑞鑫定期开放灵活配置混合型证券投资基金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E59D0" w:rsidRDefault="00673BC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交银瑞鑫定期开放灵活配置混合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300,312,677.12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9357CC" w:rsidRPr="00414345" w:rsidTr="009357C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9357CC" w:rsidRPr="00414345" w:rsidTr="009357C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13,301,165.95</w:t>
            </w:r>
          </w:p>
        </w:tc>
      </w:tr>
      <w:tr w:rsidR="009357CC" w:rsidRPr="00414345" w:rsidTr="009357C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2,718,978.72</w:t>
            </w:r>
          </w:p>
        </w:tc>
      </w:tr>
      <w:tr w:rsidR="009357CC" w:rsidRPr="00414345" w:rsidTr="009357C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0.0091</w:t>
            </w:r>
          </w:p>
        </w:tc>
      </w:tr>
      <w:tr w:rsidR="009357CC" w:rsidRPr="00414345" w:rsidTr="009357C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378,031,746.41</w:t>
            </w:r>
          </w:p>
        </w:tc>
      </w:tr>
      <w:tr w:rsidR="009357CC" w:rsidRPr="00414345" w:rsidTr="009357C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1.2588</w:t>
            </w:r>
          </w:p>
        </w:tc>
      </w:tr>
    </w:tbl>
    <w:p w:rsidR="003E59D0" w:rsidRDefault="00673BC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9357CC">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2F74C5">
        <w:trPr>
          <w:jc w:val="center"/>
        </w:trPr>
        <w:tc>
          <w:tcPr>
            <w:tcW w:w="1701"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E59D0" w:rsidTr="002F74C5">
        <w:trPr>
          <w:jc w:val="center"/>
        </w:trPr>
        <w:tc>
          <w:tcPr>
            <w:tcW w:w="1701" w:type="dxa"/>
            <w:tcBorders>
              <w:bottom w:val="single" w:sz="4" w:space="0" w:color="auto"/>
            </w:tcBorders>
            <w:vAlign w:val="center"/>
          </w:tcPr>
          <w:p w:rsidR="003E59D0" w:rsidRDefault="00673BC8">
            <w:pPr>
              <w:jc w:val="left"/>
            </w:pPr>
            <w:r>
              <w:rPr>
                <w:color w:val="000000"/>
                <w:sz w:val="24"/>
                <w:szCs w:val="24"/>
              </w:rPr>
              <w:t>过去三个月</w:t>
            </w:r>
          </w:p>
        </w:tc>
        <w:tc>
          <w:tcPr>
            <w:tcW w:w="1045" w:type="dxa"/>
            <w:tcBorders>
              <w:bottom w:val="single" w:sz="4" w:space="0" w:color="auto"/>
            </w:tcBorders>
            <w:vAlign w:val="center"/>
          </w:tcPr>
          <w:p w:rsidR="003E59D0" w:rsidRDefault="00673BC8">
            <w:pPr>
              <w:jc w:val="center"/>
            </w:pPr>
            <w:r>
              <w:rPr>
                <w:color w:val="000000"/>
                <w:sz w:val="24"/>
                <w:szCs w:val="24"/>
              </w:rPr>
              <w:t>0.73%</w:t>
            </w:r>
          </w:p>
        </w:tc>
        <w:tc>
          <w:tcPr>
            <w:tcW w:w="1344" w:type="dxa"/>
            <w:tcBorders>
              <w:bottom w:val="single" w:sz="4" w:space="0" w:color="auto"/>
            </w:tcBorders>
            <w:vAlign w:val="center"/>
          </w:tcPr>
          <w:p w:rsidR="003E59D0" w:rsidRDefault="00673BC8">
            <w:pPr>
              <w:jc w:val="center"/>
            </w:pPr>
            <w:r>
              <w:rPr>
                <w:color w:val="000000"/>
                <w:sz w:val="24"/>
                <w:szCs w:val="24"/>
              </w:rPr>
              <w:t>0.39%</w:t>
            </w:r>
          </w:p>
        </w:tc>
        <w:tc>
          <w:tcPr>
            <w:tcW w:w="1194" w:type="dxa"/>
            <w:tcBorders>
              <w:bottom w:val="single" w:sz="4" w:space="0" w:color="auto"/>
            </w:tcBorders>
            <w:vAlign w:val="center"/>
          </w:tcPr>
          <w:p w:rsidR="003E59D0" w:rsidRDefault="00673BC8">
            <w:pPr>
              <w:jc w:val="center"/>
            </w:pPr>
            <w:r>
              <w:rPr>
                <w:color w:val="000000"/>
                <w:sz w:val="24"/>
                <w:szCs w:val="24"/>
              </w:rPr>
              <w:t>-3.98%</w:t>
            </w:r>
          </w:p>
        </w:tc>
        <w:tc>
          <w:tcPr>
            <w:tcW w:w="1492" w:type="dxa"/>
            <w:tcBorders>
              <w:bottom w:val="single" w:sz="4" w:space="0" w:color="auto"/>
            </w:tcBorders>
            <w:vAlign w:val="center"/>
          </w:tcPr>
          <w:p w:rsidR="003E59D0" w:rsidRDefault="00673BC8">
            <w:pPr>
              <w:jc w:val="center"/>
            </w:pPr>
            <w:r>
              <w:rPr>
                <w:color w:val="000000"/>
                <w:sz w:val="24"/>
                <w:szCs w:val="24"/>
              </w:rPr>
              <w:t>0.95%</w:t>
            </w:r>
          </w:p>
        </w:tc>
        <w:tc>
          <w:tcPr>
            <w:tcW w:w="1083" w:type="dxa"/>
            <w:tcBorders>
              <w:bottom w:val="single" w:sz="4" w:space="0" w:color="auto"/>
            </w:tcBorders>
            <w:vAlign w:val="center"/>
          </w:tcPr>
          <w:p w:rsidR="003E59D0" w:rsidRDefault="00673BC8">
            <w:pPr>
              <w:jc w:val="center"/>
            </w:pPr>
            <w:r>
              <w:rPr>
                <w:color w:val="000000"/>
                <w:sz w:val="24"/>
                <w:szCs w:val="24"/>
              </w:rPr>
              <w:t>4.71%</w:t>
            </w:r>
          </w:p>
        </w:tc>
        <w:tc>
          <w:tcPr>
            <w:tcW w:w="1009" w:type="dxa"/>
            <w:tcBorders>
              <w:bottom w:val="single" w:sz="4" w:space="0" w:color="auto"/>
            </w:tcBorders>
            <w:vAlign w:val="center"/>
          </w:tcPr>
          <w:p w:rsidR="003E59D0" w:rsidRDefault="00673BC8">
            <w:pPr>
              <w:jc w:val="center"/>
            </w:pPr>
            <w:r>
              <w:rPr>
                <w:color w:val="000000"/>
                <w:sz w:val="24"/>
                <w:szCs w:val="24"/>
              </w:rPr>
              <w:t>-0.56%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bookmarkStart w:id="0" w:name="_GoBack"/>
      <w:bookmarkEnd w:id="0"/>
      <w:r w:rsidR="00C6002A" w:rsidRPr="00414345">
        <w:rPr>
          <w:b/>
          <w:bCs/>
          <w:color w:val="000000"/>
          <w:sz w:val="24"/>
        </w:rPr>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交银施罗德瑞鑫定期开放灵活配置混合型证券投资基金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E59D0">
        <w:trPr>
          <w:jc w:val="center"/>
        </w:trPr>
        <w:tc>
          <w:tcPr>
            <w:tcW w:w="846" w:type="dxa"/>
            <w:vAlign w:val="center"/>
          </w:tcPr>
          <w:p w:rsidR="003E59D0" w:rsidRDefault="00673BC8">
            <w:pPr>
              <w:jc w:val="center"/>
            </w:pPr>
            <w:r>
              <w:rPr>
                <w:color w:val="000000"/>
                <w:sz w:val="24"/>
                <w:szCs w:val="24"/>
              </w:rPr>
              <w:t>李娜</w:t>
            </w:r>
          </w:p>
        </w:tc>
        <w:tc>
          <w:tcPr>
            <w:tcW w:w="845" w:type="dxa"/>
            <w:vAlign w:val="center"/>
          </w:tcPr>
          <w:p w:rsidR="003E59D0" w:rsidRDefault="00673BC8">
            <w:pPr>
              <w:jc w:val="center"/>
            </w:pPr>
            <w:r>
              <w:rPr>
                <w:color w:val="000000"/>
                <w:sz w:val="24"/>
                <w:szCs w:val="24"/>
              </w:rPr>
              <w:t>交银周期回报灵活配置混合、交银新回报灵活配置混合、交银多策略回报灵活</w:t>
            </w:r>
            <w:r>
              <w:rPr>
                <w:color w:val="000000"/>
                <w:sz w:val="24"/>
                <w:szCs w:val="24"/>
              </w:rPr>
              <w:lastRenderedPageBreak/>
              <w:t>配置混合、交银优选回报灵活配置混合、交银优择回报灵活配置混合、交银瑞鑫定期开放灵活配置混合、交银裕祥纯债债券、交银恒益灵活配置混合的基金经理</w:t>
            </w:r>
          </w:p>
        </w:tc>
        <w:tc>
          <w:tcPr>
            <w:tcW w:w="1549" w:type="dxa"/>
            <w:vAlign w:val="center"/>
          </w:tcPr>
          <w:p w:rsidR="003E59D0" w:rsidRDefault="00673BC8">
            <w:pPr>
              <w:jc w:val="center"/>
            </w:pPr>
            <w:r>
              <w:rPr>
                <w:color w:val="000000"/>
                <w:sz w:val="24"/>
                <w:szCs w:val="24"/>
              </w:rPr>
              <w:lastRenderedPageBreak/>
              <w:t>2016-12-14</w:t>
            </w:r>
          </w:p>
        </w:tc>
        <w:tc>
          <w:tcPr>
            <w:tcW w:w="1548" w:type="dxa"/>
            <w:vAlign w:val="center"/>
          </w:tcPr>
          <w:p w:rsidR="003E59D0" w:rsidRDefault="00673BC8">
            <w:pPr>
              <w:jc w:val="center"/>
            </w:pPr>
            <w:r>
              <w:rPr>
                <w:color w:val="000000"/>
                <w:sz w:val="24"/>
                <w:szCs w:val="24"/>
              </w:rPr>
              <w:t>-</w:t>
            </w:r>
          </w:p>
        </w:tc>
        <w:tc>
          <w:tcPr>
            <w:tcW w:w="1407" w:type="dxa"/>
            <w:vAlign w:val="center"/>
          </w:tcPr>
          <w:p w:rsidR="003E59D0" w:rsidRDefault="00673BC8">
            <w:pPr>
              <w:jc w:val="center"/>
            </w:pPr>
            <w:r>
              <w:rPr>
                <w:color w:val="000000"/>
                <w:sz w:val="24"/>
                <w:szCs w:val="24"/>
              </w:rPr>
              <w:t>10</w:t>
            </w:r>
            <w:r>
              <w:rPr>
                <w:color w:val="000000"/>
                <w:sz w:val="24"/>
                <w:szCs w:val="24"/>
              </w:rPr>
              <w:t>年</w:t>
            </w:r>
          </w:p>
        </w:tc>
        <w:tc>
          <w:tcPr>
            <w:tcW w:w="2673" w:type="dxa"/>
            <w:vAlign w:val="center"/>
          </w:tcPr>
          <w:p w:rsidR="003E59D0" w:rsidRDefault="00673BC8">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w:t>
            </w:r>
            <w:r>
              <w:rPr>
                <w:color w:val="000000"/>
                <w:sz w:val="24"/>
                <w:szCs w:val="24"/>
              </w:rPr>
              <w:lastRenderedPageBreak/>
              <w:t>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p>
        </w:tc>
      </w:tr>
      <w:tr w:rsidR="003E59D0">
        <w:trPr>
          <w:jc w:val="center"/>
        </w:trPr>
        <w:tc>
          <w:tcPr>
            <w:tcW w:w="846" w:type="dxa"/>
            <w:vAlign w:val="center"/>
          </w:tcPr>
          <w:p w:rsidR="003E59D0" w:rsidRDefault="00673BC8">
            <w:pPr>
              <w:jc w:val="center"/>
            </w:pPr>
            <w:r>
              <w:rPr>
                <w:color w:val="000000"/>
                <w:sz w:val="24"/>
                <w:szCs w:val="24"/>
              </w:rPr>
              <w:lastRenderedPageBreak/>
              <w:t>凌超</w:t>
            </w:r>
          </w:p>
        </w:tc>
        <w:tc>
          <w:tcPr>
            <w:tcW w:w="845" w:type="dxa"/>
            <w:vAlign w:val="center"/>
          </w:tcPr>
          <w:p w:rsidR="003E59D0" w:rsidRDefault="00673BC8">
            <w:pPr>
              <w:jc w:val="center"/>
            </w:pPr>
            <w:r>
              <w:rPr>
                <w:color w:val="000000"/>
                <w:sz w:val="24"/>
                <w:szCs w:val="24"/>
              </w:rPr>
              <w:t>交银定期支付月月丰债券、交银增强收益债券、交</w:t>
            </w:r>
            <w:r>
              <w:rPr>
                <w:color w:val="000000"/>
                <w:sz w:val="24"/>
                <w:szCs w:val="24"/>
              </w:rPr>
              <w:lastRenderedPageBreak/>
              <w:t>银强化回报债券、交银周期回报灵活配置混合、交银新回报灵活配置混合、交银多策略回报灵活配置混合、交银优选回报灵活配置混合、交银优择回报灵活配置混合、交银瑞鑫定期开放灵活配置混合、交银增利增强债</w:t>
            </w:r>
            <w:r>
              <w:rPr>
                <w:color w:val="000000"/>
                <w:sz w:val="24"/>
                <w:szCs w:val="24"/>
              </w:rPr>
              <w:lastRenderedPageBreak/>
              <w:t>券、交银恒益灵活配置混合、交银裕祥纯债债券、交银稳固收益债券的基金经理，公司固定收益</w:t>
            </w:r>
            <w:r>
              <w:rPr>
                <w:color w:val="000000"/>
                <w:sz w:val="24"/>
                <w:szCs w:val="24"/>
              </w:rPr>
              <w:t>(</w:t>
            </w:r>
            <w:r>
              <w:rPr>
                <w:color w:val="000000"/>
                <w:sz w:val="24"/>
                <w:szCs w:val="24"/>
              </w:rPr>
              <w:t>公募</w:t>
            </w:r>
            <w:r>
              <w:rPr>
                <w:color w:val="000000"/>
                <w:sz w:val="24"/>
                <w:szCs w:val="24"/>
              </w:rPr>
              <w:t>)</w:t>
            </w:r>
            <w:r>
              <w:rPr>
                <w:color w:val="000000"/>
                <w:sz w:val="24"/>
                <w:szCs w:val="24"/>
              </w:rPr>
              <w:t>投资副总监</w:t>
            </w:r>
          </w:p>
        </w:tc>
        <w:tc>
          <w:tcPr>
            <w:tcW w:w="1549" w:type="dxa"/>
            <w:vAlign w:val="center"/>
          </w:tcPr>
          <w:p w:rsidR="003E59D0" w:rsidRDefault="00673BC8">
            <w:pPr>
              <w:jc w:val="center"/>
            </w:pPr>
            <w:r>
              <w:rPr>
                <w:color w:val="000000"/>
                <w:sz w:val="24"/>
                <w:szCs w:val="24"/>
              </w:rPr>
              <w:lastRenderedPageBreak/>
              <w:t>2019-07-20</w:t>
            </w:r>
          </w:p>
        </w:tc>
        <w:tc>
          <w:tcPr>
            <w:tcW w:w="1548" w:type="dxa"/>
            <w:vAlign w:val="center"/>
          </w:tcPr>
          <w:p w:rsidR="003E59D0" w:rsidRDefault="00673BC8">
            <w:pPr>
              <w:jc w:val="center"/>
            </w:pPr>
            <w:r>
              <w:rPr>
                <w:color w:val="000000"/>
                <w:sz w:val="24"/>
                <w:szCs w:val="24"/>
              </w:rPr>
              <w:t>-</w:t>
            </w:r>
          </w:p>
        </w:tc>
        <w:tc>
          <w:tcPr>
            <w:tcW w:w="1407" w:type="dxa"/>
            <w:vAlign w:val="center"/>
          </w:tcPr>
          <w:p w:rsidR="003E59D0" w:rsidRDefault="00673BC8">
            <w:pPr>
              <w:jc w:val="center"/>
            </w:pPr>
            <w:r>
              <w:rPr>
                <w:color w:val="000000"/>
                <w:sz w:val="24"/>
                <w:szCs w:val="24"/>
              </w:rPr>
              <w:t>14</w:t>
            </w:r>
            <w:r>
              <w:rPr>
                <w:color w:val="000000"/>
                <w:sz w:val="24"/>
                <w:szCs w:val="24"/>
              </w:rPr>
              <w:t>年</w:t>
            </w:r>
          </w:p>
        </w:tc>
        <w:tc>
          <w:tcPr>
            <w:tcW w:w="2673" w:type="dxa"/>
            <w:vAlign w:val="center"/>
          </w:tcPr>
          <w:p w:rsidR="003E59D0" w:rsidRDefault="00673BC8">
            <w:r>
              <w:rPr>
                <w:color w:val="000000"/>
                <w:sz w:val="24"/>
                <w:szCs w:val="24"/>
              </w:rPr>
              <w:t>凌超先生，华中科技大学数量经济学硕士、武汉科技大学信息与计算科学学士。</w:t>
            </w:r>
            <w:r>
              <w:rPr>
                <w:color w:val="000000"/>
                <w:sz w:val="24"/>
                <w:szCs w:val="24"/>
              </w:rPr>
              <w:t>2006</w:t>
            </w:r>
            <w:r>
              <w:rPr>
                <w:color w:val="000000"/>
                <w:sz w:val="24"/>
                <w:szCs w:val="24"/>
              </w:rPr>
              <w:t>年至</w:t>
            </w:r>
            <w:r>
              <w:rPr>
                <w:color w:val="000000"/>
                <w:sz w:val="24"/>
                <w:szCs w:val="24"/>
              </w:rPr>
              <w:t>2009</w:t>
            </w:r>
            <w:r>
              <w:rPr>
                <w:color w:val="000000"/>
                <w:sz w:val="24"/>
                <w:szCs w:val="24"/>
              </w:rPr>
              <w:t>年任长江证券股份有限公司研究员、投资经理，</w:t>
            </w:r>
            <w:r>
              <w:rPr>
                <w:color w:val="000000"/>
                <w:sz w:val="24"/>
                <w:szCs w:val="24"/>
              </w:rPr>
              <w:t>2009</w:t>
            </w:r>
            <w:r>
              <w:rPr>
                <w:color w:val="000000"/>
                <w:sz w:val="24"/>
                <w:szCs w:val="24"/>
              </w:rPr>
              <w:t>年至</w:t>
            </w:r>
            <w:r>
              <w:rPr>
                <w:color w:val="000000"/>
                <w:sz w:val="24"/>
                <w:szCs w:val="24"/>
              </w:rPr>
              <w:t>2012</w:t>
            </w:r>
            <w:r>
              <w:rPr>
                <w:color w:val="000000"/>
                <w:sz w:val="24"/>
                <w:szCs w:val="24"/>
              </w:rPr>
              <w:t>年任光大保德信基金有限管理公司研究员、基金助理、基金经理，</w:t>
            </w:r>
            <w:r>
              <w:rPr>
                <w:color w:val="000000"/>
                <w:sz w:val="24"/>
                <w:szCs w:val="24"/>
              </w:rPr>
              <w:t>2012</w:t>
            </w:r>
            <w:r>
              <w:rPr>
                <w:color w:val="000000"/>
                <w:sz w:val="24"/>
                <w:szCs w:val="24"/>
              </w:rPr>
              <w:lastRenderedPageBreak/>
              <w:t>年至</w:t>
            </w:r>
            <w:r>
              <w:rPr>
                <w:color w:val="000000"/>
                <w:sz w:val="24"/>
                <w:szCs w:val="24"/>
              </w:rPr>
              <w:t>2016</w:t>
            </w:r>
            <w:r>
              <w:rPr>
                <w:color w:val="000000"/>
                <w:sz w:val="24"/>
                <w:szCs w:val="24"/>
              </w:rPr>
              <w:t>年任海富通基金管理有限公司投资顾问、基金经理，</w:t>
            </w:r>
            <w:r>
              <w:rPr>
                <w:color w:val="000000"/>
                <w:sz w:val="24"/>
                <w:szCs w:val="24"/>
              </w:rPr>
              <w:t>2016</w:t>
            </w:r>
            <w:r>
              <w:rPr>
                <w:color w:val="000000"/>
                <w:sz w:val="24"/>
                <w:szCs w:val="24"/>
              </w:rPr>
              <w:t>年至</w:t>
            </w:r>
            <w:r>
              <w:rPr>
                <w:color w:val="000000"/>
                <w:sz w:val="24"/>
                <w:szCs w:val="24"/>
              </w:rPr>
              <w:t>2017</w:t>
            </w:r>
            <w:r>
              <w:rPr>
                <w:color w:val="000000"/>
                <w:sz w:val="24"/>
                <w:szCs w:val="24"/>
              </w:rPr>
              <w:t>年任天弘基金管理有限公司固定收益部副总经理、基金经理。</w:t>
            </w:r>
            <w:r>
              <w:rPr>
                <w:color w:val="000000"/>
                <w:sz w:val="24"/>
                <w:szCs w:val="24"/>
              </w:rPr>
              <w:t>2010</w:t>
            </w:r>
            <w:r>
              <w:rPr>
                <w:color w:val="000000"/>
                <w:sz w:val="24"/>
                <w:szCs w:val="24"/>
              </w:rPr>
              <w:t>年</w:t>
            </w:r>
            <w:r>
              <w:rPr>
                <w:color w:val="000000"/>
                <w:sz w:val="24"/>
                <w:szCs w:val="24"/>
              </w:rPr>
              <w:t>8</w:t>
            </w:r>
            <w:r>
              <w:rPr>
                <w:color w:val="000000"/>
                <w:sz w:val="24"/>
                <w:szCs w:val="24"/>
              </w:rPr>
              <w:t>月</w:t>
            </w:r>
            <w:r>
              <w:rPr>
                <w:color w:val="000000"/>
                <w:sz w:val="24"/>
                <w:szCs w:val="24"/>
              </w:rPr>
              <w:t>31</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w:t>
            </w:r>
            <w:r>
              <w:rPr>
                <w:color w:val="000000"/>
                <w:sz w:val="24"/>
                <w:szCs w:val="24"/>
              </w:rPr>
              <w:t>日任光大保德信货币市场基金基金经理，</w:t>
            </w:r>
            <w:r>
              <w:rPr>
                <w:color w:val="000000"/>
                <w:sz w:val="24"/>
                <w:szCs w:val="24"/>
              </w:rPr>
              <w:t>2013</w:t>
            </w:r>
            <w:r>
              <w:rPr>
                <w:color w:val="000000"/>
                <w:sz w:val="24"/>
                <w:szCs w:val="24"/>
              </w:rPr>
              <w:t>年</w:t>
            </w:r>
            <w:r>
              <w:rPr>
                <w:color w:val="000000"/>
                <w:sz w:val="24"/>
                <w:szCs w:val="24"/>
              </w:rPr>
              <w:t>12</w:t>
            </w:r>
            <w:r>
              <w:rPr>
                <w:color w:val="000000"/>
                <w:sz w:val="24"/>
                <w:szCs w:val="24"/>
              </w:rPr>
              <w:t>月</w:t>
            </w:r>
            <w:r>
              <w:rPr>
                <w:color w:val="000000"/>
                <w:sz w:val="24"/>
                <w:szCs w:val="24"/>
              </w:rPr>
              <w:t>19</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日任海富通一年定期开放债券型证券投资基金基金经理，</w:t>
            </w:r>
            <w:r>
              <w:rPr>
                <w:color w:val="000000"/>
                <w:sz w:val="24"/>
                <w:szCs w:val="24"/>
              </w:rPr>
              <w:t>2014</w:t>
            </w:r>
            <w:r>
              <w:rPr>
                <w:color w:val="000000"/>
                <w:sz w:val="24"/>
                <w:szCs w:val="24"/>
              </w:rPr>
              <w:t>年</w:t>
            </w:r>
            <w:r>
              <w:rPr>
                <w:color w:val="000000"/>
                <w:sz w:val="24"/>
                <w:szCs w:val="24"/>
              </w:rPr>
              <w:t>4</w:t>
            </w:r>
            <w:r>
              <w:rPr>
                <w:color w:val="000000"/>
                <w:sz w:val="24"/>
                <w:szCs w:val="24"/>
              </w:rPr>
              <w:t>月</w:t>
            </w:r>
            <w:r>
              <w:rPr>
                <w:color w:val="000000"/>
                <w:sz w:val="24"/>
                <w:szCs w:val="24"/>
              </w:rPr>
              <w:t>2</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日任海富通纯债债券型证券投资基金基金经理，</w:t>
            </w:r>
            <w:r>
              <w:rPr>
                <w:color w:val="000000"/>
                <w:sz w:val="24"/>
                <w:szCs w:val="24"/>
              </w:rPr>
              <w:t>2014</w:t>
            </w:r>
            <w:r>
              <w:rPr>
                <w:color w:val="000000"/>
                <w:sz w:val="24"/>
                <w:szCs w:val="24"/>
              </w:rPr>
              <w:t>年</w:t>
            </w:r>
            <w:r>
              <w:rPr>
                <w:color w:val="000000"/>
                <w:sz w:val="24"/>
                <w:szCs w:val="24"/>
              </w:rPr>
              <w:t>12</w:t>
            </w:r>
            <w:r>
              <w:rPr>
                <w:color w:val="000000"/>
                <w:sz w:val="24"/>
                <w:szCs w:val="24"/>
              </w:rPr>
              <w:t>月</w:t>
            </w:r>
            <w:r>
              <w:rPr>
                <w:color w:val="000000"/>
                <w:sz w:val="24"/>
                <w:szCs w:val="24"/>
              </w:rPr>
              <w:t>1</w:t>
            </w:r>
            <w:r>
              <w:rPr>
                <w:color w:val="000000"/>
                <w:sz w:val="24"/>
                <w:szCs w:val="24"/>
              </w:rPr>
              <w:t>日至</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12</w:t>
            </w:r>
            <w:r>
              <w:rPr>
                <w:color w:val="000000"/>
                <w:sz w:val="24"/>
                <w:szCs w:val="24"/>
              </w:rPr>
              <w:t>日任海富通稳固收益债券型证券投资基金基金经理，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日任天弘弘利债券型证券投资基金基金经理，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日任天弘裕利灵活配置混合型证券投资基金基金经理，</w:t>
            </w:r>
            <w:r>
              <w:rPr>
                <w:color w:val="000000"/>
                <w:sz w:val="24"/>
                <w:szCs w:val="24"/>
              </w:rPr>
              <w:t>2016</w:t>
            </w:r>
            <w:r>
              <w:rPr>
                <w:color w:val="000000"/>
                <w:sz w:val="24"/>
                <w:szCs w:val="24"/>
              </w:rPr>
              <w:t>年</w:t>
            </w:r>
            <w:r>
              <w:rPr>
                <w:color w:val="000000"/>
                <w:sz w:val="24"/>
                <w:szCs w:val="24"/>
              </w:rPr>
              <w:t>5</w:t>
            </w:r>
            <w:r>
              <w:rPr>
                <w:color w:val="000000"/>
                <w:sz w:val="24"/>
                <w:szCs w:val="24"/>
              </w:rPr>
              <w:t>月</w:t>
            </w:r>
            <w:r>
              <w:rPr>
                <w:color w:val="000000"/>
                <w:sz w:val="24"/>
                <w:szCs w:val="24"/>
              </w:rPr>
              <w:t>14</w:t>
            </w:r>
            <w:r>
              <w:rPr>
                <w:color w:val="000000"/>
                <w:sz w:val="24"/>
                <w:szCs w:val="24"/>
              </w:rPr>
              <w:t>日至</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13</w:t>
            </w:r>
            <w:r>
              <w:rPr>
                <w:color w:val="000000"/>
                <w:sz w:val="24"/>
                <w:szCs w:val="24"/>
              </w:rPr>
              <w:t>日任天弘债券型发起式证券投资基金基金经理。</w:t>
            </w:r>
            <w:r>
              <w:rPr>
                <w:color w:val="000000"/>
                <w:sz w:val="24"/>
                <w:szCs w:val="24"/>
              </w:rPr>
              <w:t>2017</w:t>
            </w:r>
            <w:r>
              <w:rPr>
                <w:color w:val="000000"/>
                <w:sz w:val="24"/>
                <w:szCs w:val="24"/>
              </w:rPr>
              <w:t>年</w:t>
            </w:r>
            <w:r>
              <w:rPr>
                <w:color w:val="000000"/>
                <w:sz w:val="24"/>
                <w:szCs w:val="24"/>
              </w:rPr>
              <w:t>7</w:t>
            </w:r>
            <w:r>
              <w:rPr>
                <w:color w:val="000000"/>
                <w:sz w:val="24"/>
                <w:szCs w:val="24"/>
              </w:rPr>
              <w:t>月加入交银施罗德基金管理有限公司。</w:t>
            </w:r>
            <w:r>
              <w:rPr>
                <w:color w:val="000000"/>
                <w:sz w:val="24"/>
                <w:szCs w:val="24"/>
              </w:rPr>
              <w:t>2019</w:t>
            </w:r>
            <w:r>
              <w:rPr>
                <w:color w:val="000000"/>
                <w:sz w:val="24"/>
                <w:szCs w:val="24"/>
              </w:rPr>
              <w:t>年</w:t>
            </w:r>
            <w:r>
              <w:rPr>
                <w:color w:val="000000"/>
                <w:sz w:val="24"/>
                <w:szCs w:val="24"/>
              </w:rPr>
              <w:t>2</w:t>
            </w:r>
            <w:r>
              <w:rPr>
                <w:color w:val="000000"/>
                <w:sz w:val="24"/>
                <w:szCs w:val="24"/>
              </w:rPr>
              <w:t>月</w:t>
            </w:r>
            <w:r>
              <w:rPr>
                <w:color w:val="000000"/>
                <w:sz w:val="24"/>
                <w:szCs w:val="24"/>
              </w:rPr>
              <w:t>28</w:t>
            </w:r>
            <w:r>
              <w:rPr>
                <w:color w:val="000000"/>
                <w:sz w:val="24"/>
                <w:szCs w:val="24"/>
              </w:rPr>
              <w:t>日至</w:t>
            </w:r>
            <w:r>
              <w:rPr>
                <w:color w:val="000000"/>
                <w:sz w:val="24"/>
                <w:szCs w:val="24"/>
              </w:rPr>
              <w:t>2019</w:t>
            </w:r>
            <w:r>
              <w:rPr>
                <w:color w:val="000000"/>
                <w:sz w:val="24"/>
                <w:szCs w:val="24"/>
              </w:rPr>
              <w:t>年</w:t>
            </w:r>
            <w:r>
              <w:rPr>
                <w:color w:val="000000"/>
                <w:sz w:val="24"/>
                <w:szCs w:val="24"/>
              </w:rPr>
              <w:t>5</w:t>
            </w:r>
            <w:r>
              <w:rPr>
                <w:color w:val="000000"/>
                <w:sz w:val="24"/>
                <w:szCs w:val="24"/>
              </w:rPr>
              <w:t>月</w:t>
            </w:r>
            <w:r>
              <w:rPr>
                <w:color w:val="000000"/>
                <w:sz w:val="24"/>
                <w:szCs w:val="24"/>
              </w:rPr>
              <w:t>30</w:t>
            </w:r>
            <w:r>
              <w:rPr>
                <w:color w:val="000000"/>
                <w:sz w:val="24"/>
                <w:szCs w:val="24"/>
              </w:rPr>
              <w:t>日担任转型前的交银施罗德荣祥保本混合型证券投资基金的基金经理。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E59D0" w:rsidRDefault="00673BC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E59D0" w:rsidRDefault="00673BC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w:t>
      </w:r>
      <w:r>
        <w:rPr>
          <w:color w:val="000000"/>
          <w:sz w:val="24"/>
          <w:szCs w:val="24"/>
        </w:rPr>
        <w:lastRenderedPageBreak/>
        <w:t>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E59D0" w:rsidRDefault="00673BC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E59D0" w:rsidRDefault="00673BC8">
      <w:pPr>
        <w:spacing w:before="29" w:line="288" w:lineRule="auto"/>
        <w:ind w:firstLineChars="200" w:firstLine="480"/>
        <w:rPr>
          <w:color w:val="000000"/>
          <w:sz w:val="24"/>
          <w:szCs w:val="24"/>
        </w:rPr>
      </w:pPr>
      <w:r>
        <w:rPr>
          <w:color w:val="000000"/>
          <w:sz w:val="24"/>
          <w:szCs w:val="24"/>
        </w:rPr>
        <w:t>本报告期内，债券市场受资金面宽裕、新冠疫情等因素影响，收益率呈现趋势下行走势。一月，因市场资金面相对宽裕，债市基本维持平稳，新冠疫情开始出现，并在下半月开始日趋严重；二月伊始，国内疫情发酵，在市场资金面宽裕的背景下，债市收益率开始不断下行；进入三月，资金面进一步宽松，虽然国内疫情逐步缓解，但国外新冠疫情开始逐步发酵，全球央行开始普遍降息，受其影响债券收益率逐步降至年内低位，全月维持低位震荡。</w:t>
      </w:r>
    </w:p>
    <w:p w:rsidR="003E59D0" w:rsidRDefault="00673BC8">
      <w:pPr>
        <w:spacing w:before="29" w:line="288" w:lineRule="auto"/>
        <w:ind w:firstLineChars="200" w:firstLine="480"/>
        <w:rPr>
          <w:color w:val="000000"/>
          <w:sz w:val="24"/>
          <w:szCs w:val="24"/>
        </w:rPr>
      </w:pPr>
      <w:r>
        <w:rPr>
          <w:color w:val="000000"/>
          <w:sz w:val="24"/>
          <w:szCs w:val="24"/>
        </w:rPr>
        <w:t>一季度，权益市场前期走势较为良好，在新冠疫情逐步发酵后，出现危机式下跌模式，国际主要指数跌幅均超过</w:t>
      </w:r>
      <w:r>
        <w:rPr>
          <w:color w:val="000000"/>
          <w:sz w:val="24"/>
          <w:szCs w:val="24"/>
        </w:rPr>
        <w:t>20%</w:t>
      </w:r>
      <w:r>
        <w:rPr>
          <w:color w:val="000000"/>
          <w:sz w:val="24"/>
          <w:szCs w:val="24"/>
        </w:rPr>
        <w:t>以上，由于国内疫情控制相对及时果断，主要指数跌幅相对较少。一月，科技、传媒以及新能源车板块表现突出，二月国内新冠疫情冲击应对措施及时果断，对市场也相对冲击短暂，科技类品种依然表现亮眼。步入三月之后，国外疫情开始逐步发酵并且形势急剧恶化，主要国家股指均出现危机式快速大幅下跌，国内指数也受其情绪影响和对经济的担忧出现同步回落，但总体回落幅度相对较小，前期涨幅较大的科技类、新能源车板块出现较大幅度回调。</w:t>
      </w:r>
    </w:p>
    <w:p w:rsidR="003E59D0" w:rsidRDefault="00673BC8">
      <w:pPr>
        <w:spacing w:before="29" w:line="288" w:lineRule="auto"/>
        <w:ind w:firstLineChars="200" w:firstLine="480"/>
        <w:rPr>
          <w:color w:val="000000"/>
          <w:sz w:val="24"/>
          <w:szCs w:val="24"/>
        </w:rPr>
      </w:pPr>
      <w:r>
        <w:rPr>
          <w:color w:val="000000"/>
          <w:sz w:val="24"/>
          <w:szCs w:val="24"/>
        </w:rPr>
        <w:t>在基金操作中，债券部分我们维持中短久期高等级信用债的底仓配置，以获取稳定的票息收益。权益方面，随着市场波动率的加大，对新冠疫情冲击较大的部分传统行业和前期涨幅较大科技类品种进行了及时规避，持仓比例和品种更加趋于稳健。此外，组合积极参与权益及转债的一级申购，以增厚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在新冠疫情的冲击下，国内外经济均面临较为严峻的冲击，无论是企业还是民众的生活压力都有明显上升，宏观逆周期调控政策发力迫在眉睫。资金面维持宽松的格局下，如何传导到实体经济，解决经济增长困境和缓解就业压力将是二季度政府的主要工作重点和目标。考虑到债券收益率受疫情悲观预期影响已经处于历</w:t>
      </w:r>
      <w:r w:rsidRPr="00414345">
        <w:rPr>
          <w:color w:val="000000"/>
          <w:sz w:val="24"/>
          <w:szCs w:val="24"/>
        </w:rPr>
        <w:lastRenderedPageBreak/>
        <w:t>史低位附近，加之逆周期调控政策的逐步推出，市场悲观情绪或会有所缓和，因此我们对二季度债券市场维持低位震荡的观点，维持底仓配置中短久期高等级信用债品种，以获取票息收益，并根据市场变化动态调整组合久期。权益方面，我们将继续维持稳健品种配置，并在行业的选择中，持续关注新冠疫情对各行业的冲击影响及其受冲击程度和后期逐步恢复的情况。同时积极关注逆周期调控政策发力背景下可能受益板块的相关投资机会。我们将继续积极参加权益及转债的一级申购，以期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660669" w:rsidRDefault="009C1009" w:rsidP="009C1009">
      <w:pPr>
        <w:autoSpaceDE w:val="0"/>
        <w:autoSpaceDN w:val="0"/>
        <w:adjustRightInd w:val="0"/>
        <w:spacing w:line="360" w:lineRule="auto"/>
        <w:jc w:val="right"/>
        <w:rPr>
          <w:rFonts w:eastAsiaTheme="minorEastAsia"/>
          <w:b/>
          <w:color w:val="000000" w:themeColor="text1"/>
          <w:kern w:val="0"/>
          <w:sz w:val="32"/>
          <w:szCs w:val="24"/>
        </w:rPr>
      </w:pPr>
      <w:r w:rsidRPr="00660669">
        <w:rPr>
          <w:rFonts w:hint="eastAsia"/>
          <w:color w:val="000000"/>
          <w:kern w:val="0"/>
          <w:sz w:val="24"/>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83,547,089.21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83,547,089.21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16.93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386,847,068.50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386,847,068.50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78.37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w:t>
            </w:r>
            <w:r w:rsidRPr="007B5F21">
              <w:rPr>
                <w:rFonts w:eastAsiaTheme="minorEastAsia"/>
                <w:color w:val="000000" w:themeColor="text1"/>
                <w:sz w:val="24"/>
                <w:szCs w:val="24"/>
              </w:rPr>
              <w:lastRenderedPageBreak/>
              <w:t>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16,616,352.37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6,598,299.76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1.34</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493,608,809.84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2,588,006.00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11,636,020.37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8,371,586.00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2,808,523.31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8,764,539.43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823,817.10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40,119,137.02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8,417,907.00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83,547,089.21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22.10</w:t>
            </w:r>
          </w:p>
        </w:tc>
      </w:tr>
    </w:tbl>
    <w:p w:rsidR="009357CC" w:rsidRDefault="009357CC"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E59D0">
        <w:trPr>
          <w:jc w:val="center"/>
        </w:trPr>
        <w:tc>
          <w:tcPr>
            <w:tcW w:w="855" w:type="dxa"/>
            <w:vAlign w:val="center"/>
          </w:tcPr>
          <w:p w:rsidR="003E59D0" w:rsidRDefault="00673BC8">
            <w:pPr>
              <w:jc w:val="center"/>
            </w:pPr>
            <w:r>
              <w:rPr>
                <w:color w:val="000000"/>
                <w:sz w:val="24"/>
                <w:szCs w:val="24"/>
              </w:rPr>
              <w:t>1</w:t>
            </w:r>
          </w:p>
        </w:tc>
        <w:tc>
          <w:tcPr>
            <w:tcW w:w="1334" w:type="dxa"/>
            <w:vAlign w:val="center"/>
          </w:tcPr>
          <w:p w:rsidR="003E59D0" w:rsidRDefault="00673BC8">
            <w:pPr>
              <w:jc w:val="center"/>
            </w:pPr>
            <w:r>
              <w:rPr>
                <w:color w:val="000000"/>
                <w:sz w:val="24"/>
                <w:szCs w:val="24"/>
              </w:rPr>
              <w:t>601398</w:t>
            </w:r>
          </w:p>
        </w:tc>
        <w:tc>
          <w:tcPr>
            <w:tcW w:w="1777" w:type="dxa"/>
            <w:vAlign w:val="center"/>
          </w:tcPr>
          <w:p w:rsidR="003E59D0" w:rsidRDefault="00673BC8">
            <w:pPr>
              <w:jc w:val="center"/>
            </w:pPr>
            <w:r>
              <w:rPr>
                <w:color w:val="000000"/>
                <w:sz w:val="24"/>
                <w:szCs w:val="24"/>
              </w:rPr>
              <w:t>工商银行</w:t>
            </w:r>
          </w:p>
        </w:tc>
        <w:tc>
          <w:tcPr>
            <w:tcW w:w="1334" w:type="dxa"/>
            <w:vAlign w:val="center"/>
          </w:tcPr>
          <w:p w:rsidR="003E59D0" w:rsidRDefault="00673BC8">
            <w:pPr>
              <w:jc w:val="right"/>
            </w:pPr>
            <w:r>
              <w:rPr>
                <w:color w:val="000000"/>
                <w:sz w:val="24"/>
                <w:szCs w:val="24"/>
              </w:rPr>
              <w:t>2,688,600</w:t>
            </w:r>
          </w:p>
        </w:tc>
        <w:tc>
          <w:tcPr>
            <w:tcW w:w="1924" w:type="dxa"/>
            <w:vAlign w:val="center"/>
          </w:tcPr>
          <w:p w:rsidR="003E59D0" w:rsidRDefault="00673BC8">
            <w:pPr>
              <w:jc w:val="right"/>
            </w:pPr>
            <w:r>
              <w:rPr>
                <w:color w:val="000000"/>
                <w:sz w:val="24"/>
                <w:szCs w:val="24"/>
              </w:rPr>
              <w:t>13,846,290.00</w:t>
            </w:r>
          </w:p>
        </w:tc>
        <w:tc>
          <w:tcPr>
            <w:tcW w:w="1644" w:type="dxa"/>
            <w:vAlign w:val="center"/>
          </w:tcPr>
          <w:p w:rsidR="003E59D0" w:rsidRDefault="00673BC8">
            <w:pPr>
              <w:jc w:val="right"/>
            </w:pPr>
            <w:r>
              <w:rPr>
                <w:color w:val="000000"/>
                <w:sz w:val="24"/>
                <w:szCs w:val="24"/>
              </w:rPr>
              <w:t>3.66</w:t>
            </w:r>
          </w:p>
        </w:tc>
      </w:tr>
      <w:tr w:rsidR="003E59D0">
        <w:trPr>
          <w:jc w:val="center"/>
        </w:trPr>
        <w:tc>
          <w:tcPr>
            <w:tcW w:w="855" w:type="dxa"/>
            <w:vAlign w:val="center"/>
          </w:tcPr>
          <w:p w:rsidR="003E59D0" w:rsidRDefault="00673BC8">
            <w:pPr>
              <w:jc w:val="center"/>
            </w:pPr>
            <w:r>
              <w:rPr>
                <w:color w:val="000000"/>
                <w:sz w:val="24"/>
                <w:szCs w:val="24"/>
              </w:rPr>
              <w:t>2</w:t>
            </w:r>
          </w:p>
        </w:tc>
        <w:tc>
          <w:tcPr>
            <w:tcW w:w="1334" w:type="dxa"/>
            <w:vAlign w:val="center"/>
          </w:tcPr>
          <w:p w:rsidR="003E59D0" w:rsidRDefault="00673BC8">
            <w:pPr>
              <w:jc w:val="center"/>
            </w:pPr>
            <w:r>
              <w:rPr>
                <w:color w:val="000000"/>
                <w:sz w:val="24"/>
                <w:szCs w:val="24"/>
              </w:rPr>
              <w:t>601288</w:t>
            </w:r>
          </w:p>
        </w:tc>
        <w:tc>
          <w:tcPr>
            <w:tcW w:w="1777" w:type="dxa"/>
            <w:vAlign w:val="center"/>
          </w:tcPr>
          <w:p w:rsidR="003E59D0" w:rsidRDefault="00673BC8">
            <w:pPr>
              <w:jc w:val="center"/>
            </w:pPr>
            <w:r>
              <w:rPr>
                <w:color w:val="000000"/>
                <w:sz w:val="24"/>
                <w:szCs w:val="24"/>
              </w:rPr>
              <w:t>农业银行</w:t>
            </w:r>
          </w:p>
        </w:tc>
        <w:tc>
          <w:tcPr>
            <w:tcW w:w="1334" w:type="dxa"/>
            <w:vAlign w:val="center"/>
          </w:tcPr>
          <w:p w:rsidR="003E59D0" w:rsidRDefault="00673BC8">
            <w:pPr>
              <w:jc w:val="right"/>
            </w:pPr>
            <w:r>
              <w:rPr>
                <w:color w:val="000000"/>
                <w:sz w:val="24"/>
                <w:szCs w:val="24"/>
              </w:rPr>
              <w:t>3,649,200</w:t>
            </w:r>
          </w:p>
        </w:tc>
        <w:tc>
          <w:tcPr>
            <w:tcW w:w="1924" w:type="dxa"/>
            <w:vAlign w:val="center"/>
          </w:tcPr>
          <w:p w:rsidR="003E59D0" w:rsidRDefault="00673BC8">
            <w:pPr>
              <w:jc w:val="right"/>
            </w:pPr>
            <w:r>
              <w:rPr>
                <w:color w:val="000000"/>
                <w:sz w:val="24"/>
                <w:szCs w:val="24"/>
              </w:rPr>
              <w:t>12,297,804.00</w:t>
            </w:r>
          </w:p>
        </w:tc>
        <w:tc>
          <w:tcPr>
            <w:tcW w:w="1644" w:type="dxa"/>
            <w:vAlign w:val="center"/>
          </w:tcPr>
          <w:p w:rsidR="003E59D0" w:rsidRDefault="00673BC8">
            <w:pPr>
              <w:jc w:val="right"/>
            </w:pPr>
            <w:r>
              <w:rPr>
                <w:color w:val="000000"/>
                <w:sz w:val="24"/>
                <w:szCs w:val="24"/>
              </w:rPr>
              <w:t>3.25</w:t>
            </w:r>
          </w:p>
        </w:tc>
      </w:tr>
      <w:tr w:rsidR="003E59D0">
        <w:trPr>
          <w:jc w:val="center"/>
        </w:trPr>
        <w:tc>
          <w:tcPr>
            <w:tcW w:w="855" w:type="dxa"/>
            <w:vAlign w:val="center"/>
          </w:tcPr>
          <w:p w:rsidR="003E59D0" w:rsidRDefault="00673BC8">
            <w:pPr>
              <w:jc w:val="center"/>
            </w:pPr>
            <w:r>
              <w:rPr>
                <w:color w:val="000000"/>
                <w:sz w:val="24"/>
                <w:szCs w:val="24"/>
              </w:rPr>
              <w:t>3</w:t>
            </w:r>
          </w:p>
        </w:tc>
        <w:tc>
          <w:tcPr>
            <w:tcW w:w="1334" w:type="dxa"/>
            <w:vAlign w:val="center"/>
          </w:tcPr>
          <w:p w:rsidR="003E59D0" w:rsidRDefault="00673BC8">
            <w:pPr>
              <w:jc w:val="center"/>
            </w:pPr>
            <w:r>
              <w:rPr>
                <w:color w:val="000000"/>
                <w:sz w:val="24"/>
                <w:szCs w:val="24"/>
              </w:rPr>
              <w:t>600048</w:t>
            </w:r>
          </w:p>
        </w:tc>
        <w:tc>
          <w:tcPr>
            <w:tcW w:w="1777" w:type="dxa"/>
            <w:vAlign w:val="center"/>
          </w:tcPr>
          <w:p w:rsidR="003E59D0" w:rsidRDefault="00673BC8">
            <w:pPr>
              <w:jc w:val="center"/>
            </w:pPr>
            <w:r>
              <w:rPr>
                <w:color w:val="000000"/>
                <w:sz w:val="24"/>
                <w:szCs w:val="24"/>
              </w:rPr>
              <w:t>保利地产</w:t>
            </w:r>
          </w:p>
        </w:tc>
        <w:tc>
          <w:tcPr>
            <w:tcW w:w="1334" w:type="dxa"/>
            <w:vAlign w:val="center"/>
          </w:tcPr>
          <w:p w:rsidR="003E59D0" w:rsidRDefault="00673BC8">
            <w:pPr>
              <w:jc w:val="right"/>
            </w:pPr>
            <w:r>
              <w:rPr>
                <w:color w:val="000000"/>
                <w:sz w:val="24"/>
                <w:szCs w:val="24"/>
              </w:rPr>
              <w:t>566,100</w:t>
            </w:r>
          </w:p>
        </w:tc>
        <w:tc>
          <w:tcPr>
            <w:tcW w:w="1924" w:type="dxa"/>
            <w:vAlign w:val="center"/>
          </w:tcPr>
          <w:p w:rsidR="003E59D0" w:rsidRDefault="00673BC8">
            <w:pPr>
              <w:jc w:val="right"/>
            </w:pPr>
            <w:r>
              <w:rPr>
                <w:color w:val="000000"/>
                <w:sz w:val="24"/>
                <w:szCs w:val="24"/>
              </w:rPr>
              <w:t>8,417,907.00</w:t>
            </w:r>
          </w:p>
        </w:tc>
        <w:tc>
          <w:tcPr>
            <w:tcW w:w="1644" w:type="dxa"/>
            <w:vAlign w:val="center"/>
          </w:tcPr>
          <w:p w:rsidR="003E59D0" w:rsidRDefault="00673BC8">
            <w:pPr>
              <w:jc w:val="right"/>
            </w:pPr>
            <w:r>
              <w:rPr>
                <w:color w:val="000000"/>
                <w:sz w:val="24"/>
                <w:szCs w:val="24"/>
              </w:rPr>
              <w:t>2.23</w:t>
            </w:r>
          </w:p>
        </w:tc>
      </w:tr>
      <w:tr w:rsidR="003E59D0">
        <w:trPr>
          <w:jc w:val="center"/>
        </w:trPr>
        <w:tc>
          <w:tcPr>
            <w:tcW w:w="855" w:type="dxa"/>
            <w:vAlign w:val="center"/>
          </w:tcPr>
          <w:p w:rsidR="003E59D0" w:rsidRDefault="00673BC8">
            <w:pPr>
              <w:jc w:val="center"/>
            </w:pPr>
            <w:r>
              <w:rPr>
                <w:color w:val="000000"/>
                <w:sz w:val="24"/>
                <w:szCs w:val="24"/>
              </w:rPr>
              <w:t>4</w:t>
            </w:r>
          </w:p>
        </w:tc>
        <w:tc>
          <w:tcPr>
            <w:tcW w:w="1334" w:type="dxa"/>
            <w:vAlign w:val="center"/>
          </w:tcPr>
          <w:p w:rsidR="003E59D0" w:rsidRDefault="00673BC8">
            <w:pPr>
              <w:jc w:val="center"/>
            </w:pPr>
            <w:r>
              <w:rPr>
                <w:color w:val="000000"/>
                <w:sz w:val="24"/>
                <w:szCs w:val="24"/>
              </w:rPr>
              <w:t>001965</w:t>
            </w:r>
          </w:p>
        </w:tc>
        <w:tc>
          <w:tcPr>
            <w:tcW w:w="1777" w:type="dxa"/>
            <w:vAlign w:val="center"/>
          </w:tcPr>
          <w:p w:rsidR="003E59D0" w:rsidRDefault="00673BC8">
            <w:pPr>
              <w:jc w:val="center"/>
            </w:pPr>
            <w:r>
              <w:rPr>
                <w:color w:val="000000"/>
                <w:sz w:val="24"/>
                <w:szCs w:val="24"/>
              </w:rPr>
              <w:t>招商公路</w:t>
            </w:r>
          </w:p>
        </w:tc>
        <w:tc>
          <w:tcPr>
            <w:tcW w:w="1334" w:type="dxa"/>
            <w:vAlign w:val="center"/>
          </w:tcPr>
          <w:p w:rsidR="003E59D0" w:rsidRDefault="00673BC8">
            <w:pPr>
              <w:jc w:val="right"/>
            </w:pPr>
            <w:r>
              <w:rPr>
                <w:color w:val="000000"/>
                <w:sz w:val="24"/>
                <w:szCs w:val="24"/>
              </w:rPr>
              <w:t>897,139</w:t>
            </w:r>
          </w:p>
        </w:tc>
        <w:tc>
          <w:tcPr>
            <w:tcW w:w="1924" w:type="dxa"/>
            <w:vAlign w:val="center"/>
          </w:tcPr>
          <w:p w:rsidR="003E59D0" w:rsidRDefault="00673BC8">
            <w:pPr>
              <w:jc w:val="right"/>
            </w:pPr>
            <w:r>
              <w:rPr>
                <w:color w:val="000000"/>
                <w:sz w:val="24"/>
                <w:szCs w:val="24"/>
              </w:rPr>
              <w:t>6,217,173.27</w:t>
            </w:r>
          </w:p>
        </w:tc>
        <w:tc>
          <w:tcPr>
            <w:tcW w:w="1644" w:type="dxa"/>
            <w:vAlign w:val="center"/>
          </w:tcPr>
          <w:p w:rsidR="003E59D0" w:rsidRDefault="00673BC8">
            <w:pPr>
              <w:jc w:val="right"/>
            </w:pPr>
            <w:r>
              <w:rPr>
                <w:color w:val="000000"/>
                <w:sz w:val="24"/>
                <w:szCs w:val="24"/>
              </w:rPr>
              <w:t>1.64</w:t>
            </w:r>
          </w:p>
        </w:tc>
      </w:tr>
      <w:tr w:rsidR="003E59D0">
        <w:trPr>
          <w:jc w:val="center"/>
        </w:trPr>
        <w:tc>
          <w:tcPr>
            <w:tcW w:w="855" w:type="dxa"/>
            <w:vAlign w:val="center"/>
          </w:tcPr>
          <w:p w:rsidR="003E59D0" w:rsidRDefault="00673BC8">
            <w:pPr>
              <w:jc w:val="center"/>
            </w:pPr>
            <w:r>
              <w:rPr>
                <w:color w:val="000000"/>
                <w:sz w:val="24"/>
                <w:szCs w:val="24"/>
              </w:rPr>
              <w:t>5</w:t>
            </w:r>
          </w:p>
        </w:tc>
        <w:tc>
          <w:tcPr>
            <w:tcW w:w="1334" w:type="dxa"/>
            <w:vAlign w:val="center"/>
          </w:tcPr>
          <w:p w:rsidR="003E59D0" w:rsidRDefault="00673BC8">
            <w:pPr>
              <w:jc w:val="center"/>
            </w:pPr>
            <w:r>
              <w:rPr>
                <w:color w:val="000000"/>
                <w:sz w:val="24"/>
                <w:szCs w:val="24"/>
              </w:rPr>
              <w:t>601628</w:t>
            </w:r>
          </w:p>
        </w:tc>
        <w:tc>
          <w:tcPr>
            <w:tcW w:w="1777" w:type="dxa"/>
            <w:vAlign w:val="center"/>
          </w:tcPr>
          <w:p w:rsidR="003E59D0" w:rsidRDefault="00673BC8">
            <w:pPr>
              <w:jc w:val="center"/>
            </w:pPr>
            <w:r>
              <w:rPr>
                <w:color w:val="000000"/>
                <w:sz w:val="24"/>
                <w:szCs w:val="24"/>
              </w:rPr>
              <w:t>中国人寿</w:t>
            </w:r>
          </w:p>
        </w:tc>
        <w:tc>
          <w:tcPr>
            <w:tcW w:w="1334" w:type="dxa"/>
            <w:vAlign w:val="center"/>
          </w:tcPr>
          <w:p w:rsidR="003E59D0" w:rsidRDefault="00673BC8">
            <w:pPr>
              <w:jc w:val="right"/>
            </w:pPr>
            <w:r>
              <w:rPr>
                <w:color w:val="000000"/>
                <w:sz w:val="24"/>
                <w:szCs w:val="24"/>
              </w:rPr>
              <w:t>230,900</w:t>
            </w:r>
          </w:p>
        </w:tc>
        <w:tc>
          <w:tcPr>
            <w:tcW w:w="1924" w:type="dxa"/>
            <w:vAlign w:val="center"/>
          </w:tcPr>
          <w:p w:rsidR="003E59D0" w:rsidRDefault="00673BC8">
            <w:pPr>
              <w:jc w:val="right"/>
            </w:pPr>
            <w:r>
              <w:rPr>
                <w:color w:val="000000"/>
                <w:sz w:val="24"/>
                <w:szCs w:val="24"/>
              </w:rPr>
              <w:t>6,081,906.00</w:t>
            </w:r>
          </w:p>
        </w:tc>
        <w:tc>
          <w:tcPr>
            <w:tcW w:w="1644" w:type="dxa"/>
            <w:vAlign w:val="center"/>
          </w:tcPr>
          <w:p w:rsidR="003E59D0" w:rsidRDefault="00673BC8">
            <w:pPr>
              <w:jc w:val="right"/>
            </w:pPr>
            <w:r>
              <w:rPr>
                <w:color w:val="000000"/>
                <w:sz w:val="24"/>
                <w:szCs w:val="24"/>
              </w:rPr>
              <w:t>1.61</w:t>
            </w:r>
          </w:p>
        </w:tc>
      </w:tr>
      <w:tr w:rsidR="003E59D0">
        <w:trPr>
          <w:jc w:val="center"/>
        </w:trPr>
        <w:tc>
          <w:tcPr>
            <w:tcW w:w="855" w:type="dxa"/>
            <w:vAlign w:val="center"/>
          </w:tcPr>
          <w:p w:rsidR="003E59D0" w:rsidRDefault="00673BC8">
            <w:pPr>
              <w:jc w:val="center"/>
            </w:pPr>
            <w:r>
              <w:rPr>
                <w:color w:val="000000"/>
                <w:sz w:val="24"/>
                <w:szCs w:val="24"/>
              </w:rPr>
              <w:t>6</w:t>
            </w:r>
          </w:p>
        </w:tc>
        <w:tc>
          <w:tcPr>
            <w:tcW w:w="1334" w:type="dxa"/>
            <w:vAlign w:val="center"/>
          </w:tcPr>
          <w:p w:rsidR="003E59D0" w:rsidRDefault="00673BC8">
            <w:pPr>
              <w:jc w:val="center"/>
            </w:pPr>
            <w:r>
              <w:rPr>
                <w:color w:val="000000"/>
                <w:sz w:val="24"/>
                <w:szCs w:val="24"/>
              </w:rPr>
              <w:t>601668</w:t>
            </w:r>
          </w:p>
        </w:tc>
        <w:tc>
          <w:tcPr>
            <w:tcW w:w="1777" w:type="dxa"/>
            <w:vAlign w:val="center"/>
          </w:tcPr>
          <w:p w:rsidR="003E59D0" w:rsidRDefault="00673BC8">
            <w:pPr>
              <w:jc w:val="center"/>
            </w:pPr>
            <w:r>
              <w:rPr>
                <w:color w:val="000000"/>
                <w:sz w:val="24"/>
                <w:szCs w:val="24"/>
              </w:rPr>
              <w:t>中国建筑</w:t>
            </w:r>
          </w:p>
        </w:tc>
        <w:tc>
          <w:tcPr>
            <w:tcW w:w="1334" w:type="dxa"/>
            <w:vAlign w:val="center"/>
          </w:tcPr>
          <w:p w:rsidR="003E59D0" w:rsidRDefault="00673BC8">
            <w:pPr>
              <w:jc w:val="right"/>
            </w:pPr>
            <w:r>
              <w:rPr>
                <w:color w:val="000000"/>
                <w:sz w:val="24"/>
                <w:szCs w:val="24"/>
              </w:rPr>
              <w:t>993,700</w:t>
            </w:r>
          </w:p>
        </w:tc>
        <w:tc>
          <w:tcPr>
            <w:tcW w:w="1924" w:type="dxa"/>
            <w:vAlign w:val="center"/>
          </w:tcPr>
          <w:p w:rsidR="003E59D0" w:rsidRDefault="00673BC8">
            <w:pPr>
              <w:jc w:val="right"/>
            </w:pPr>
            <w:r>
              <w:rPr>
                <w:color w:val="000000"/>
                <w:sz w:val="24"/>
                <w:szCs w:val="24"/>
              </w:rPr>
              <w:t>5,236,799.00</w:t>
            </w:r>
          </w:p>
        </w:tc>
        <w:tc>
          <w:tcPr>
            <w:tcW w:w="1644" w:type="dxa"/>
            <w:vAlign w:val="center"/>
          </w:tcPr>
          <w:p w:rsidR="003E59D0" w:rsidRDefault="00673BC8">
            <w:pPr>
              <w:jc w:val="right"/>
            </w:pPr>
            <w:r>
              <w:rPr>
                <w:color w:val="000000"/>
                <w:sz w:val="24"/>
                <w:szCs w:val="24"/>
              </w:rPr>
              <w:t>1.39</w:t>
            </w:r>
          </w:p>
        </w:tc>
      </w:tr>
      <w:tr w:rsidR="003E59D0">
        <w:trPr>
          <w:jc w:val="center"/>
        </w:trPr>
        <w:tc>
          <w:tcPr>
            <w:tcW w:w="855" w:type="dxa"/>
            <w:vAlign w:val="center"/>
          </w:tcPr>
          <w:p w:rsidR="003E59D0" w:rsidRDefault="00673BC8">
            <w:pPr>
              <w:jc w:val="center"/>
            </w:pPr>
            <w:r>
              <w:rPr>
                <w:color w:val="000000"/>
                <w:sz w:val="24"/>
                <w:szCs w:val="24"/>
              </w:rPr>
              <w:t>7</w:t>
            </w:r>
          </w:p>
        </w:tc>
        <w:tc>
          <w:tcPr>
            <w:tcW w:w="1334" w:type="dxa"/>
            <w:vAlign w:val="center"/>
          </w:tcPr>
          <w:p w:rsidR="003E59D0" w:rsidRDefault="00673BC8">
            <w:pPr>
              <w:jc w:val="center"/>
            </w:pPr>
            <w:r>
              <w:rPr>
                <w:color w:val="000000"/>
                <w:sz w:val="24"/>
                <w:szCs w:val="24"/>
              </w:rPr>
              <w:t>000001</w:t>
            </w:r>
          </w:p>
        </w:tc>
        <w:tc>
          <w:tcPr>
            <w:tcW w:w="1777" w:type="dxa"/>
            <w:vAlign w:val="center"/>
          </w:tcPr>
          <w:p w:rsidR="003E59D0" w:rsidRDefault="00673BC8">
            <w:pPr>
              <w:jc w:val="center"/>
            </w:pPr>
            <w:r>
              <w:rPr>
                <w:color w:val="000000"/>
                <w:sz w:val="24"/>
                <w:szCs w:val="24"/>
              </w:rPr>
              <w:t>平安银行</w:t>
            </w:r>
          </w:p>
        </w:tc>
        <w:tc>
          <w:tcPr>
            <w:tcW w:w="1334" w:type="dxa"/>
            <w:vAlign w:val="center"/>
          </w:tcPr>
          <w:p w:rsidR="003E59D0" w:rsidRDefault="00673BC8">
            <w:pPr>
              <w:jc w:val="right"/>
            </w:pPr>
            <w:r>
              <w:rPr>
                <w:color w:val="000000"/>
                <w:sz w:val="24"/>
                <w:szCs w:val="24"/>
              </w:rPr>
              <w:t>300,000</w:t>
            </w:r>
          </w:p>
        </w:tc>
        <w:tc>
          <w:tcPr>
            <w:tcW w:w="1924" w:type="dxa"/>
            <w:vAlign w:val="center"/>
          </w:tcPr>
          <w:p w:rsidR="003E59D0" w:rsidRDefault="00673BC8">
            <w:pPr>
              <w:jc w:val="right"/>
            </w:pPr>
            <w:r>
              <w:rPr>
                <w:color w:val="000000"/>
                <w:sz w:val="24"/>
                <w:szCs w:val="24"/>
              </w:rPr>
              <w:t>3,840,000.00</w:t>
            </w:r>
          </w:p>
        </w:tc>
        <w:tc>
          <w:tcPr>
            <w:tcW w:w="1644" w:type="dxa"/>
            <w:vAlign w:val="center"/>
          </w:tcPr>
          <w:p w:rsidR="003E59D0" w:rsidRDefault="00673BC8">
            <w:pPr>
              <w:jc w:val="right"/>
            </w:pPr>
            <w:r>
              <w:rPr>
                <w:color w:val="000000"/>
                <w:sz w:val="24"/>
                <w:szCs w:val="24"/>
              </w:rPr>
              <w:t>1.02</w:t>
            </w:r>
          </w:p>
        </w:tc>
      </w:tr>
      <w:tr w:rsidR="003E59D0">
        <w:trPr>
          <w:jc w:val="center"/>
        </w:trPr>
        <w:tc>
          <w:tcPr>
            <w:tcW w:w="855" w:type="dxa"/>
            <w:vAlign w:val="center"/>
          </w:tcPr>
          <w:p w:rsidR="003E59D0" w:rsidRDefault="00673BC8">
            <w:pPr>
              <w:jc w:val="center"/>
            </w:pPr>
            <w:r>
              <w:rPr>
                <w:color w:val="000000"/>
                <w:sz w:val="24"/>
                <w:szCs w:val="24"/>
              </w:rPr>
              <w:t>8</w:t>
            </w:r>
          </w:p>
        </w:tc>
        <w:tc>
          <w:tcPr>
            <w:tcW w:w="1334" w:type="dxa"/>
            <w:vAlign w:val="center"/>
          </w:tcPr>
          <w:p w:rsidR="003E59D0" w:rsidRDefault="00673BC8">
            <w:pPr>
              <w:jc w:val="center"/>
            </w:pPr>
            <w:r>
              <w:rPr>
                <w:color w:val="000000"/>
                <w:sz w:val="24"/>
                <w:szCs w:val="24"/>
              </w:rPr>
              <w:t>000538</w:t>
            </w:r>
          </w:p>
        </w:tc>
        <w:tc>
          <w:tcPr>
            <w:tcW w:w="1777" w:type="dxa"/>
            <w:vAlign w:val="center"/>
          </w:tcPr>
          <w:p w:rsidR="003E59D0" w:rsidRDefault="00673BC8">
            <w:pPr>
              <w:jc w:val="center"/>
            </w:pPr>
            <w:r>
              <w:rPr>
                <w:color w:val="000000"/>
                <w:sz w:val="24"/>
                <w:szCs w:val="24"/>
              </w:rPr>
              <w:t>云南白药</w:t>
            </w:r>
          </w:p>
        </w:tc>
        <w:tc>
          <w:tcPr>
            <w:tcW w:w="1334" w:type="dxa"/>
            <w:vAlign w:val="center"/>
          </w:tcPr>
          <w:p w:rsidR="003E59D0" w:rsidRDefault="00673BC8">
            <w:pPr>
              <w:jc w:val="right"/>
            </w:pPr>
            <w:r>
              <w:rPr>
                <w:color w:val="000000"/>
                <w:sz w:val="24"/>
                <w:szCs w:val="24"/>
              </w:rPr>
              <w:t>40,000</w:t>
            </w:r>
          </w:p>
        </w:tc>
        <w:tc>
          <w:tcPr>
            <w:tcW w:w="1924" w:type="dxa"/>
            <w:vAlign w:val="center"/>
          </w:tcPr>
          <w:p w:rsidR="003E59D0" w:rsidRDefault="00673BC8">
            <w:pPr>
              <w:jc w:val="right"/>
            </w:pPr>
            <w:r>
              <w:rPr>
                <w:color w:val="000000"/>
                <w:sz w:val="24"/>
                <w:szCs w:val="24"/>
              </w:rPr>
              <w:t>3,422,000.00</w:t>
            </w:r>
          </w:p>
        </w:tc>
        <w:tc>
          <w:tcPr>
            <w:tcW w:w="1644" w:type="dxa"/>
            <w:vAlign w:val="center"/>
          </w:tcPr>
          <w:p w:rsidR="003E59D0" w:rsidRDefault="00673BC8">
            <w:pPr>
              <w:jc w:val="right"/>
            </w:pPr>
            <w:r>
              <w:rPr>
                <w:color w:val="000000"/>
                <w:sz w:val="24"/>
                <w:szCs w:val="24"/>
              </w:rPr>
              <w:t>0.91</w:t>
            </w:r>
          </w:p>
        </w:tc>
      </w:tr>
      <w:tr w:rsidR="003E59D0">
        <w:trPr>
          <w:jc w:val="center"/>
        </w:trPr>
        <w:tc>
          <w:tcPr>
            <w:tcW w:w="855" w:type="dxa"/>
            <w:vAlign w:val="center"/>
          </w:tcPr>
          <w:p w:rsidR="003E59D0" w:rsidRDefault="00673BC8">
            <w:pPr>
              <w:jc w:val="center"/>
            </w:pPr>
            <w:r>
              <w:rPr>
                <w:color w:val="000000"/>
                <w:sz w:val="24"/>
                <w:szCs w:val="24"/>
              </w:rPr>
              <w:t>9</w:t>
            </w:r>
          </w:p>
        </w:tc>
        <w:tc>
          <w:tcPr>
            <w:tcW w:w="1334" w:type="dxa"/>
            <w:vAlign w:val="center"/>
          </w:tcPr>
          <w:p w:rsidR="003E59D0" w:rsidRDefault="00673BC8">
            <w:pPr>
              <w:jc w:val="center"/>
            </w:pPr>
            <w:r>
              <w:rPr>
                <w:color w:val="000000"/>
                <w:sz w:val="24"/>
                <w:szCs w:val="24"/>
              </w:rPr>
              <w:t>600519</w:t>
            </w:r>
          </w:p>
        </w:tc>
        <w:tc>
          <w:tcPr>
            <w:tcW w:w="1777" w:type="dxa"/>
            <w:vAlign w:val="center"/>
          </w:tcPr>
          <w:p w:rsidR="003E59D0" w:rsidRDefault="00673BC8">
            <w:pPr>
              <w:jc w:val="center"/>
            </w:pPr>
            <w:r>
              <w:rPr>
                <w:color w:val="000000"/>
                <w:sz w:val="24"/>
                <w:szCs w:val="24"/>
              </w:rPr>
              <w:t>贵州茅台</w:t>
            </w:r>
          </w:p>
        </w:tc>
        <w:tc>
          <w:tcPr>
            <w:tcW w:w="1334" w:type="dxa"/>
            <w:vAlign w:val="center"/>
          </w:tcPr>
          <w:p w:rsidR="003E59D0" w:rsidRDefault="00673BC8">
            <w:pPr>
              <w:jc w:val="right"/>
            </w:pPr>
            <w:r>
              <w:rPr>
                <w:color w:val="000000"/>
                <w:sz w:val="24"/>
                <w:szCs w:val="24"/>
              </w:rPr>
              <w:t>3,000</w:t>
            </w:r>
          </w:p>
        </w:tc>
        <w:tc>
          <w:tcPr>
            <w:tcW w:w="1924" w:type="dxa"/>
            <w:vAlign w:val="center"/>
          </w:tcPr>
          <w:p w:rsidR="003E59D0" w:rsidRDefault="00673BC8">
            <w:pPr>
              <w:jc w:val="right"/>
            </w:pPr>
            <w:r>
              <w:rPr>
                <w:color w:val="000000"/>
                <w:sz w:val="24"/>
                <w:szCs w:val="24"/>
              </w:rPr>
              <w:t>3,333,000.00</w:t>
            </w:r>
          </w:p>
        </w:tc>
        <w:tc>
          <w:tcPr>
            <w:tcW w:w="1644" w:type="dxa"/>
            <w:vAlign w:val="center"/>
          </w:tcPr>
          <w:p w:rsidR="003E59D0" w:rsidRDefault="00673BC8">
            <w:pPr>
              <w:jc w:val="right"/>
            </w:pPr>
            <w:r>
              <w:rPr>
                <w:color w:val="000000"/>
                <w:sz w:val="24"/>
                <w:szCs w:val="24"/>
              </w:rPr>
              <w:t>0.88</w:t>
            </w:r>
          </w:p>
        </w:tc>
      </w:tr>
      <w:tr w:rsidR="003E59D0">
        <w:trPr>
          <w:jc w:val="center"/>
        </w:trPr>
        <w:tc>
          <w:tcPr>
            <w:tcW w:w="855" w:type="dxa"/>
            <w:vAlign w:val="center"/>
          </w:tcPr>
          <w:p w:rsidR="003E59D0" w:rsidRDefault="00673BC8">
            <w:pPr>
              <w:jc w:val="center"/>
            </w:pPr>
            <w:r>
              <w:rPr>
                <w:color w:val="000000"/>
                <w:sz w:val="24"/>
                <w:szCs w:val="24"/>
              </w:rPr>
              <w:t>10</w:t>
            </w:r>
          </w:p>
        </w:tc>
        <w:tc>
          <w:tcPr>
            <w:tcW w:w="1334" w:type="dxa"/>
            <w:vAlign w:val="center"/>
          </w:tcPr>
          <w:p w:rsidR="003E59D0" w:rsidRDefault="00673BC8">
            <w:pPr>
              <w:jc w:val="center"/>
            </w:pPr>
            <w:r>
              <w:rPr>
                <w:color w:val="000000"/>
                <w:sz w:val="24"/>
                <w:szCs w:val="24"/>
              </w:rPr>
              <w:t>601186</w:t>
            </w:r>
          </w:p>
        </w:tc>
        <w:tc>
          <w:tcPr>
            <w:tcW w:w="1777" w:type="dxa"/>
            <w:vAlign w:val="center"/>
          </w:tcPr>
          <w:p w:rsidR="003E59D0" w:rsidRDefault="00673BC8">
            <w:pPr>
              <w:jc w:val="center"/>
            </w:pPr>
            <w:r>
              <w:rPr>
                <w:color w:val="000000"/>
                <w:sz w:val="24"/>
                <w:szCs w:val="24"/>
              </w:rPr>
              <w:t>中国铁建</w:t>
            </w:r>
          </w:p>
        </w:tc>
        <w:tc>
          <w:tcPr>
            <w:tcW w:w="1334" w:type="dxa"/>
            <w:vAlign w:val="center"/>
          </w:tcPr>
          <w:p w:rsidR="003E59D0" w:rsidRDefault="00673BC8">
            <w:pPr>
              <w:jc w:val="right"/>
            </w:pPr>
            <w:r>
              <w:rPr>
                <w:color w:val="000000"/>
                <w:sz w:val="24"/>
                <w:szCs w:val="24"/>
              </w:rPr>
              <w:t>318,900</w:t>
            </w:r>
          </w:p>
        </w:tc>
        <w:tc>
          <w:tcPr>
            <w:tcW w:w="1924" w:type="dxa"/>
            <w:vAlign w:val="center"/>
          </w:tcPr>
          <w:p w:rsidR="003E59D0" w:rsidRDefault="00673BC8">
            <w:pPr>
              <w:jc w:val="right"/>
            </w:pPr>
            <w:r>
              <w:rPr>
                <w:color w:val="000000"/>
                <w:sz w:val="24"/>
                <w:szCs w:val="24"/>
              </w:rPr>
              <w:t>3,134,787.00</w:t>
            </w:r>
          </w:p>
        </w:tc>
        <w:tc>
          <w:tcPr>
            <w:tcW w:w="1644" w:type="dxa"/>
            <w:vAlign w:val="center"/>
          </w:tcPr>
          <w:p w:rsidR="003E59D0" w:rsidRDefault="00673BC8">
            <w:pPr>
              <w:jc w:val="right"/>
            </w:pPr>
            <w:r>
              <w:rPr>
                <w:color w:val="000000"/>
                <w:sz w:val="24"/>
                <w:szCs w:val="24"/>
              </w:rPr>
              <w:t>0.83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20,098,000.00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20,098,000.00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325,959,000.00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86.23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40,786,000.00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10.79</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4,068.50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386,847,068.50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102.33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E59D0">
        <w:trPr>
          <w:jc w:val="center"/>
        </w:trPr>
        <w:tc>
          <w:tcPr>
            <w:tcW w:w="850" w:type="dxa"/>
            <w:vAlign w:val="center"/>
          </w:tcPr>
          <w:p w:rsidR="003E59D0" w:rsidRDefault="00673BC8">
            <w:pPr>
              <w:jc w:val="center"/>
            </w:pPr>
            <w:r>
              <w:rPr>
                <w:color w:val="000000"/>
                <w:sz w:val="24"/>
                <w:szCs w:val="24"/>
              </w:rPr>
              <w:t>1</w:t>
            </w:r>
          </w:p>
        </w:tc>
        <w:tc>
          <w:tcPr>
            <w:tcW w:w="1475" w:type="dxa"/>
            <w:vAlign w:val="center"/>
          </w:tcPr>
          <w:p w:rsidR="003E59D0" w:rsidRDefault="00673BC8">
            <w:pPr>
              <w:jc w:val="center"/>
            </w:pPr>
            <w:r>
              <w:rPr>
                <w:color w:val="000000"/>
                <w:sz w:val="24"/>
                <w:szCs w:val="24"/>
              </w:rPr>
              <w:t>143662</w:t>
            </w:r>
          </w:p>
        </w:tc>
        <w:tc>
          <w:tcPr>
            <w:tcW w:w="1769" w:type="dxa"/>
            <w:vAlign w:val="center"/>
          </w:tcPr>
          <w:p w:rsidR="003E59D0" w:rsidRDefault="00673BC8">
            <w:pPr>
              <w:jc w:val="center"/>
            </w:pPr>
            <w:r>
              <w:rPr>
                <w:color w:val="000000"/>
                <w:sz w:val="24"/>
                <w:szCs w:val="24"/>
              </w:rPr>
              <w:t>18</w:t>
            </w:r>
            <w:r>
              <w:rPr>
                <w:color w:val="000000"/>
                <w:sz w:val="24"/>
                <w:szCs w:val="24"/>
              </w:rPr>
              <w:t>国电</w:t>
            </w:r>
            <w:r>
              <w:rPr>
                <w:color w:val="000000"/>
                <w:sz w:val="24"/>
                <w:szCs w:val="24"/>
              </w:rPr>
              <w:t>02</w:t>
            </w:r>
          </w:p>
        </w:tc>
        <w:tc>
          <w:tcPr>
            <w:tcW w:w="1387" w:type="dxa"/>
            <w:vAlign w:val="center"/>
          </w:tcPr>
          <w:p w:rsidR="003E59D0" w:rsidRDefault="00673BC8">
            <w:pPr>
              <w:jc w:val="right"/>
            </w:pPr>
            <w:r>
              <w:rPr>
                <w:color w:val="000000"/>
                <w:sz w:val="24"/>
                <w:szCs w:val="24"/>
              </w:rPr>
              <w:t>300,000</w:t>
            </w:r>
          </w:p>
        </w:tc>
        <w:tc>
          <w:tcPr>
            <w:tcW w:w="2150" w:type="dxa"/>
            <w:vAlign w:val="center"/>
          </w:tcPr>
          <w:p w:rsidR="003E59D0" w:rsidRDefault="00673BC8">
            <w:pPr>
              <w:jc w:val="right"/>
            </w:pPr>
            <w:r>
              <w:rPr>
                <w:color w:val="000000"/>
                <w:sz w:val="24"/>
                <w:szCs w:val="24"/>
              </w:rPr>
              <w:t>30,738,000.00</w:t>
            </w:r>
          </w:p>
        </w:tc>
        <w:tc>
          <w:tcPr>
            <w:tcW w:w="1237" w:type="dxa"/>
            <w:vAlign w:val="center"/>
          </w:tcPr>
          <w:p w:rsidR="003E59D0" w:rsidRDefault="00673BC8">
            <w:pPr>
              <w:jc w:val="right"/>
            </w:pPr>
            <w:r>
              <w:rPr>
                <w:color w:val="000000"/>
                <w:sz w:val="24"/>
                <w:szCs w:val="24"/>
              </w:rPr>
              <w:t>8.13</w:t>
            </w:r>
          </w:p>
        </w:tc>
      </w:tr>
      <w:tr w:rsidR="003E59D0">
        <w:trPr>
          <w:jc w:val="center"/>
        </w:trPr>
        <w:tc>
          <w:tcPr>
            <w:tcW w:w="850" w:type="dxa"/>
            <w:vAlign w:val="center"/>
          </w:tcPr>
          <w:p w:rsidR="003E59D0" w:rsidRDefault="00673BC8">
            <w:pPr>
              <w:jc w:val="center"/>
            </w:pPr>
            <w:r>
              <w:rPr>
                <w:color w:val="000000"/>
                <w:sz w:val="24"/>
                <w:szCs w:val="24"/>
              </w:rPr>
              <w:t>2</w:t>
            </w:r>
          </w:p>
        </w:tc>
        <w:tc>
          <w:tcPr>
            <w:tcW w:w="1475" w:type="dxa"/>
            <w:vAlign w:val="center"/>
          </w:tcPr>
          <w:p w:rsidR="003E59D0" w:rsidRDefault="00673BC8">
            <w:pPr>
              <w:jc w:val="center"/>
            </w:pPr>
            <w:r>
              <w:rPr>
                <w:color w:val="000000"/>
                <w:sz w:val="24"/>
                <w:szCs w:val="24"/>
              </w:rPr>
              <w:t>143793</w:t>
            </w:r>
          </w:p>
        </w:tc>
        <w:tc>
          <w:tcPr>
            <w:tcW w:w="1769" w:type="dxa"/>
            <w:vAlign w:val="center"/>
          </w:tcPr>
          <w:p w:rsidR="003E59D0" w:rsidRDefault="00673BC8">
            <w:pPr>
              <w:jc w:val="center"/>
            </w:pPr>
            <w:r>
              <w:rPr>
                <w:color w:val="000000"/>
                <w:sz w:val="24"/>
                <w:szCs w:val="24"/>
              </w:rPr>
              <w:t>18</w:t>
            </w:r>
            <w:r>
              <w:rPr>
                <w:color w:val="000000"/>
                <w:sz w:val="24"/>
                <w:szCs w:val="24"/>
              </w:rPr>
              <w:t>深航</w:t>
            </w:r>
            <w:r>
              <w:rPr>
                <w:color w:val="000000"/>
                <w:sz w:val="24"/>
                <w:szCs w:val="24"/>
              </w:rPr>
              <w:t>06</w:t>
            </w:r>
          </w:p>
        </w:tc>
        <w:tc>
          <w:tcPr>
            <w:tcW w:w="1387" w:type="dxa"/>
            <w:vAlign w:val="center"/>
          </w:tcPr>
          <w:p w:rsidR="003E59D0" w:rsidRDefault="00673BC8">
            <w:pPr>
              <w:jc w:val="right"/>
            </w:pPr>
            <w:r>
              <w:rPr>
                <w:color w:val="000000"/>
                <w:sz w:val="24"/>
                <w:szCs w:val="24"/>
              </w:rPr>
              <w:t>300,000</w:t>
            </w:r>
          </w:p>
        </w:tc>
        <w:tc>
          <w:tcPr>
            <w:tcW w:w="2150" w:type="dxa"/>
            <w:vAlign w:val="center"/>
          </w:tcPr>
          <w:p w:rsidR="003E59D0" w:rsidRDefault="00673BC8">
            <w:pPr>
              <w:jc w:val="right"/>
            </w:pPr>
            <w:r>
              <w:rPr>
                <w:color w:val="000000"/>
                <w:sz w:val="24"/>
                <w:szCs w:val="24"/>
              </w:rPr>
              <w:t>30,696,000.00</w:t>
            </w:r>
          </w:p>
        </w:tc>
        <w:tc>
          <w:tcPr>
            <w:tcW w:w="1237" w:type="dxa"/>
            <w:vAlign w:val="center"/>
          </w:tcPr>
          <w:p w:rsidR="003E59D0" w:rsidRDefault="00673BC8">
            <w:pPr>
              <w:jc w:val="right"/>
            </w:pPr>
            <w:r>
              <w:rPr>
                <w:color w:val="000000"/>
                <w:sz w:val="24"/>
                <w:szCs w:val="24"/>
              </w:rPr>
              <w:t>8.12</w:t>
            </w:r>
          </w:p>
        </w:tc>
      </w:tr>
      <w:tr w:rsidR="003E59D0">
        <w:trPr>
          <w:jc w:val="center"/>
        </w:trPr>
        <w:tc>
          <w:tcPr>
            <w:tcW w:w="850" w:type="dxa"/>
            <w:vAlign w:val="center"/>
          </w:tcPr>
          <w:p w:rsidR="003E59D0" w:rsidRDefault="00673BC8">
            <w:pPr>
              <w:jc w:val="center"/>
            </w:pPr>
            <w:r>
              <w:rPr>
                <w:color w:val="000000"/>
                <w:sz w:val="24"/>
                <w:szCs w:val="24"/>
              </w:rPr>
              <w:t>3</w:t>
            </w:r>
          </w:p>
        </w:tc>
        <w:tc>
          <w:tcPr>
            <w:tcW w:w="1475" w:type="dxa"/>
            <w:vAlign w:val="center"/>
          </w:tcPr>
          <w:p w:rsidR="003E59D0" w:rsidRDefault="00673BC8">
            <w:pPr>
              <w:jc w:val="center"/>
            </w:pPr>
            <w:r>
              <w:rPr>
                <w:color w:val="000000"/>
                <w:sz w:val="24"/>
                <w:szCs w:val="24"/>
              </w:rPr>
              <w:t>155025</w:t>
            </w:r>
          </w:p>
        </w:tc>
        <w:tc>
          <w:tcPr>
            <w:tcW w:w="1769" w:type="dxa"/>
            <w:vAlign w:val="center"/>
          </w:tcPr>
          <w:p w:rsidR="003E59D0" w:rsidRDefault="00673BC8">
            <w:pPr>
              <w:jc w:val="center"/>
            </w:pPr>
            <w:r>
              <w:rPr>
                <w:color w:val="000000"/>
                <w:sz w:val="24"/>
                <w:szCs w:val="24"/>
              </w:rPr>
              <w:t>18</w:t>
            </w:r>
            <w:r>
              <w:rPr>
                <w:color w:val="000000"/>
                <w:sz w:val="24"/>
                <w:szCs w:val="24"/>
              </w:rPr>
              <w:t>光大</w:t>
            </w:r>
            <w:r>
              <w:rPr>
                <w:color w:val="000000"/>
                <w:sz w:val="24"/>
                <w:szCs w:val="24"/>
              </w:rPr>
              <w:t>01</w:t>
            </w:r>
          </w:p>
        </w:tc>
        <w:tc>
          <w:tcPr>
            <w:tcW w:w="1387" w:type="dxa"/>
            <w:vAlign w:val="center"/>
          </w:tcPr>
          <w:p w:rsidR="003E59D0" w:rsidRDefault="00673BC8">
            <w:pPr>
              <w:jc w:val="right"/>
            </w:pPr>
            <w:r>
              <w:rPr>
                <w:color w:val="000000"/>
                <w:sz w:val="24"/>
                <w:szCs w:val="24"/>
              </w:rPr>
              <w:t>300,000</w:t>
            </w:r>
          </w:p>
        </w:tc>
        <w:tc>
          <w:tcPr>
            <w:tcW w:w="2150" w:type="dxa"/>
            <w:vAlign w:val="center"/>
          </w:tcPr>
          <w:p w:rsidR="003E59D0" w:rsidRDefault="00673BC8">
            <w:pPr>
              <w:jc w:val="right"/>
            </w:pPr>
            <w:r>
              <w:rPr>
                <w:color w:val="000000"/>
                <w:sz w:val="24"/>
                <w:szCs w:val="24"/>
              </w:rPr>
              <w:t>30,621,000.00</w:t>
            </w:r>
          </w:p>
        </w:tc>
        <w:tc>
          <w:tcPr>
            <w:tcW w:w="1237" w:type="dxa"/>
            <w:vAlign w:val="center"/>
          </w:tcPr>
          <w:p w:rsidR="003E59D0" w:rsidRDefault="00673BC8">
            <w:pPr>
              <w:jc w:val="right"/>
            </w:pPr>
            <w:r>
              <w:rPr>
                <w:color w:val="000000"/>
                <w:sz w:val="24"/>
                <w:szCs w:val="24"/>
              </w:rPr>
              <w:t>8.10</w:t>
            </w:r>
          </w:p>
        </w:tc>
      </w:tr>
      <w:tr w:rsidR="003E59D0">
        <w:trPr>
          <w:jc w:val="center"/>
        </w:trPr>
        <w:tc>
          <w:tcPr>
            <w:tcW w:w="850" w:type="dxa"/>
            <w:vAlign w:val="center"/>
          </w:tcPr>
          <w:p w:rsidR="003E59D0" w:rsidRDefault="00673BC8">
            <w:pPr>
              <w:jc w:val="center"/>
            </w:pPr>
            <w:r>
              <w:rPr>
                <w:color w:val="000000"/>
                <w:sz w:val="24"/>
                <w:szCs w:val="24"/>
              </w:rPr>
              <w:t>4</w:t>
            </w:r>
          </w:p>
        </w:tc>
        <w:tc>
          <w:tcPr>
            <w:tcW w:w="1475" w:type="dxa"/>
            <w:vAlign w:val="center"/>
          </w:tcPr>
          <w:p w:rsidR="003E59D0" w:rsidRDefault="00673BC8">
            <w:pPr>
              <w:jc w:val="center"/>
            </w:pPr>
            <w:r>
              <w:rPr>
                <w:color w:val="000000"/>
                <w:sz w:val="24"/>
                <w:szCs w:val="24"/>
              </w:rPr>
              <w:t>112802</w:t>
            </w:r>
          </w:p>
        </w:tc>
        <w:tc>
          <w:tcPr>
            <w:tcW w:w="1769" w:type="dxa"/>
            <w:vAlign w:val="center"/>
          </w:tcPr>
          <w:p w:rsidR="003E59D0" w:rsidRDefault="00673BC8">
            <w:pPr>
              <w:jc w:val="center"/>
            </w:pPr>
            <w:r>
              <w:rPr>
                <w:color w:val="000000"/>
                <w:sz w:val="24"/>
                <w:szCs w:val="24"/>
              </w:rPr>
              <w:t>18</w:t>
            </w:r>
            <w:r>
              <w:rPr>
                <w:color w:val="000000"/>
                <w:sz w:val="24"/>
                <w:szCs w:val="24"/>
              </w:rPr>
              <w:t>电科</w:t>
            </w:r>
            <w:r>
              <w:rPr>
                <w:color w:val="000000"/>
                <w:sz w:val="24"/>
                <w:szCs w:val="24"/>
              </w:rPr>
              <w:t>02</w:t>
            </w:r>
          </w:p>
        </w:tc>
        <w:tc>
          <w:tcPr>
            <w:tcW w:w="1387" w:type="dxa"/>
            <w:vAlign w:val="center"/>
          </w:tcPr>
          <w:p w:rsidR="003E59D0" w:rsidRDefault="00673BC8">
            <w:pPr>
              <w:jc w:val="right"/>
            </w:pPr>
            <w:r>
              <w:rPr>
                <w:color w:val="000000"/>
                <w:sz w:val="24"/>
                <w:szCs w:val="24"/>
              </w:rPr>
              <w:t>300,000</w:t>
            </w:r>
          </w:p>
        </w:tc>
        <w:tc>
          <w:tcPr>
            <w:tcW w:w="2150" w:type="dxa"/>
            <w:vAlign w:val="center"/>
          </w:tcPr>
          <w:p w:rsidR="003E59D0" w:rsidRDefault="00673BC8">
            <w:pPr>
              <w:jc w:val="right"/>
            </w:pPr>
            <w:r>
              <w:rPr>
                <w:color w:val="000000"/>
                <w:sz w:val="24"/>
                <w:szCs w:val="24"/>
              </w:rPr>
              <w:t>30,597,000.00</w:t>
            </w:r>
          </w:p>
        </w:tc>
        <w:tc>
          <w:tcPr>
            <w:tcW w:w="1237" w:type="dxa"/>
            <w:vAlign w:val="center"/>
          </w:tcPr>
          <w:p w:rsidR="003E59D0" w:rsidRDefault="00673BC8">
            <w:pPr>
              <w:jc w:val="right"/>
            </w:pPr>
            <w:r>
              <w:rPr>
                <w:color w:val="000000"/>
                <w:sz w:val="24"/>
                <w:szCs w:val="24"/>
              </w:rPr>
              <w:t>8.09</w:t>
            </w:r>
          </w:p>
        </w:tc>
      </w:tr>
      <w:tr w:rsidR="003E59D0">
        <w:trPr>
          <w:jc w:val="center"/>
        </w:trPr>
        <w:tc>
          <w:tcPr>
            <w:tcW w:w="850" w:type="dxa"/>
            <w:vAlign w:val="center"/>
          </w:tcPr>
          <w:p w:rsidR="003E59D0" w:rsidRDefault="00673BC8">
            <w:pPr>
              <w:jc w:val="center"/>
            </w:pPr>
            <w:r>
              <w:rPr>
                <w:color w:val="000000"/>
                <w:sz w:val="24"/>
                <w:szCs w:val="24"/>
              </w:rPr>
              <w:t>5</w:t>
            </w:r>
          </w:p>
        </w:tc>
        <w:tc>
          <w:tcPr>
            <w:tcW w:w="1475" w:type="dxa"/>
            <w:vAlign w:val="center"/>
          </w:tcPr>
          <w:p w:rsidR="003E59D0" w:rsidRDefault="00673BC8">
            <w:pPr>
              <w:jc w:val="center"/>
            </w:pPr>
            <w:r>
              <w:rPr>
                <w:color w:val="000000"/>
                <w:sz w:val="24"/>
                <w:szCs w:val="24"/>
              </w:rPr>
              <w:t>136479</w:t>
            </w:r>
          </w:p>
        </w:tc>
        <w:tc>
          <w:tcPr>
            <w:tcW w:w="1769" w:type="dxa"/>
            <w:vAlign w:val="center"/>
          </w:tcPr>
          <w:p w:rsidR="003E59D0" w:rsidRDefault="00673BC8">
            <w:pPr>
              <w:jc w:val="center"/>
            </w:pPr>
            <w:r>
              <w:rPr>
                <w:color w:val="000000"/>
                <w:sz w:val="24"/>
                <w:szCs w:val="24"/>
              </w:rPr>
              <w:t>16</w:t>
            </w:r>
            <w:r>
              <w:rPr>
                <w:color w:val="000000"/>
                <w:sz w:val="24"/>
                <w:szCs w:val="24"/>
              </w:rPr>
              <w:t>华能</w:t>
            </w:r>
            <w:r>
              <w:rPr>
                <w:color w:val="000000"/>
                <w:sz w:val="24"/>
                <w:szCs w:val="24"/>
              </w:rPr>
              <w:t>01</w:t>
            </w:r>
          </w:p>
        </w:tc>
        <w:tc>
          <w:tcPr>
            <w:tcW w:w="1387" w:type="dxa"/>
            <w:vAlign w:val="center"/>
          </w:tcPr>
          <w:p w:rsidR="003E59D0" w:rsidRDefault="00673BC8">
            <w:pPr>
              <w:jc w:val="right"/>
            </w:pPr>
            <w:r>
              <w:rPr>
                <w:color w:val="000000"/>
                <w:sz w:val="24"/>
                <w:szCs w:val="24"/>
              </w:rPr>
              <w:t>300,000</w:t>
            </w:r>
          </w:p>
        </w:tc>
        <w:tc>
          <w:tcPr>
            <w:tcW w:w="2150" w:type="dxa"/>
            <w:vAlign w:val="center"/>
          </w:tcPr>
          <w:p w:rsidR="003E59D0" w:rsidRDefault="00673BC8">
            <w:pPr>
              <w:jc w:val="right"/>
            </w:pPr>
            <w:r>
              <w:rPr>
                <w:color w:val="000000"/>
                <w:sz w:val="24"/>
                <w:szCs w:val="24"/>
              </w:rPr>
              <w:t>30,333,000.00</w:t>
            </w:r>
          </w:p>
        </w:tc>
        <w:tc>
          <w:tcPr>
            <w:tcW w:w="1237" w:type="dxa"/>
            <w:vAlign w:val="center"/>
          </w:tcPr>
          <w:p w:rsidR="003E59D0" w:rsidRDefault="00673BC8">
            <w:pPr>
              <w:jc w:val="right"/>
            </w:pPr>
            <w:r>
              <w:rPr>
                <w:color w:val="000000"/>
                <w:sz w:val="24"/>
                <w:szCs w:val="24"/>
              </w:rPr>
              <w:t>8.02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9357CC" w:rsidRPr="00414345" w:rsidRDefault="009357CC"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7,154.03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6,591,145.73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6,598,299.76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9357CC" w:rsidRPr="00414345" w:rsidRDefault="009357CC"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9357CC" w:rsidRPr="00414345" w:rsidRDefault="009357CC" w:rsidP="00C15CAC">
      <w:pPr>
        <w:autoSpaceDE w:val="0"/>
        <w:autoSpaceDN w:val="0"/>
        <w:adjustRightInd w:val="0"/>
        <w:spacing w:before="29" w:line="288" w:lineRule="auto"/>
        <w:jc w:val="left"/>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300,139,734.62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176,956.35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4,013.85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300,312,677.12</w:t>
            </w:r>
          </w:p>
        </w:tc>
      </w:tr>
    </w:tbl>
    <w:p w:rsidR="003E59D0" w:rsidRDefault="00673BC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9357CC">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E59D0">
        <w:tc>
          <w:tcPr>
            <w:tcW w:w="993" w:type="dxa"/>
            <w:vMerge w:val="restart"/>
          </w:tcPr>
          <w:p w:rsidR="003E59D0" w:rsidRDefault="003E59D0"/>
          <w:p w:rsidR="003E59D0" w:rsidRDefault="00673BC8">
            <w:r>
              <w:rPr>
                <w:rFonts w:ascii="宋体" w:hAnsi="宋体" w:hint="eastAsia"/>
                <w:bCs/>
                <w:color w:val="000000"/>
                <w:kern w:val="0"/>
              </w:rPr>
              <w:t>机构</w:t>
            </w:r>
          </w:p>
        </w:tc>
        <w:tc>
          <w:tcPr>
            <w:tcW w:w="992" w:type="dxa"/>
            <w:vAlign w:val="center"/>
          </w:tcPr>
          <w:p w:rsidR="003E59D0" w:rsidRDefault="00673BC8">
            <w:pPr>
              <w:jc w:val="center"/>
            </w:pPr>
            <w:r>
              <w:rPr>
                <w:rFonts w:ascii="宋体" w:hAnsi="宋体"/>
                <w:color w:val="000000"/>
                <w:kern w:val="0"/>
              </w:rPr>
              <w:t>1</w:t>
            </w:r>
          </w:p>
        </w:tc>
        <w:tc>
          <w:tcPr>
            <w:tcW w:w="1843" w:type="dxa"/>
            <w:vAlign w:val="center"/>
          </w:tcPr>
          <w:p w:rsidR="003E59D0" w:rsidRDefault="00673BC8">
            <w:pPr>
              <w:jc w:val="center"/>
            </w:pPr>
            <w:r>
              <w:rPr>
                <w:rFonts w:ascii="宋体" w:hAnsi="宋体"/>
                <w:color w:val="000000"/>
                <w:kern w:val="0"/>
              </w:rPr>
              <w:t>2020/1/1-2020/3/31</w:t>
            </w:r>
          </w:p>
        </w:tc>
        <w:tc>
          <w:tcPr>
            <w:tcW w:w="851" w:type="dxa"/>
            <w:vAlign w:val="center"/>
          </w:tcPr>
          <w:p w:rsidR="003E59D0" w:rsidRDefault="00673BC8">
            <w:pPr>
              <w:jc w:val="center"/>
            </w:pPr>
            <w:r>
              <w:rPr>
                <w:rFonts w:ascii="宋体" w:hAnsi="宋体"/>
                <w:color w:val="000000"/>
                <w:kern w:val="0"/>
              </w:rPr>
              <w:t>299,999,000.00</w:t>
            </w:r>
          </w:p>
        </w:tc>
        <w:tc>
          <w:tcPr>
            <w:tcW w:w="850" w:type="dxa"/>
            <w:vAlign w:val="center"/>
          </w:tcPr>
          <w:p w:rsidR="003E59D0" w:rsidRDefault="00673BC8">
            <w:pPr>
              <w:jc w:val="center"/>
            </w:pPr>
            <w:r>
              <w:rPr>
                <w:rFonts w:ascii="宋体" w:hAnsi="宋体"/>
                <w:color w:val="000000"/>
                <w:kern w:val="0"/>
              </w:rPr>
              <w:t>-</w:t>
            </w:r>
          </w:p>
        </w:tc>
        <w:tc>
          <w:tcPr>
            <w:tcW w:w="1134" w:type="dxa"/>
            <w:vAlign w:val="center"/>
          </w:tcPr>
          <w:p w:rsidR="003E59D0" w:rsidRDefault="00673BC8">
            <w:pPr>
              <w:jc w:val="center"/>
            </w:pPr>
            <w:r>
              <w:rPr>
                <w:rFonts w:ascii="宋体" w:hAnsi="宋体"/>
                <w:color w:val="000000"/>
                <w:kern w:val="0"/>
              </w:rPr>
              <w:t>-</w:t>
            </w:r>
          </w:p>
        </w:tc>
        <w:tc>
          <w:tcPr>
            <w:tcW w:w="1419" w:type="dxa"/>
            <w:vAlign w:val="center"/>
          </w:tcPr>
          <w:p w:rsidR="003E59D0" w:rsidRDefault="00673BC8">
            <w:pPr>
              <w:jc w:val="center"/>
            </w:pPr>
            <w:r>
              <w:rPr>
                <w:rFonts w:ascii="宋体" w:hAnsi="宋体"/>
                <w:color w:val="000000"/>
                <w:kern w:val="0"/>
              </w:rPr>
              <w:t>299,999,000.00</w:t>
            </w:r>
          </w:p>
        </w:tc>
        <w:tc>
          <w:tcPr>
            <w:tcW w:w="1130" w:type="dxa"/>
            <w:vAlign w:val="center"/>
          </w:tcPr>
          <w:p w:rsidR="003E59D0" w:rsidRDefault="00673BC8">
            <w:pPr>
              <w:jc w:val="center"/>
            </w:pPr>
            <w:r>
              <w:rPr>
                <w:rFonts w:ascii="宋体" w:hAnsi="宋体"/>
                <w:color w:val="000000"/>
                <w:kern w:val="0"/>
              </w:rPr>
              <w:t>99.90%</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57CC" w:rsidRPr="00414345" w:rsidRDefault="009357CC" w:rsidP="009357C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E59D0" w:rsidRDefault="00673BC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、中国证监会准予交银施罗德瑞鑫定期开放灵活配置混合型证券投资基金募集注册的文件；</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、《交银施罗德瑞鑫定期开放灵活配置混合型证券投资基金基金合同》；</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、《交银施罗德瑞鑫定期开放灵活配置混合型证券投资基金招募说明书》；</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、《交银施罗德瑞鑫定期开放灵活配置混合型证券投资基金托管协议》；</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、关于申请募集注册交银施罗德瑞鑫定期开放灵活配置混合型证券投资基金的法律意见书；</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E59D0" w:rsidRDefault="00673BC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、报告期内交银施罗德瑞鑫定期开放灵活配置混合型证券投资基金在指定报刊上</w:t>
      </w:r>
      <w:r w:rsidRPr="00414345">
        <w:rPr>
          <w:color w:val="000000"/>
          <w:sz w:val="24"/>
          <w:szCs w:val="24"/>
        </w:rPr>
        <w:lastRenderedPageBreak/>
        <w:t>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E59D0" w:rsidRDefault="00673BC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04D" w:rsidRDefault="00A4504D" w:rsidP="00876D65">
      <w:r>
        <w:separator/>
      </w:r>
    </w:p>
  </w:endnote>
  <w:endnote w:type="continuationSeparator" w:id="0">
    <w:p w:rsidR="00A4504D" w:rsidRDefault="00A4504D"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2F74C5">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2F74C5">
      <w:rPr>
        <w:noProof/>
        <w:kern w:val="0"/>
        <w:szCs w:val="21"/>
      </w:rPr>
      <w:t>15</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04D" w:rsidRDefault="00A4504D" w:rsidP="00876D65">
      <w:r>
        <w:separator/>
      </w:r>
    </w:p>
  </w:footnote>
  <w:footnote w:type="continuationSeparator" w:id="0">
    <w:p w:rsidR="00A4504D" w:rsidRDefault="00A4504D"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交银施罗德瑞鑫定期开放灵活配置混合型证券投资基金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3C5E"/>
    <w:rsid w:val="00295CD0"/>
    <w:rsid w:val="002973A9"/>
    <w:rsid w:val="002B1D1A"/>
    <w:rsid w:val="002C2834"/>
    <w:rsid w:val="002C3C7A"/>
    <w:rsid w:val="002C5F95"/>
    <w:rsid w:val="002C657A"/>
    <w:rsid w:val="002D48DF"/>
    <w:rsid w:val="002D6872"/>
    <w:rsid w:val="002D6FB6"/>
    <w:rsid w:val="002E3B09"/>
    <w:rsid w:val="002E52B3"/>
    <w:rsid w:val="002F74C5"/>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59D0"/>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669"/>
    <w:rsid w:val="00660D4B"/>
    <w:rsid w:val="00664ECC"/>
    <w:rsid w:val="00670547"/>
    <w:rsid w:val="00670989"/>
    <w:rsid w:val="00672A26"/>
    <w:rsid w:val="00673BC8"/>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357CC"/>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04D"/>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B551F-3000-4D6A-A000-0DED8B972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1838</TotalTime>
  <Pages>15</Pages>
  <Words>1310</Words>
  <Characters>7469</Characters>
  <Application>Microsoft Office Word</Application>
  <DocSecurity>0</DocSecurity>
  <Lines>62</Lines>
  <Paragraphs>17</Paragraphs>
  <ScaleCrop>false</ScaleCrop>
  <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603</cp:revision>
  <dcterms:created xsi:type="dcterms:W3CDTF">2012-10-16T06:07:00Z</dcterms:created>
  <dcterms:modified xsi:type="dcterms:W3CDTF">2020-04-16T06:10:00Z</dcterms:modified>
</cp:coreProperties>
</file>