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FC7F43" w:rsidRDefault="00FC7F4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2D2A00" w:rsidRPr="005858C2">
      <w:pPr>
        <w:spacing w:before="29" w:line="288" w:lineRule="auto"/>
        <w:jc w:val="center"/>
        <w:rPr>
          <w:rFonts w:eastAsiaTheme="minorEastAsia"/>
          <w:b/>
          <w:sz w:val="36"/>
          <w:szCs w:val="36"/>
        </w:rPr>
      </w:pPr>
      <w:r w:rsidRPr="005858C2">
        <w:rPr>
          <w:rFonts w:eastAsiaTheme="minorEastAsia"/>
          <w:b/>
          <w:sz w:val="36"/>
          <w:szCs w:val="36"/>
        </w:rPr>
        <w:t>交银施罗德增利增强债券型证券投资基金</w:t>
      </w:r>
    </w:p>
    <w:p w:rsidP="007C14DF" w:rsidR="002D2A00" w:rsidRDefault="002D2A00" w:rsidRPr="005858C2">
      <w:pPr>
        <w:spacing w:before="29" w:line="288" w:lineRule="auto"/>
        <w:jc w:val="center"/>
        <w:rPr>
          <w:rFonts w:eastAsiaTheme="minorEastAsia"/>
          <w:b/>
          <w:sz w:val="36"/>
          <w:szCs w:val="36"/>
        </w:rPr>
      </w:pPr>
      <w:r w:rsidRPr="005858C2">
        <w:rPr>
          <w:rFonts w:eastAsiaTheme="minorEastAsia"/>
          <w:b/>
          <w:sz w:val="36"/>
          <w:szCs w:val="36"/>
        </w:rPr>
        <w:t>2020年第1季度报告</w:t>
      </w:r>
    </w:p>
    <w:p w:rsidP="007C14DF" w:rsidR="009A2283" w:rsidRDefault="00577209" w:rsidRPr="005858C2">
      <w:pPr>
        <w:spacing w:before="29" w:line="288" w:lineRule="auto"/>
        <w:jc w:val="center"/>
        <w:rPr>
          <w:b/>
          <w:sz w:val="36"/>
          <w:szCs w:val="36"/>
        </w:rPr>
      </w:pPr>
      <w:r w:rsidRPr="005858C2">
        <w:rPr>
          <w:b/>
          <w:sz w:val="36"/>
          <w:szCs w:val="36"/>
        </w:rPr>
        <w:t/>
      </w:r>
      <w:r w:rsidR="00121533" w:rsidRPr="005858C2">
        <w:rPr>
          <w:b/>
          <w:sz w:val="36"/>
          <w:szCs w:val="36"/>
        </w:rPr>
        <w:t>2020年3月31日</w:t>
      </w: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657487">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E27360" w:rsidRDefault="00E27360"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rPr>
          <w:color w:val="000000"/>
          <w:sz w:val="24"/>
        </w:rPr>
      </w:pPr>
    </w:p>
    <w:p w:rsidP="007C14DF" w:rsidR="00BD1A02" w:rsidRDefault="009A2283" w:rsidRPr="005858C2">
      <w:pPr>
        <w:spacing w:before="29" w:line="288" w:lineRule="auto"/>
        <w:ind w:firstLine="2168" w:firstLineChars="900"/>
        <w:rPr>
          <w:b/>
          <w:color w:val="000000"/>
          <w:sz w:val="24"/>
        </w:rPr>
      </w:pPr>
      <w:r w:rsidRPr="005858C2">
        <w:rPr>
          <w:b/>
          <w:color w:val="000000"/>
          <w:sz w:val="24"/>
        </w:rPr>
        <w:t>基金管理人：</w:t>
      </w:r>
      <w:r w:rsidR="00BF377F" w:rsidRPr="005858C2">
        <w:rPr>
          <w:b/>
          <w:color w:val="000000"/>
          <w:sz w:val="24"/>
        </w:rPr>
        <w:t>交银施罗德基金管理有限公司</w:t>
      </w:r>
    </w:p>
    <w:p w:rsidP="007C14DF" w:rsidR="00BD1A02" w:rsidRDefault="009A2283" w:rsidRPr="005858C2">
      <w:pPr>
        <w:spacing w:before="29" w:line="288" w:lineRule="auto"/>
        <w:ind w:firstLine="2168" w:firstLineChars="900"/>
        <w:rPr>
          <w:b/>
          <w:color w:val="000000"/>
          <w:sz w:val="24"/>
        </w:rPr>
      </w:pPr>
      <w:r w:rsidRPr="005858C2">
        <w:rPr>
          <w:b/>
          <w:color w:val="000000"/>
          <w:sz w:val="24"/>
        </w:rPr>
        <w:t>基金托管人：</w:t>
      </w:r>
      <w:r w:rsidR="00BF377F" w:rsidRPr="005858C2">
        <w:rPr>
          <w:b/>
          <w:color w:val="000000"/>
          <w:sz w:val="24"/>
        </w:rPr>
        <w:t>中国建设银行股份有限公司</w:t>
      </w:r>
    </w:p>
    <w:p w:rsidP="007C14DF" w:rsidR="009A2283" w:rsidRDefault="009A2283" w:rsidRPr="005858C2">
      <w:pPr>
        <w:spacing w:before="29" w:line="288" w:lineRule="auto"/>
        <w:ind w:firstLine="2168" w:firstLineChars="900"/>
        <w:rPr>
          <w:b/>
          <w:sz w:val="24"/>
        </w:rPr>
        <w:sectPr w:rsidR="009A2283" w:rsidRPr="005858C2" w:rsidSect="00D3445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5858C2">
        <w:rPr>
          <w:b/>
          <w:color w:val="000000"/>
          <w:sz w:val="24"/>
        </w:rPr>
        <w:t>报告送出日期：</w:t>
      </w:r>
      <w:r w:rsidR="00D04410" w:rsidRPr="005858C2">
        <w:rPr>
          <w:b/>
          <w:color w:val="000000"/>
          <w:sz w:val="24"/>
        </w:rPr>
        <w:t>二〇二〇年四月二十二日</w:t>
      </w:r>
    </w:p>
    <w:p w:rsidP="000A2988" w:rsidR="009238DB" w:rsidRDefault="009238DB" w:rsidRPr="007F52FA">
      <w:pPr>
        <w:pStyle w:val="1"/>
        <w:spacing w:after="312" w:afterLines="100" w:before="312" w:beforeLines="100"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基金托管人中国建设银行股份有限公司根据本基金合同规定，于2020年4月21日复核了本报告中的财务指标、净值表现和投资组合报告等内容，保证复核内容不存在虚假记载、误导性陈述或者重大遗漏。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基金管理人承诺以诚实信用、勤勉尽责的原则管理和运用基金资产，但不保证基金一定盈利。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基金的过往业绩并不代表其未来表现。投资有风险，投资者在作出投资决策前应仔细阅读本基金的招募说明书。 </w:t>
      </w:r>
    </w:p>
    <w:p>
      <w:pPr>
        <w:spacing w:before="29" w:line="288" w:lineRule="auto"/>
        <w:ind w:firstLine="480" w:firstLineChars="200"/>
        <w:rPr>
          <w:rFonts w:eastAsiaTheme="minorEastAsia"/>
          <w:color w:val="000000"/>
          <w:sz w:val="24"/>
        </w:rPr>
      </w:pPr>
      <w:r>
        <w:rPr>
          <w:rFonts w:eastAsiaTheme="minorEastAsia"/>
          <w:color w:val="000000"/>
          <w:sz w:val="24"/>
        </w:rPr>
        <w:t>本报告中财务资料未经审计。</w:t>
      </w:r>
    </w:p>
    <w:p w:rsidP="007C14DF" w:rsidR="009238DB" w:rsidRDefault="00267DA9"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本报告期自2020年1月1日起至3月31日止。</w:t>
      </w:r>
    </w:p>
    <w:p w:rsidP="007C14DF" w:rsidR="00740635" w:rsidRDefault="00740635" w:rsidRPr="007F52FA">
      <w:pPr>
        <w:spacing w:before="29" w:line="288" w:lineRule="auto"/>
        <w:ind w:firstLine="480" w:firstLineChars="200"/>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type="dxa" w:w="8993"/>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3048"/>
      </w:tblGrid>
      <w:tr w:rsidR="00A6200E" w:rsidRPr="007F52FA" w:rsidTr="009416C9">
        <w:trPr>
          <w:jc w:val="center"/>
        </w:trPr>
        <w:tc>
          <w:tcPr>
            <w:tcW w:type="dxa" w:w="3023"/>
            <w:vAlign w:val="center"/>
          </w:tcPr>
          <w:p w:rsidP="007C14DF" w:rsidR="00A6200E" w:rsidRDefault="00A6200E" w:rsidRPr="007F52FA">
            <w:pPr>
              <w:adjustRightInd w:val="0"/>
              <w:spacing w:before="29" w:line="288" w:lineRule="auto"/>
              <w:ind w:left="17"/>
              <w:jc w:val="left"/>
              <w:rPr>
                <w:kern w:val="0"/>
                <w:sz w:val="24"/>
              </w:rPr>
            </w:pPr>
            <w:r w:rsidRPr="007F52FA">
              <w:rPr>
                <w:kern w:val="0"/>
                <w:sz w:val="24"/>
              </w:rPr>
              <w:t>基金简称</w:t>
            </w:r>
          </w:p>
        </w:tc>
        <w:tc>
          <w:tcPr>
            <w:tcW w:type="dxa" w:w="5970"/>
            <w:gridSpan w:val="2"/>
            <w:vAlign w:val="center"/>
          </w:tcPr>
          <w:p w:rsidP="007C14DF" w:rsidR="00A6200E" w:rsidRDefault="00A6200E" w:rsidRPr="007F52FA">
            <w:pPr>
              <w:adjustRightInd w:val="0"/>
              <w:spacing w:before="29" w:line="288" w:lineRule="auto"/>
              <w:ind w:left="17"/>
              <w:jc w:val="left"/>
              <w:rPr>
                <w:color w:val="000000"/>
                <w:kern w:val="0"/>
                <w:sz w:val="24"/>
              </w:rPr>
            </w:pPr>
            <w:r w:rsidRPr="007F52FA">
              <w:rPr>
                <w:color w:val="000000"/>
                <w:kern w:val="0"/>
                <w:sz w:val="24"/>
              </w:rPr>
              <w:t>交银增利增强债券</w:t>
            </w:r>
          </w:p>
        </w:tc>
      </w:tr>
      <w:tr w:rsidR="00B95753" w:rsidRPr="007F52FA" w:rsidTr="009416C9">
        <w:trPr>
          <w:jc w:val="center"/>
        </w:trPr>
        <w:tc>
          <w:tcPr>
            <w:tcW w:type="dxa" w:w="3023"/>
            <w:vAlign w:val="center"/>
          </w:tcPr>
          <w:p w:rsidP="007C14DF" w:rsidR="00B95753" w:rsidRDefault="00B95753" w:rsidRPr="007F52FA">
            <w:pPr>
              <w:adjustRightInd w:val="0"/>
              <w:spacing w:before="29" w:line="288" w:lineRule="auto"/>
              <w:ind w:left="17"/>
              <w:jc w:val="left"/>
              <w:rPr>
                <w:kern w:val="0"/>
                <w:sz w:val="24"/>
              </w:rPr>
            </w:pPr>
            <w:r w:rsidRPr="007F52FA">
              <w:rPr>
                <w:kern w:val="0"/>
                <w:sz w:val="24"/>
              </w:rPr>
              <w:t>基金主代码</w:t>
            </w:r>
          </w:p>
        </w:tc>
        <w:tc>
          <w:tcPr>
            <w:tcW w:type="dxa" w:w="5970"/>
            <w:gridSpan w:val="2"/>
            <w:tcBorders>
              <w:bottom w:color="auto" w:space="0" w:sz="4" w:val="single"/>
            </w:tcBorders>
            <w:vAlign w:val="center"/>
          </w:tcPr>
          <w:p w:rsidP="007C14DF" w:rsidR="00B95753" w:rsidRDefault="00B95753" w:rsidRPr="007F52FA">
            <w:pPr>
              <w:adjustRightInd w:val="0"/>
              <w:spacing w:before="29" w:line="288" w:lineRule="auto"/>
              <w:ind w:left="17"/>
              <w:jc w:val="left"/>
              <w:rPr>
                <w:color w:val="000000"/>
                <w:kern w:val="0"/>
                <w:sz w:val="24"/>
              </w:rPr>
            </w:pPr>
            <w:r w:rsidRPr="007F52FA">
              <w:rPr>
                <w:color w:val="000000"/>
                <w:kern w:val="0"/>
                <w:sz w:val="24"/>
              </w:rPr>
              <w:t>004427</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基金运作方式</w:t>
            </w:r>
          </w:p>
        </w:tc>
        <w:tc>
          <w:tcPr>
            <w:tcW w:type="dxa" w:w="5970"/>
            <w:gridSpan w:val="2"/>
            <w:tcBorders>
              <w:top w:color="auto" w:space="0" w:sz="4" w:val="single"/>
            </w:tcBorders>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基金合同生效日</w:t>
            </w:r>
          </w:p>
        </w:tc>
        <w:tc>
          <w:tcPr>
            <w:tcW w:type="dxa" w:w="5970"/>
            <w:gridSpan w:val="2"/>
            <w:vAlign w:val="center"/>
          </w:tcPr>
          <w:p w:rsidP="007C14DF" w:rsidR="008532F3" w:rsidRDefault="008532F3" w:rsidRPr="007F52FA">
            <w:pPr>
              <w:adjustRightInd w:val="0"/>
              <w:spacing w:before="29" w:line="288" w:lineRule="auto"/>
              <w:ind w:left="17"/>
              <w:jc w:val="left"/>
              <w:rPr>
                <w:color w:val="000000"/>
                <w:kern w:val="0"/>
                <w:sz w:val="24"/>
              </w:rPr>
            </w:pPr>
            <w:r w:rsidRPr="007F52FA">
              <w:rPr>
                <w:color w:val="000000"/>
                <w:kern w:val="0"/>
                <w:sz w:val="24"/>
              </w:rPr>
              <w:t>2017年6月2日</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报告期末基金份额总额</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24,579,615.75</w:t>
            </w:r>
            <w:r w:rsidRPr="007F52FA">
              <w:rPr>
                <w:color w:val="000000"/>
                <w:kern w:val="0"/>
                <w:sz w:val="24"/>
              </w:rPr>
              <w:t>份</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投资目标</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本基金以债券投资为主，通过自上而下进行宏观分析，自下而上精选个券，在严格控制风险的前提下，力争实现基金资产的长期稳定增值。</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投资策略</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充分发挥基金管理人的研究优势，将严谨、规范化的基本面研究分析与积极主动的投资风格相结合，在分析和判断宏观经济运行状况和金融市场运行趋势的基础上，动态调整大类资产比例。本基金自上而下决定债券组合久期、期限结构配置及债券类属配置；在严谨深入的信用分析基础上，综合考量信用债券的信用评级，以及各类债券的流动性、供求关系和收益率水平等，自下而上地精选个券。通过综合运用骑乘操作、套利操作等策略，提高投资组合收益。此外，本基金深度关注股票、权证市场的运行状况与相应风险收益特征，在严格控制基金资产运作风险的前提下，有效把握投资机会，适时增强组合收益。</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业绩比较基准</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中债综合全价指数</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风险收益特征</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本基金是一只债券型基金，其风险与预期收益高于货币市场基金，低于混合型基金和股票型基金，属于证券投资基金中中等风险的品种。</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基金管理人</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基金托管人</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中国建设银行股份有限公司</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kern w:val="0"/>
                <w:sz w:val="24"/>
              </w:rPr>
            </w:pPr>
            <w:r w:rsidRPr="007F52FA">
              <w:rPr>
                <w:color w:val="000000"/>
                <w:sz w:val="24"/>
              </w:rPr>
              <w:t>下属两级基金的基金简称</w:t>
            </w:r>
          </w:p>
        </w:tc>
        <w:tc>
          <w:tcPr>
            <w:tcW w:type="dxa" w:w="2922"/>
            <w:vAlign w:val="center"/>
          </w:tcPr>
          <w:p w:rsidP="007C14DF" w:rsidR="008532F3" w:rsidRDefault="008532F3" w:rsidRPr="007F52FA">
            <w:pPr>
              <w:spacing w:before="29" w:line="288" w:lineRule="auto"/>
              <w:jc w:val="left"/>
              <w:rPr>
                <w:sz w:val="24"/>
              </w:rPr>
            </w:pPr>
            <w:r w:rsidRPr="007F52FA">
              <w:rPr>
                <w:color w:val="000000"/>
                <w:kern w:val="0"/>
                <w:sz w:val="24"/>
              </w:rPr>
              <w:t/>
            </w:r>
            <w:r w:rsidRPr="007F52FA">
              <w:rPr>
                <w:sz w:val="24"/>
              </w:rPr>
              <w:t>交银增利增强债券A</w:t>
            </w:r>
          </w:p>
        </w:tc>
        <w:tc>
          <w:tcPr>
            <w:tcW w:type="dxa" w:w="3048"/>
            <w:vAlign w:val="center"/>
          </w:tcPr>
          <w:p w:rsidP="007C14DF" w:rsidR="008532F3" w:rsidRDefault="008532F3" w:rsidRPr="007F52FA">
            <w:pPr>
              <w:spacing w:before="29" w:line="288" w:lineRule="auto"/>
              <w:jc w:val="left"/>
              <w:rPr>
                <w:sz w:val="24"/>
              </w:rPr>
            </w:pPr>
            <w:r w:rsidRPr="007F52FA">
              <w:rPr>
                <w:color w:val="000000"/>
                <w:kern w:val="0"/>
                <w:sz w:val="24"/>
              </w:rPr>
              <w:t/>
            </w:r>
            <w:r w:rsidRPr="007F52FA">
              <w:rPr>
                <w:sz w:val="24"/>
              </w:rPr>
              <w:t>交银增利增强债券C</w:t>
            </w:r>
          </w:p>
        </w:tc>
      </w:tr>
      <w:tr w:rsidR="00C23B30" w:rsidRPr="007F52FA" w:rsidTr="009416C9">
        <w:trPr>
          <w:jc w:val="center"/>
        </w:trPr>
        <w:tc>
          <w:tcPr>
            <w:tcW w:type="dxa" w:w="3023"/>
            <w:vAlign w:val="center"/>
          </w:tcPr>
          <w:p w:rsidP="007C14DF" w:rsidR="00C23B30" w:rsidRDefault="007C3DC6">
            <w:pPr>
              <w:adjustRightInd w:val="0"/>
              <w:spacing w:before="29" w:line="288" w:lineRule="auto"/>
              <w:ind w:left="17"/>
              <w:jc w:val="left"/>
              <w:rPr>
                <w:color w:val="000000"/>
                <w:sz w:val="24"/>
              </w:rPr>
            </w:pPr>
            <w:r w:rsidRPr="007F52FA">
              <w:rPr>
                <w:color w:val="000000"/>
                <w:sz w:val="24"/>
              </w:rPr>
              <w:t>下属两级基金的交易代码</w:t>
            </w:r>
          </w:p>
          <w:p w:rsidP="00C01EF2" w:rsidR="00C01EF2" w:rsidRDefault="00C01EF2" w:rsidRPr="007F52FA">
            <w:pPr>
              <w:adjustRightInd w:val="0"/>
              <w:spacing w:before="29" w:line="288" w:lineRule="auto"/>
              <w:ind w:left="17"/>
              <w:jc w:val="left"/>
              <w:rPr>
                <w:color w:val="000000"/>
                <w:sz w:val="24"/>
              </w:rPr>
            </w:pPr>
            <w:r w:rsidRPr="007F52FA">
              <w:rPr>
                <w:color w:themeColor="text1" w:val="000000"/>
                <w:sz w:val="24"/>
              </w:rPr>
              <w:t/>
            </w:r>
            <w:r w:rsidRPr="000E4C40">
              <w:rPr>
                <w:color w:val="000000"/>
                <w:kern w:val="0"/>
                <w:sz w:val="24"/>
              </w:rPr>
              <w:t/>
            </w:r>
            <w:r>
              <w:rPr>
                <w:rFonts w:hint="eastAsia"/>
                <w:color w:val="000000"/>
                <w:kern w:val="0"/>
                <w:sz w:val="24"/>
              </w:rPr>
              <w:t/>
            </w:r>
            <w:r w:rsidRPr="000E4C40">
              <w:rPr>
                <w:sz w:val="24"/>
              </w:rPr>
              <w:t/>
            </w:r>
          </w:p>
        </w:tc>
        <w:tc>
          <w:tcPr>
            <w:tcW w:type="dxa" w:w="2922"/>
            <w:vAlign w:val="center"/>
          </w:tcPr>
          <w:p w:rsidP="007F50FB" w:rsidR="00C23B30" w:rsidRDefault="00C23B30" w:rsidRPr="000E4C40">
            <w:pPr>
              <w:spacing w:before="29" w:line="288" w:lineRule="auto"/>
              <w:jc w:val="left"/>
              <w:rPr>
                <w:sz w:val="24"/>
              </w:rPr>
            </w:pPr>
            <w:r w:rsidRPr="007F52FA">
              <w:rPr>
                <w:color w:themeColor="text1" w:val="000000"/>
                <w:sz w:val="24"/>
              </w:rPr>
              <w:t/>
            </w:r>
            <w:r w:rsidRPr="000E4C40">
              <w:rPr>
                <w:color w:val="000000"/>
                <w:kern w:val="0"/>
                <w:sz w:val="24"/>
              </w:rPr>
              <w:t/>
            </w:r>
            <w:r w:rsidRPr="000E4C40">
              <w:rPr>
                <w:sz w:val="24"/>
              </w:rPr>
              <w:t>004427</w:t>
            </w:r>
          </w:p>
        </w:tc>
        <w:tc>
          <w:tcPr>
            <w:tcW w:type="dxa" w:w="3048"/>
            <w:vAlign w:val="center"/>
          </w:tcPr>
          <w:p w:rsidP="00A52A9E" w:rsidR="00C23B30" w:rsidRDefault="00261F47" w:rsidRPr="000E4C40">
            <w:pPr>
              <w:spacing w:before="29" w:line="288" w:lineRule="auto"/>
              <w:jc w:val="left"/>
              <w:rPr>
                <w:sz w:val="24"/>
              </w:rPr>
            </w:pPr>
            <w:r w:rsidRPr="007F52FA">
              <w:rPr>
                <w:color w:themeColor="text1" w:val="000000"/>
                <w:sz w:val="24"/>
              </w:rPr>
              <w:t/>
            </w:r>
            <w:r w:rsidR="00C23B30" w:rsidRPr="000E4C40">
              <w:rPr>
                <w:color w:val="000000"/>
                <w:kern w:val="0"/>
                <w:sz w:val="24"/>
              </w:rPr>
              <w:t/>
            </w:r>
            <w:r w:rsidR="00C23B30" w:rsidRPr="000E4C40">
              <w:rPr>
                <w:sz w:val="24"/>
              </w:rPr>
              <w:t/>
            </w:r>
            <w:r w:rsidR="00A52A9E">
              <w:rPr>
                <w:sz w:val="24"/>
              </w:rPr>
              <w:t/>
            </w:r>
            <w:r w:rsidR="00C23B30" w:rsidRPr="000E4C40">
              <w:rPr>
                <w:sz w:val="24"/>
              </w:rPr>
              <w:t>004428</w:t>
            </w:r>
          </w:p>
        </w:tc>
      </w:tr>
      <w:tr w:rsidR="00C23B30" w:rsidRPr="007F52FA" w:rsidTr="009416C9">
        <w:trPr>
          <w:jc w:val="center"/>
        </w:trPr>
        <w:tc>
          <w:tcPr>
            <w:tcW w:type="dxa" w:w="3023"/>
            <w:vAlign w:val="center"/>
          </w:tcPr>
          <w:p w:rsidP="007C14DF" w:rsidR="00C23B30" w:rsidRDefault="00C23B30" w:rsidRPr="007F52FA">
            <w:pPr>
              <w:adjustRightInd w:val="0"/>
              <w:spacing w:before="29" w:line="288" w:lineRule="auto"/>
              <w:ind w:left="17"/>
              <w:jc w:val="left"/>
              <w:rPr>
                <w:color w:val="000000"/>
                <w:sz w:val="24"/>
              </w:rPr>
            </w:pPr>
            <w:r w:rsidRPr="007F52FA">
              <w:rPr>
                <w:color w:val="000000"/>
                <w:sz w:val="24"/>
              </w:rPr>
              <w:t>报告期末下属两级基金的</w:t>
            </w:r>
            <w:r w:rsidRPr="007F52FA">
              <w:rPr>
                <w:color w:val="000000"/>
                <w:sz w:val="24"/>
              </w:rPr>
              <w:lastRenderedPageBreak/>
              <w:t>份额总额</w:t>
            </w:r>
          </w:p>
        </w:tc>
        <w:tc>
          <w:tcPr>
            <w:tcW w:type="dxa" w:w="2922"/>
            <w:vAlign w:val="center"/>
          </w:tcPr>
          <w:p w:rsidP="007C14DF" w:rsidR="00C23B30" w:rsidRDefault="00C23B30" w:rsidRPr="007F52FA">
            <w:pPr>
              <w:spacing w:before="29" w:line="288" w:lineRule="auto"/>
              <w:jc w:val="left"/>
              <w:rPr>
                <w:sz w:val="24"/>
              </w:rPr>
            </w:pPr>
            <w:r w:rsidRPr="007F52FA">
              <w:rPr>
                <w:color w:val="000000"/>
                <w:kern w:val="0"/>
                <w:sz w:val="24"/>
              </w:rPr>
              <w:lastRenderedPageBreak/>
              <w:t/>
            </w:r>
            <w:r w:rsidRPr="007F52FA">
              <w:rPr>
                <w:color w:val="000000"/>
                <w:kern w:val="0"/>
                <w:sz w:val="24"/>
              </w:rPr>
              <w:lastRenderedPageBreak/>
              <w:t/>
            </w:r>
            <w:r w:rsidRPr="007F52FA">
              <w:rPr>
                <w:sz w:val="24"/>
              </w:rPr>
              <w:t>20,073,434.26</w:t>
            </w:r>
            <w:r w:rsidRPr="007F52FA">
              <w:rPr>
                <w:color w:val="000000"/>
                <w:kern w:val="0"/>
                <w:sz w:val="24"/>
              </w:rPr>
              <w:t>份</w:t>
            </w:r>
          </w:p>
        </w:tc>
        <w:tc>
          <w:tcPr>
            <w:tcW w:type="dxa" w:w="3048"/>
            <w:vAlign w:val="center"/>
          </w:tcPr>
          <w:p w:rsidP="007C14DF" w:rsidR="00C23B30" w:rsidRDefault="00C23B30" w:rsidRPr="007F52FA">
            <w:pPr>
              <w:spacing w:before="29" w:line="288" w:lineRule="auto"/>
              <w:jc w:val="left"/>
              <w:rPr>
                <w:sz w:val="24"/>
              </w:rPr>
            </w:pPr>
            <w:r w:rsidRPr="007F52FA">
              <w:rPr>
                <w:color w:val="000000"/>
                <w:kern w:val="0"/>
                <w:sz w:val="24"/>
              </w:rPr>
              <w:lastRenderedPageBreak/>
              <w:t/>
            </w:r>
            <w:r w:rsidRPr="007F52FA">
              <w:rPr>
                <w:color w:val="000000"/>
                <w:kern w:val="0"/>
                <w:sz w:val="24"/>
              </w:rPr>
              <w:lastRenderedPageBreak/>
              <w:t/>
            </w:r>
            <w:r w:rsidRPr="007F52FA">
              <w:rPr>
                <w:sz w:val="24"/>
              </w:rPr>
              <w:t>4,506,181.49</w:t>
            </w:r>
            <w:r w:rsidRPr="007F52FA">
              <w:rPr>
                <w:color w:val="000000"/>
                <w:kern w:val="0"/>
                <w:sz w:val="24"/>
              </w:rPr>
              <w:t>份</w:t>
            </w:r>
          </w:p>
        </w:tc>
      </w:tr>
    </w:tbl>
    <w:p w:rsidP="007C14DF" w:rsidR="00740635" w:rsidRDefault="00740635" w:rsidRPr="007F52FA">
      <w:pPr>
        <w:autoSpaceDE w:val="0"/>
        <w:autoSpaceDN w:val="0"/>
        <w:adjustRightInd w:val="0"/>
        <w:spacing w:before="29" w:line="288" w:lineRule="auto"/>
        <w:jc w:val="left"/>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P="007C14DF" w:rsidR="009238DB" w:rsidRDefault="009238DB" w:rsidRPr="007F52FA">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6"/>
        <w:gridCol w:w="2631"/>
        <w:gridCol w:w="2631"/>
      </w:tblGrid>
      <w:tr w:rsidR="009E549D" w:rsidRPr="007F52FA" w:rsidTr="007A5233">
        <w:trPr>
          <w:jc w:val="center"/>
        </w:trPr>
        <w:tc>
          <w:tcPr>
            <w:tcW w:type="dxa" w:w="3402"/>
            <w:vMerge w:val="restart"/>
            <w:vAlign w:val="center"/>
          </w:tcPr>
          <w:p w:rsidP="007C14DF" w:rsidR="009E549D" w:rsidRDefault="009E549D" w:rsidRPr="007F52FA">
            <w:pPr>
              <w:adjustRightInd w:val="0"/>
              <w:spacing w:before="29" w:line="288" w:lineRule="auto"/>
              <w:ind w:left="17"/>
              <w:jc w:val="center"/>
              <w:rPr>
                <w:kern w:val="0"/>
                <w:sz w:val="24"/>
              </w:rPr>
            </w:pPr>
            <w:r w:rsidRPr="007F52FA">
              <w:rPr>
                <w:kern w:val="0"/>
                <w:sz w:val="24"/>
              </w:rPr>
              <w:t>主要财务指标</w:t>
            </w:r>
          </w:p>
        </w:tc>
        <w:tc>
          <w:tcPr>
            <w:tcW w:type="dxa" w:w="4962"/>
            <w:gridSpan w:val="2"/>
            <w:vAlign w:val="center"/>
          </w:tcPr>
          <w:p w:rsidP="00BF5A58" w:rsidR="00BF5A58" w:rsidRDefault="00BF5A58" w:rsidRPr="00414345">
            <w:pPr>
              <w:adjustRightInd w:val="0"/>
              <w:spacing w:before="29" w:line="288" w:lineRule="auto"/>
              <w:ind w:left="17"/>
              <w:jc w:val="center"/>
              <w:rPr>
                <w:color w:val="000000"/>
                <w:sz w:val="24"/>
              </w:rPr>
            </w:pPr>
            <w:r w:rsidRPr="00414345">
              <w:rPr>
                <w:color w:val="000000"/>
                <w:sz w:val="24"/>
              </w:rPr>
              <w:t>报告期</w:t>
            </w:r>
          </w:p>
          <w:p w:rsidP="00BF5A58" w:rsidR="009E549D" w:rsidRDefault="00BF5A58" w:rsidRPr="007F52FA">
            <w:pPr>
              <w:adjustRightInd w:val="0"/>
              <w:spacing w:before="29" w:line="288" w:lineRule="auto"/>
              <w:ind w:left="17"/>
              <w:jc w:val="center"/>
              <w:rPr>
                <w:color w:val="000000"/>
                <w:sz w:val="24"/>
              </w:rPr>
            </w:pPr>
            <w:r w:rsidRPr="00414345">
              <w:rPr>
                <w:color w:val="000000"/>
                <w:sz w:val="24"/>
              </w:rPr>
              <w:t>(2020年1月1日-2020年3月31日)</w:t>
            </w:r>
          </w:p>
        </w:tc>
      </w:tr>
      <w:tr w:rsidR="009E549D" w:rsidRPr="007F52FA" w:rsidTr="007A5233">
        <w:trPr>
          <w:jc w:val="center"/>
        </w:trPr>
        <w:tc>
          <w:tcPr>
            <w:tcW w:type="dxa" w:w="3402"/>
            <w:vMerge/>
            <w:vAlign w:val="center"/>
          </w:tcPr>
          <w:p w:rsidP="007C14DF" w:rsidR="009E549D" w:rsidRDefault="009E549D" w:rsidRPr="007F52FA">
            <w:pPr>
              <w:adjustRightInd w:val="0"/>
              <w:spacing w:before="29" w:line="288" w:lineRule="auto"/>
              <w:ind w:left="17"/>
              <w:jc w:val="center"/>
              <w:rPr>
                <w:kern w:val="0"/>
                <w:sz w:val="24"/>
              </w:rPr>
            </w:pPr>
          </w:p>
        </w:tc>
        <w:tc>
          <w:tcPr>
            <w:tcW w:type="dxa" w:w="2481"/>
            <w:vAlign w:val="center"/>
          </w:tcPr>
          <w:p w:rsidP="007C14DF" w:rsidR="009E549D" w:rsidRDefault="009E549D" w:rsidRPr="007F52FA">
            <w:pPr>
              <w:adjustRightInd w:val="0"/>
              <w:spacing w:before="29" w:line="288" w:lineRule="auto"/>
              <w:ind w:left="17"/>
              <w:jc w:val="center"/>
              <w:rPr>
                <w:color w:val="000000"/>
                <w:sz w:val="24"/>
              </w:rPr>
            </w:pPr>
            <w:r w:rsidRPr="007F52FA">
              <w:rPr>
                <w:color w:val="000000"/>
                <w:kern w:val="0"/>
                <w:sz w:val="24"/>
              </w:rPr>
              <w:t/>
            </w:r>
            <w:r w:rsidRPr="007F52FA">
              <w:rPr>
                <w:sz w:val="24"/>
              </w:rPr>
              <w:t>交银增利增强债券A</w:t>
            </w:r>
          </w:p>
        </w:tc>
        <w:tc>
          <w:tcPr>
            <w:tcW w:type="dxa" w:w="2481"/>
            <w:vAlign w:val="center"/>
          </w:tcPr>
          <w:p w:rsidP="007C14DF" w:rsidR="009E549D" w:rsidRDefault="009E549D" w:rsidRPr="007F52FA">
            <w:pPr>
              <w:adjustRightInd w:val="0"/>
              <w:spacing w:before="29" w:line="288" w:lineRule="auto"/>
              <w:ind w:left="17"/>
              <w:jc w:val="center"/>
              <w:rPr>
                <w:color w:val="000000"/>
                <w:sz w:val="24"/>
              </w:rPr>
            </w:pPr>
            <w:r w:rsidRPr="007F52FA">
              <w:rPr>
                <w:color w:val="000000"/>
                <w:kern w:val="0"/>
                <w:sz w:val="24"/>
              </w:rPr>
              <w:t/>
            </w:r>
            <w:r w:rsidRPr="007F52FA">
              <w:rPr>
                <w:sz w:val="24"/>
              </w:rPr>
              <w:t/>
            </w:r>
            <w:r w:rsidR="004D614E" w:rsidRPr="007F52FA">
              <w:rPr>
                <w:sz w:val="24"/>
              </w:rPr>
              <w:t/>
            </w:r>
            <w:r w:rsidR="00FE7FBD" w:rsidRPr="007F52FA">
              <w:rPr>
                <w:sz w:val="24"/>
              </w:rPr>
              <w:t>交银增利增强债券C</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774,526.63</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AD3905" w:rsidRPr="007F52FA">
              <w:rPr>
                <w:color w:val="000000"/>
                <w:sz w:val="24"/>
              </w:rPr>
              <w:t/>
            </w:r>
            <w:r w:rsidR="0037768B" w:rsidRPr="007F52FA">
              <w:rPr>
                <w:color w:val="000000"/>
                <w:sz w:val="24"/>
              </w:rPr>
              <w:t/>
            </w:r>
            <w:r w:rsidRPr="007F52FA">
              <w:rPr>
                <w:color w:val="000000"/>
                <w:sz w:val="24"/>
              </w:rPr>
              <w:t/>
            </w:r>
            <w:r w:rsidR="004D614E" w:rsidRPr="007F52FA">
              <w:rPr>
                <w:color w:val="000000"/>
                <w:sz w:val="24"/>
              </w:rPr>
              <w:t/>
            </w:r>
            <w:r w:rsidR="00FE7FBD" w:rsidRPr="007F52FA">
              <w:rPr>
                <w:color w:val="000000"/>
                <w:sz w:val="24"/>
              </w:rPr>
              <w:t>175,897.91</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2.</w:t>
            </w:r>
            <w:r w:rsidRPr="007F52FA">
              <w:rPr>
                <w:kern w:val="0"/>
                <w:sz w:val="24"/>
              </w:rPr>
              <w:t>本期利润</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-9,081.37</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-103,200.17</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-0.0005</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-0.0214</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24,552,531.32</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5,458,477.70</w:t>
            </w:r>
          </w:p>
        </w:tc>
      </w:tr>
      <w:tr w:rsidR="005F293E" w:rsidRPr="007F52FA" w:rsidTr="007A5233">
        <w:trPr>
          <w:trHeight w:val="158"/>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1.223</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1.211</w:t>
            </w:r>
          </w:p>
        </w:tc>
      </w:tr>
    </w:tbl>
    <w:p>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注：1、本基金A类业绩指标不包括持有人认购或交易基金的各项费用，计入费用后的实际收益水平要低于所列数字。 　</w:t>
      </w:r>
    </w:p>
    <w:p w:rsidP="007C14DF" w:rsidR="005E01A3" w:rsidRDefault="005E01A3"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w:r>
      <w:r w:rsidR="009A529F" w:rsidRPr="007F52FA">
        <w:rPr>
          <w:rFonts w:eastAsiaTheme="minorEastAsia"/>
          <w:color w:val="000000"/>
          <w:sz w:val="24"/>
        </w:rPr>
        <w:t/>
      </w:r>
      <w:r w:rsidR="00FE7FBD" w:rsidRPr="007F52FA">
        <w:rPr>
          <w:rFonts w:eastAsiaTheme="minorEastAsia"/>
          <w:color w:val="000000"/>
          <w:sz w:val="24"/>
        </w:rPr>
        <w:t/>
      </w:r>
      <w:r w:rsidRPr="007F52FA">
        <w:rPr>
          <w:rFonts w:eastAsiaTheme="minorEastAsia"/>
          <w:color w:val="000000"/>
          <w:sz w:val="24"/>
        </w:rPr>
        <w:t>2、本期已实现收益指基金本期利息收入、投资收益、其他收入（不含公允价值变动收益）扣除相关费用后的余额，本期利润为本期已实现收益加上本期公允价值变动收益。</w:t>
      </w:r>
    </w:p>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P="007C14DF" w:rsidR="009238DB" w:rsidRDefault="009238DB" w:rsidRPr="007F52FA">
      <w:pPr>
        <w:autoSpaceDE w:val="0"/>
        <w:autoSpaceDN w:val="0"/>
        <w:adjustRightInd w:val="0"/>
        <w:spacing w:before="29" w:line="288" w:lineRule="auto"/>
        <w:jc w:val="left"/>
        <w:rPr>
          <w:b/>
          <w:color w:val="000000"/>
          <w:kern w:val="0"/>
          <w:sz w:val="24"/>
        </w:rPr>
      </w:pPr>
      <w:smartTag w:element="chsdate" w:uri="urn:schemas-microsoft-com:office:smarttags">
        <w:smartTagPr>
          <w:attr w:name="IsROCDate" w:val="False"/>
          <w:attr w:name="IsLunarDate" w:val="False"/>
          <w:attr w:name="Day" w:val="30"/>
          <w:attr w:name="Month" w:val="12"/>
          <w:attr w:name="Year" w:val="1899"/>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P="007C14DF" w:rsidR="009238DB" w:rsidRDefault="009238DB" w:rsidRPr="007F52FA">
      <w:pPr>
        <w:spacing w:before="29" w:line="288" w:lineRule="auto"/>
        <w:rPr>
          <w:b/>
          <w:sz w:val="24"/>
        </w:rPr>
      </w:pPr>
      <w:r w:rsidRPr="007F52FA">
        <w:rPr>
          <w:b/>
          <w:sz w:val="24"/>
        </w:rPr>
        <w:t>1</w:t>
      </w:r>
      <w:r w:rsidRPr="007F52FA">
        <w:rPr>
          <w:b/>
          <w:sz w:val="24"/>
        </w:rPr>
        <w:t>、</w:t>
      </w:r>
      <w:r w:rsidR="00A5643A" w:rsidRPr="007F52FA">
        <w:rPr>
          <w:b/>
          <w:color w:val="000000"/>
          <w:kern w:val="0"/>
          <w:sz w:val="24"/>
        </w:rPr>
        <w:t/>
      </w:r>
      <w:r w:rsidR="0042785F" w:rsidRPr="007F52FA">
        <w:rPr>
          <w:b/>
          <w:color w:val="000000"/>
          <w:kern w:val="0"/>
          <w:sz w:val="24"/>
        </w:rPr>
        <w:t/>
      </w:r>
      <w:r w:rsidR="00A5643A" w:rsidRPr="007F52FA">
        <w:rPr>
          <w:b/>
          <w:color w:val="000000"/>
          <w:kern w:val="0"/>
          <w:sz w:val="24"/>
        </w:rPr>
        <w:t>交银增利增强债券A</w:t>
      </w:r>
      <w:r w:rsidRPr="007F52FA">
        <w:rPr>
          <w:b/>
          <w:sz w:val="24"/>
        </w:rPr>
        <w:t>：</w:t>
      </w:r>
    </w:p>
    <w:tbl>
      <w:tblPr>
        <w:tblStyle w:val="af2"/>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685FFC" w:rsidRPr="007F52FA" w:rsidTr="00054F34">
        <w:trPr>
          <w:jc w:val="center"/>
        </w:trPr>
        <w:tc>
          <w:tcPr>
            <w:tcW w:type="dxa" w:w="1290"/>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阶段</w:t>
            </w:r>
            <w:r w:rsidR="000D4DE9" w:rsidRPr="007F52FA">
              <w:rPr>
                <w:color w:val="000000"/>
                <w:sz w:val="24"/>
              </w:rPr>
              <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tc>
          <w:tcPr>
            <w:vAlign w:val="center"/>
          </w:tcPr>
          <w:p>
            <w:pPr>
              <w:jc w:val="left"/>
            </w:pPr>
            <w:r>
              <w:rPr>
                <w:color w:val="000000"/>
                <w:sz w:val="24"/>
              </w:rPr>
              <w:t>过去三个月</w:t>
            </w:r>
          </w:p>
        </w:tc>
        <w:tc>
          <w:tcPr>
            <w:vAlign w:val="center"/>
          </w:tcPr>
          <w:p>
            <w:pPr>
              <w:jc w:val="center"/>
            </w:pPr>
            <w:r>
              <w:rPr>
                <w:color w:val="000000"/>
                <w:sz w:val="24"/>
              </w:rPr>
              <w:t>0.49%</w:t>
            </w:r>
          </w:p>
        </w:tc>
        <w:tc>
          <w:tcPr>
            <w:vAlign w:val="center"/>
          </w:tcPr>
          <w:p>
            <w:pPr>
              <w:jc w:val="center"/>
            </w:pPr>
            <w:r>
              <w:rPr>
                <w:color w:val="000000"/>
                <w:sz w:val="24"/>
              </w:rPr>
              <w:t>0.90%</w:t>
            </w:r>
          </w:p>
        </w:tc>
        <w:tc>
          <w:tcPr>
            <w:vAlign w:val="center"/>
          </w:tcPr>
          <w:p>
            <w:pPr>
              <w:jc w:val="center"/>
            </w:pPr>
            <w:r>
              <w:rPr>
                <w:color w:val="000000"/>
                <w:sz w:val="24"/>
              </w:rPr>
              <w:t>1.85%</w:t>
            </w:r>
          </w:p>
        </w:tc>
        <w:tc>
          <w:tcPr>
            <w:vAlign w:val="center"/>
          </w:tcPr>
          <w:p>
            <w:pPr>
              <w:jc w:val="center"/>
            </w:pPr>
            <w:r>
              <w:rPr>
                <w:color w:val="000000"/>
                <w:sz w:val="24"/>
              </w:rPr>
              <w:t>0.10%</w:t>
            </w:r>
          </w:p>
        </w:tc>
        <w:tc>
          <w:tcPr>
            <w:vAlign w:val="center"/>
          </w:tcPr>
          <w:p>
            <w:pPr>
              <w:jc w:val="center"/>
            </w:pPr>
            <w:r>
              <w:rPr>
                <w:color w:val="000000"/>
                <w:sz w:val="24"/>
              </w:rPr>
              <w:t>-1.36%</w:t>
            </w:r>
          </w:p>
        </w:tc>
        <w:tc>
          <w:tcPr>
            <w:vAlign w:val="center"/>
          </w:tcPr>
          <w:p>
            <w:pPr>
              <w:jc w:val="center"/>
            </w:pPr>
            <w:r>
              <w:rPr>
                <w:color w:val="000000"/>
                <w:sz w:val="24"/>
              </w:rPr>
              <w:t>0.80%</w:t>
            </w:r>
          </w:p>
        </w:tc>
      </w:tr>
    </w:tbl>
    <w:p w:rsidP="007C14DF" w:rsidR="004425E8" w:rsidRDefault="004425E8" w:rsidRPr="007F52FA">
      <w:pPr>
        <w:pStyle w:val="20"/>
        <w:spacing w:before="29" w:line="288" w:lineRule="auto"/>
        <w:ind w:firstLine="0" w:firstLineChars="0"/>
        <w:rPr>
          <w:rFonts w:ascii="Times New Roman" w:eastAsiaTheme="minorEastAsia" w:hAnsi="Times New Roman"/>
          <w:color w:val="000000"/>
        </w:rPr>
      </w:pPr>
    </w:p>
    <w:p w:rsidP="007C14DF" w:rsidR="009238DB" w:rsidRDefault="009238DB" w:rsidRPr="007F52FA">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A5643A" w:rsidRPr="007F52FA">
        <w:rPr>
          <w:b/>
          <w:color w:val="000000"/>
          <w:kern w:val="0"/>
          <w:sz w:val="24"/>
        </w:rPr>
        <w:t/>
      </w:r>
      <w:r w:rsidR="004D614E" w:rsidRPr="007F52FA">
        <w:rPr>
          <w:b/>
          <w:color w:val="000000"/>
          <w:kern w:val="0"/>
          <w:sz w:val="24"/>
        </w:rPr>
        <w:t/>
      </w:r>
      <w:r w:rsidR="00FE7FBD" w:rsidRPr="007F52FA">
        <w:rPr>
          <w:b/>
          <w:color w:val="000000"/>
          <w:kern w:val="0"/>
          <w:sz w:val="24"/>
        </w:rPr>
        <w:t>交银增利增强债券C</w:t>
      </w:r>
      <w:r w:rsidRPr="007F52FA">
        <w:rPr>
          <w:b/>
          <w:color w:val="000000"/>
          <w:kern w:val="0"/>
          <w:sz w:val="24"/>
        </w:rPr>
        <w:t>：</w:t>
      </w:r>
    </w:p>
    <w:tbl>
      <w:tblPr>
        <w:tblStyle w:val="af2"/>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685FFC" w:rsidRPr="007F52FA" w:rsidTr="00054F34">
        <w:trPr>
          <w:jc w:val="center"/>
        </w:trPr>
        <w:tc>
          <w:tcPr>
            <w:tcW w:type="dxa" w:w="1290"/>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阶段</w:t>
            </w:r>
            <w:r w:rsidR="000D4DE9" w:rsidRPr="007F52FA">
              <w:rPr>
                <w:color w:val="000000"/>
                <w:sz w:val="24"/>
              </w:rPr>
              <w:t/>
            </w:r>
          </w:p>
        </w:tc>
        <w:tc>
          <w:tcPr>
            <w:tcW w:type="dxa" w:w="1291"/>
            <w:vAlign w:val="center"/>
          </w:tcPr>
          <w:p w:rsidP="007C14DF" w:rsidR="00685FFC" w:rsidRDefault="00685FFC" w:rsidRPr="007F52FA">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type="dxa" w:w="1291"/>
            <w:vAlign w:val="center"/>
          </w:tcPr>
          <w:p w:rsidP="007C14DF" w:rsidR="00685FFC" w:rsidRDefault="00685FFC" w:rsidRPr="007F52FA">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tc>
          <w:tcPr>
            <w:vAlign w:val="center"/>
          </w:tcPr>
          <w:p>
            <w:pPr>
              <w:jc w:val="left"/>
            </w:pPr>
            <w:r>
              <w:rPr>
                <w:color w:val="000000"/>
                <w:sz w:val="24"/>
              </w:rPr>
              <w:t>过去三个月</w:t>
            </w:r>
          </w:p>
        </w:tc>
        <w:tc>
          <w:tcPr>
            <w:vAlign w:val="center"/>
          </w:tcPr>
          <w:p>
            <w:pPr>
              <w:jc w:val="center"/>
            </w:pPr>
            <w:r>
              <w:rPr>
                <w:color w:val="000000"/>
                <w:sz w:val="24"/>
              </w:rPr>
              <w:t>0.33%</w:t>
            </w:r>
          </w:p>
        </w:tc>
        <w:tc>
          <w:tcPr>
            <w:vAlign w:val="center"/>
          </w:tcPr>
          <w:p>
            <w:pPr>
              <w:jc w:val="center"/>
            </w:pPr>
            <w:r>
              <w:rPr>
                <w:color w:val="000000"/>
                <w:sz w:val="24"/>
              </w:rPr>
              <w:t>0.90%</w:t>
            </w:r>
          </w:p>
        </w:tc>
        <w:tc>
          <w:tcPr>
            <w:vAlign w:val="center"/>
          </w:tcPr>
          <w:p>
            <w:pPr>
              <w:jc w:val="center"/>
            </w:pPr>
            <w:r>
              <w:rPr>
                <w:color w:val="000000"/>
                <w:sz w:val="24"/>
              </w:rPr>
              <w:t>1.85%</w:t>
            </w:r>
          </w:p>
        </w:tc>
        <w:tc>
          <w:tcPr>
            <w:vAlign w:val="center"/>
          </w:tcPr>
          <w:p>
            <w:pPr>
              <w:jc w:val="center"/>
            </w:pPr>
            <w:r>
              <w:rPr>
                <w:color w:val="000000"/>
                <w:sz w:val="24"/>
              </w:rPr>
              <w:t>0.10%</w:t>
            </w:r>
          </w:p>
        </w:tc>
        <w:tc>
          <w:tcPr>
            <w:vAlign w:val="center"/>
          </w:tcPr>
          <w:p>
            <w:pPr>
              <w:jc w:val="center"/>
            </w:pPr>
            <w:r>
              <w:rPr>
                <w:color w:val="000000"/>
                <w:sz w:val="24"/>
              </w:rPr>
              <w:t>-1.52%</w:t>
            </w:r>
          </w:p>
        </w:tc>
        <w:tc>
          <w:tcPr>
            <w:vAlign w:val="center"/>
          </w:tcPr>
          <w:p>
            <w:pPr>
              <w:jc w:val="center"/>
            </w:pPr>
            <w:r>
              <w:rPr>
                <w:color w:val="000000"/>
                <w:sz w:val="24"/>
              </w:rPr>
              <w:t>0.80%</w:t>
            </w:r>
          </w:p>
        </w:tc>
      </w:tr>
    </w:tbl>
    <w:p w:rsidP="007C14DF" w:rsidR="009238DB" w:rsidRDefault="009238DB" w:rsidRPr="007F52FA">
      <w:pPr>
        <w:autoSpaceDE w:val="0"/>
        <w:autoSpaceDN w:val="0"/>
        <w:adjustRightInd w:val="0"/>
        <w:spacing w:before="29" w:line="288" w:lineRule="auto"/>
        <w:ind w:left="15"/>
        <w:jc w:val="left"/>
        <w:rPr>
          <w:rFonts w:eastAsiaTheme="minorEastAsia"/>
          <w:b/>
          <w:color w:val="000000"/>
          <w:kern w:val="0"/>
          <w:sz w:val="24"/>
        </w:rPr>
      </w:pPr>
    </w:p>
    <w:p w:rsidP="007C14DF" w:rsidR="009238DB" w:rsidRDefault="009238DB" w:rsidRPr="007F52FA">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P="007C14DF" w:rsidR="009A045B" w:rsidRDefault="009A045B" w:rsidRPr="007F52FA">
      <w:pPr>
        <w:spacing w:before="29" w:line="288" w:lineRule="auto"/>
        <w:jc w:val="center"/>
        <w:rPr>
          <w:color w:val="000000"/>
          <w:sz w:val="24"/>
        </w:rPr>
      </w:pPr>
      <w:r w:rsidRPr="007F52FA">
        <w:rPr>
          <w:rFonts w:eastAsiaTheme="minorEastAsia"/>
          <w:color w:val="000000"/>
          <w:sz w:val="24"/>
        </w:rPr>
        <w:t/>
      </w:r>
      <w:r w:rsidRPr="007F52FA">
        <w:rPr>
          <w:color w:val="000000"/>
          <w:sz w:val="24"/>
        </w:rPr>
        <w:t>交银施罗德增利增强债券型证券投资基金</w:t>
      </w:r>
    </w:p>
    <w:p w:rsidP="007C14DF" w:rsidR="00022396" w:rsidRDefault="0001164A" w:rsidRPr="007F52FA">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P="007C14DF" w:rsidR="009A045B" w:rsidRDefault="00CC1636" w:rsidRPr="007F52FA">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2017年6月2日</w:t>
      </w:r>
      <w:r w:rsidR="009A045B" w:rsidRPr="007F52FA">
        <w:rPr>
          <w:rFonts w:ascii="Times New Roman" w:hAnsi="Times New Roman"/>
          <w:sz w:val="24"/>
          <w:szCs w:val="24"/>
        </w:rPr>
        <w:t>至</w:t>
      </w:r>
      <w:r w:rsidRPr="007F52FA">
        <w:rPr>
          <w:rFonts w:ascii="Times New Roman" w:hAnsi="Times New Roman"/>
          <w:sz w:val="24"/>
          <w:szCs w:val="24"/>
        </w:rPr>
        <w:t>2020年3月31日</w:t>
      </w:r>
      <w:r w:rsidRPr="007F52FA">
        <w:rPr>
          <w:rFonts w:ascii="Times New Roman" w:hAnsi="Times New Roman"/>
          <w:sz w:val="24"/>
          <w:szCs w:val="24"/>
        </w:rPr>
        <w:t>）</w:t>
      </w:r>
    </w:p>
    <w:p w:rsidP="007C14DF" w:rsidR="009238DB" w:rsidRDefault="009238DB" w:rsidRPr="007F52FA">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交银增利增强债券A</w:t>
      </w:r>
    </w:p>
    <w:p w:rsidP="007C14DF" w:rsidR="00807B81" w:rsidRDefault="00562709" w:rsidRPr="007F52FA">
      <w:pPr>
        <w:pStyle w:val="20"/>
        <w:spacing w:before="29" w:line="288" w:lineRule="auto"/>
        <w:ind w:firstLine="0" w:firstLineChars="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B="0" distL="0" distR="0" distT="0">
            <wp:extent cx="5731510" cy="3356610"/>
            <wp:effectExtent b="0" l="19050" r="2540" t="0"/>
            <wp:docPr descr="走势图1.jpg"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7C14DF" w:rsidR="009238DB" w:rsidRDefault="0042785F" w:rsidRPr="007F52FA">
      <w:pPr>
        <w:spacing w:before="29" w:line="288" w:lineRule="auto"/>
        <w:ind w:firstLine="480" w:firstLineChars="200"/>
        <w:rPr>
          <w:color w:val="000000"/>
          <w:sz w:val="24"/>
        </w:rPr>
      </w:pPr>
      <w:r w:rsidRPr="007F52FA">
        <w:rPr>
          <w:color w:val="000000"/>
          <w:sz w:val="24"/>
        </w:rPr>
        <w:t/>
      </w:r>
      <w:r w:rsidR="00973B57" w:rsidRPr="007F52FA">
        <w:rPr>
          <w:color w:val="000000"/>
          <w:sz w:val="24"/>
        </w:rPr>
        <w:t/>
      </w:r>
      <w:r w:rsidRPr="007F52FA">
        <w:rPr>
          <w:color w:val="000000"/>
          <w:sz w:val="24"/>
        </w:rPr>
        <w:t>注：本基金建仓期为自基金合同生效日起的6个月。截至建仓期结束，本基金各项资产配置比例符合基金合同及招募说明书有关投资比例的约定。</w:t>
      </w:r>
    </w:p>
    <w:p w:rsidP="007C14DF" w:rsidR="0042785F" w:rsidRDefault="0042785F" w:rsidRPr="007F52FA">
      <w:pPr>
        <w:pStyle w:val="20"/>
        <w:spacing w:before="29" w:line="288" w:lineRule="auto"/>
        <w:ind w:firstLine="0" w:firstLineChars="0"/>
        <w:rPr>
          <w:rFonts w:ascii="Times New Roman" w:hAnsi="Times New Roman"/>
          <w:color w:val="000000"/>
        </w:rPr>
      </w:pPr>
    </w:p>
    <w:p w:rsidP="007C14DF" w:rsidR="009238DB" w:rsidRDefault="009238DB" w:rsidRPr="007F52FA">
      <w:pPr>
        <w:snapToGrid w:val="0"/>
        <w:spacing w:before="29" w:line="288" w:lineRule="auto"/>
        <w:rPr>
          <w:color w:val="000000"/>
          <w:sz w:val="24"/>
        </w:rPr>
      </w:pPr>
      <w:r w:rsidRPr="007F52FA">
        <w:rPr>
          <w:color w:val="000000"/>
          <w:sz w:val="24"/>
        </w:rPr>
        <w:t>2</w:t>
      </w:r>
      <w:r w:rsidRPr="007F52FA">
        <w:rPr>
          <w:color w:val="000000"/>
          <w:sz w:val="24"/>
        </w:rPr>
        <w:t>．</w:t>
      </w:r>
      <w:r w:rsidR="0042785F" w:rsidRPr="007F52FA">
        <w:rPr>
          <w:color w:val="000000"/>
          <w:sz w:val="24"/>
        </w:rPr>
        <w:t/>
      </w:r>
      <w:r w:rsidR="004D614E" w:rsidRPr="007F52FA">
        <w:rPr>
          <w:color w:val="000000"/>
          <w:sz w:val="24"/>
        </w:rPr>
        <w:t/>
      </w:r>
      <w:r w:rsidR="00FE7FBD" w:rsidRPr="007F52FA">
        <w:rPr>
          <w:color w:val="000000"/>
          <w:sz w:val="24"/>
        </w:rPr>
        <w:t>交银增利增强债券C</w:t>
      </w:r>
    </w:p>
    <w:p w:rsidP="007C14DF" w:rsidR="00D12D04" w:rsidRDefault="00562709" w:rsidRPr="007F52FA">
      <w:pPr>
        <w:pStyle w:val="20"/>
        <w:spacing w:before="29" w:line="288" w:lineRule="auto"/>
        <w:ind w:firstLine="0" w:firstLineChars="0"/>
        <w:jc w:val="center"/>
        <w:rPr>
          <w:rFonts w:ascii="Times New Roman" w:eastAsiaTheme="minorEastAsia" w:hAnsi="Times New Roman"/>
          <w:color w:val="000000"/>
        </w:rPr>
      </w:pPr>
      <w:r w:rsidRPr="007F52FA">
        <w:rPr>
          <w:rFonts w:ascii="Times New Roman" w:eastAsiaTheme="minorEastAsia" w:hAnsi="Times New Roman"/>
          <w:noProof/>
          <w:color w:val="000000"/>
        </w:rPr>
        <w:lastRenderedPageBreak/>
        <w:drawing>
          <wp:inline distB="0" distL="0" distR="0" distT="0">
            <wp:extent cx="5731510" cy="3356610"/>
            <wp:effectExtent b="0" l="19050" r="2540" t="0"/>
            <wp:docPr descr="走势图2.jpg"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cstate="print" r:embed="rId15"/>
                    <a:stretch>
                      <a:fillRect/>
                    </a:stretch>
                  </pic:blipFill>
                  <pic:spPr>
                    <a:xfrm>
                      <a:off x="0" y="0"/>
                      <a:ext cx="5731510" cy="3356610"/>
                    </a:xfrm>
                    <a:prstGeom prst="rect">
                      <a:avLst/>
                    </a:prstGeom>
                  </pic:spPr>
                </pic:pic>
              </a:graphicData>
            </a:graphic>
          </wp:inline>
        </w:drawing>
      </w:r>
    </w:p>
    <w:p w:rsidP="007C14DF" w:rsidR="0042785F" w:rsidRDefault="0042785F" w:rsidRPr="007F52FA">
      <w:pPr>
        <w:spacing w:before="29" w:line="288" w:lineRule="auto"/>
        <w:ind w:firstLine="480" w:firstLineChars="200"/>
        <w:rPr>
          <w:color w:val="000000"/>
          <w:sz w:val="24"/>
        </w:rPr>
      </w:pPr>
      <w:r w:rsidRPr="007F52FA">
        <w:rPr>
          <w:color w:val="000000"/>
          <w:sz w:val="24"/>
        </w:rPr>
        <w:t/>
      </w:r>
      <w:r w:rsidR="00973B57" w:rsidRPr="007F52FA">
        <w:rPr>
          <w:color w:val="000000"/>
          <w:sz w:val="24"/>
        </w:rPr>
        <w:t/>
      </w:r>
      <w:r w:rsidRPr="007F52FA">
        <w:rPr>
          <w:color w:val="000000"/>
          <w:sz w:val="24"/>
        </w:rPr>
        <w:t/>
      </w:r>
      <w:r w:rsidR="004D614E" w:rsidRPr="007F52FA">
        <w:rPr>
          <w:color w:val="000000"/>
          <w:sz w:val="24"/>
        </w:rPr>
        <w:t/>
      </w:r>
      <w:r w:rsidR="00FE7FBD" w:rsidRPr="007F52FA">
        <w:rPr>
          <w:color w:val="000000"/>
          <w:sz w:val="24"/>
        </w:rPr>
        <w:t>注：本基金建仓期为自基金合同生效日起的6个月。截至建仓期结束，本基金各项资产配置比例符合基金合同及招募说明书有关投资比例的约定。</w:t>
      </w:r>
    </w:p>
    <w:p w:rsidP="007C14DF" w:rsidR="00757FD7" w:rsidRDefault="00757FD7" w:rsidRPr="007F52FA">
      <w:pPr>
        <w:spacing w:before="29" w:line="288" w:lineRule="auto"/>
        <w:ind w:firstLine="480" w:firstLineChars="200"/>
        <w:rPr>
          <w:color w:val="000000"/>
          <w:sz w:val="24"/>
        </w:rPr>
      </w:pPr>
      <w:r w:rsidRPr="007F52FA">
        <w:rPr>
          <w:color w:val="000000"/>
          <w:sz w:val="24"/>
        </w:rPr>
        <w:t/>
      </w:r>
      <w:r w:rsidR="00FE7FBD" w:rsidRPr="007F52FA">
        <w:rPr>
          <w:color w:val="000000"/>
          <w:sz w:val="24"/>
        </w:rPr>
        <w:t/>
      </w:r>
      <w:r w:rsidRPr="007F52FA">
        <w:rPr>
          <w:color w:val="000000"/>
          <w:sz w:val="24"/>
        </w:rPr>
        <w:t/>
      </w:r>
    </w:p>
    <w:p w:rsidP="007C14DF" w:rsidR="00973B57" w:rsidRDefault="00973B57" w:rsidRPr="007F52FA">
      <w:pPr>
        <w:pStyle w:val="20"/>
        <w:spacing w:before="29" w:line="288" w:lineRule="auto"/>
        <w:ind w:firstLine="0" w:firstLineChars="0"/>
        <w:jc w:val="left"/>
        <w:rPr>
          <w:rFonts w:ascii="Times New Roman" w:eastAsiaTheme="minorEastAsia" w:hAnsi="Times New Roman"/>
          <w:color w:val="000000"/>
        </w:rPr>
      </w:pPr>
    </w:p>
    <w:p w:rsidP="007C14DF" w:rsidR="006C5BC9" w:rsidRDefault="006C5BC9" w:rsidRPr="007F52FA">
      <w:pPr>
        <w:tabs>
          <w:tab w:pos="1800" w:val="left"/>
        </w:tabs>
        <w:spacing w:before="29" w:line="288" w:lineRule="auto"/>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1" w:val="04A0"/>
      </w:tblPr>
      <w:tblGrid>
        <w:gridCol w:w="946"/>
        <w:gridCol w:w="924"/>
        <w:gridCol w:w="1202"/>
        <w:gridCol w:w="1300"/>
        <w:gridCol w:w="1245"/>
        <w:gridCol w:w="3251"/>
      </w:tblGrid>
      <w:tr w:rsidR="00C41617" w:rsidRPr="007F52FA" w:rsidTr="00370FE2">
        <w:trPr>
          <w:jc w:val="center"/>
        </w:trPr>
        <w:tc>
          <w:tcPr>
            <w:tcW w:type="dxa" w:w="952"/>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type="dxa" w:w="930"/>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type="dxa" w:w="2519"/>
            <w:gridSpan w:val="2"/>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w:t>
            </w:r>
            <w:r w:rsidRPr="007F52FA">
              <w:rPr>
                <w:color w:val="000000"/>
                <w:kern w:val="0"/>
                <w:sz w:val="24"/>
              </w:rPr>
              <w:lastRenderedPageBreak/>
              <w:t>期限</w:t>
            </w:r>
          </w:p>
        </w:tc>
        <w:tc>
          <w:tcPr>
            <w:tcW w:type="dxa" w:w="1254"/>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lastRenderedPageBreak/>
              <w:t>证券从业</w:t>
            </w:r>
            <w:r w:rsidRPr="007F52FA">
              <w:rPr>
                <w:color w:val="000000"/>
                <w:kern w:val="0"/>
                <w:sz w:val="24"/>
              </w:rPr>
              <w:lastRenderedPageBreak/>
              <w:t>年限</w:t>
            </w:r>
          </w:p>
        </w:tc>
        <w:tc>
          <w:tcPr>
            <w:tcW w:type="dxa" w:w="3276"/>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lastRenderedPageBreak/>
              <w:t>说明</w:t>
            </w:r>
          </w:p>
        </w:tc>
      </w:tr>
      <w:tr w:rsidR="00C41617" w:rsidRPr="007F52FA" w:rsidTr="00370FE2">
        <w:trPr>
          <w:jc w:val="center"/>
        </w:trPr>
        <w:tc>
          <w:tcPr>
            <w:tcW w:type="dxa" w:w="952"/>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930"/>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1210"/>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type="dxa" w:w="1309"/>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type="dxa" w:w="1254"/>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3276"/>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r>
      <w:tr>
        <w:tc>
          <w:tcPr>
            <w:vAlign w:val="center"/>
          </w:tcPr>
          <w:p>
            <w:pPr>
              <w:jc w:val="center"/>
            </w:pPr>
            <w:r>
              <w:rPr>
                <w:color w:val="000000"/>
                <w:sz w:val="24"/>
              </w:rPr>
              <w:t>凌超</w:t>
            </w:r>
          </w:p>
        </w:tc>
        <w:tc>
          <w:tcPr>
            <w:vAlign w:val="center"/>
          </w:tcPr>
          <w:p>
            <w:pPr>
              <w:jc w:val="center"/>
            </w:pPr>
            <w:r>
              <w:rPr>
                <w:color w:val="000000"/>
                <w:sz w:val="24"/>
              </w:rPr>
              <w:t>交银定期支付月月丰债券、交银增强收益债券、交银强化回报债券、交银周期回报灵活配置混合、交银新回报灵活配置混合、交银多策略回报灵活配置混合、交银优选回报灵活配置混合、交银优择回报灵活配置混合、交银瑞鑫定期开放灵活配置混合、交银增利增强债券、交银恒益灵活配置混合、交银裕祥纯债债券、交银稳固收益债券的基金经理，公司固定收益(公募)投资副总监</w:t>
            </w:r>
          </w:p>
        </w:tc>
        <w:tc>
          <w:tcPr>
            <w:vAlign w:val="center"/>
          </w:tcPr>
          <w:p>
            <w:pPr>
              <w:jc w:val="center"/>
            </w:pPr>
            <w:r>
              <w:rPr>
                <w:color w:val="000000"/>
                <w:sz w:val="24"/>
              </w:rPr>
              <w:t>2018-02-13</w:t>
            </w:r>
          </w:p>
        </w:tc>
        <w:tc>
          <w:tcPr>
            <w:vAlign w:val="center"/>
          </w:tcPr>
          <w:p>
            <w:pPr>
              <w:jc w:val="center"/>
            </w:pPr>
            <w:r>
              <w:rPr>
                <w:color w:val="000000"/>
                <w:sz w:val="24"/>
              </w:rPr>
              <w:t>-</w:t>
            </w:r>
          </w:p>
        </w:tc>
        <w:tc>
          <w:tcPr>
            <w:vAlign w:val="center"/>
          </w:tcPr>
          <w:p>
            <w:pPr>
              <w:jc w:val="center"/>
            </w:pPr>
            <w:r>
              <w:rPr>
                <w:color w:val="000000"/>
                <w:sz w:val="24"/>
              </w:rPr>
              <w:t>14年</w:t>
            </w:r>
          </w:p>
        </w:tc>
        <w:tc>
          <w:tcPr>
            <w:vAlign w:val="center"/>
          </w:tcPr>
          <w:p>
            <w:pPr>
              <w:jc w:val="both"/>
            </w:pPr>
            <w:r>
              <w:rPr>
                <w:color w:val="000000"/>
                <w:sz w:val="24"/>
              </w:rPr>
              <w:t>凌超先生，华中科技大学数量经济学硕士、武汉科技大学信息与计算科学学士。2006年至2009年任长江证券股份有限公司研究员、投资经理，2009年至2012年任光大保德信基金有限管理公司研究员、基金助理、基金经理，2012年至2016年任海富通基金管理有限公司投资顾问、基金经理，2016年至2017年任天弘基金管理有限公司固定收益部副总经理、基金经理。2010年8月31日至2012年3月1日任光大保德信货币市场基金基金经理，2013年12月19日至2016年1月12日任海富通一年定期开放债券型证券投资基金基金经理，2014年4月2日至2016年1月12日任海富通纯债债券型证券投资基金基金经理，2014年12月1日至2016年1月12日任海富通稳固收益债券型证券投资基金基金经理，2016年5月14日至2017年7月13日任天弘弘利债券型证券投资基金基金经理，2016年5月14日至2017年7月13日任天弘裕利灵活配置混合型证券投资基金基金经理，2016年5月14日至2017年7月13日任天弘债券型发起式证券投资基金基金经理。2017年7月加入交银施罗德基金管理有限公司。2019年2月28日至2019年5月30日担任转型前的交银施罗德荣祥保本混合型证券投资基金的基金经理。</w:t>
            </w:r>
          </w:p>
        </w:tc>
      </w:tr>
      <w:tr>
        <w:tc>
          <w:tcPr>
            <w:vAlign w:val="center"/>
          </w:tcPr>
          <w:p>
            <w:pPr>
              <w:jc w:val="center"/>
            </w:pPr>
            <w:r>
              <w:rPr>
                <w:color w:val="000000"/>
                <w:sz w:val="24"/>
              </w:rPr>
              <w:t>魏玉敏</w:t>
            </w:r>
          </w:p>
        </w:tc>
        <w:tc>
          <w:tcPr>
            <w:vAlign w:val="center"/>
          </w:tcPr>
          <w:p>
            <w:pPr>
              <w:jc w:val="center"/>
            </w:pPr>
            <w:r>
              <w:rPr>
                <w:color w:val="000000"/>
                <w:sz w:val="24"/>
              </w:rPr>
              <w:t>交银增利债券、交银纯债债券发起、交银丰润收益债券、交银增利增强债券、交银丰晟收益债券、交银裕如纯债债券、交银中债1-3年农发债指数、交银可转债债券、交银裕泰两年定期开放债券的基金经理</w:t>
            </w:r>
          </w:p>
        </w:tc>
        <w:tc>
          <w:tcPr>
            <w:vAlign w:val="center"/>
          </w:tcPr>
          <w:p>
            <w:pPr>
              <w:jc w:val="center"/>
            </w:pPr>
            <w:r>
              <w:rPr>
                <w:color w:val="000000"/>
                <w:sz w:val="24"/>
              </w:rPr>
              <w:t>2018-11-02</w:t>
            </w:r>
          </w:p>
        </w:tc>
        <w:tc>
          <w:tcPr>
            <w:vAlign w:val="center"/>
          </w:tcPr>
          <w:p>
            <w:pPr>
              <w:jc w:val="center"/>
            </w:pPr>
            <w:r>
              <w:rPr>
                <w:color w:val="000000"/>
                <w:sz w:val="24"/>
              </w:rPr>
              <w:t>-</w:t>
            </w:r>
          </w:p>
        </w:tc>
        <w:tc>
          <w:tcPr>
            <w:vAlign w:val="center"/>
          </w:tcPr>
          <w:p>
            <w:pPr>
              <w:jc w:val="center"/>
            </w:pPr>
            <w:r>
              <w:rPr>
                <w:color w:val="000000"/>
                <w:sz w:val="24"/>
              </w:rPr>
              <w:t>8年</w:t>
            </w:r>
          </w:p>
        </w:tc>
        <w:tc>
          <w:tcPr>
            <w:vAlign w:val="center"/>
          </w:tcPr>
          <w:p>
            <w:pPr>
              <w:jc w:val="both"/>
            </w:pPr>
            <w:r>
              <w:rPr>
                <w:color w:val="000000"/>
                <w:sz w:val="24"/>
              </w:rPr>
              <w:t>魏玉敏女士，厦门大学金融学硕士、学士。2012年至2013年任招商证券固定收益研究员，2013年至2016年任国信证券固定收益高级分析师。2016年加入交银施罗德基金管理有限公司，历任基金经理助理。</w:t>
            </w:r>
          </w:p>
        </w:tc>
      </w:tr>
    </w:tbl>
    <w:p w:rsidP="007C14DF" w:rsidR="009238DB" w:rsidRDefault="00062E1F" w:rsidRPr="007F52FA">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P="007C14DF" w:rsidR="005C7D00" w:rsidRDefault="005C7D00" w:rsidRPr="007F52FA">
      <w:pPr>
        <w:pStyle w:val="20"/>
        <w:spacing w:before="29" w:line="288" w:lineRule="auto"/>
        <w:ind w:firstLine="0" w:firstLineChars="0"/>
        <w:rPr>
          <w:rFonts w:ascii="Times New Roman" w:eastAsiaTheme="minorEastAsia" w:hAnsi="Times New Roman"/>
          <w:color w:val="auto"/>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P="007C14DF" w:rsidR="009238DB" w:rsidRDefault="00323F25" w:rsidRPr="007F52FA">
      <w:pPr>
        <w:spacing w:before="29" w:line="288" w:lineRule="auto"/>
        <w:ind w:firstLine="480" w:firstLineChars="20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7C14DF" w:rsidR="009238DB" w:rsidRDefault="009238DB" w:rsidRPr="007F52FA">
      <w:pPr>
        <w:autoSpaceDE w:val="0"/>
        <w:autoSpaceDN w:val="0"/>
        <w:adjustRightInd w:val="0"/>
        <w:spacing w:before="29" w:line="288" w:lineRule="auto"/>
        <w:jc w:val="left"/>
        <w:rPr>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P="007C14DF" w:rsidR="00D15733" w:rsidRDefault="00D15733" w:rsidRPr="007F52FA">
      <w:pPr>
        <w:spacing w:before="29" w:line="288" w:lineRule="auto"/>
        <w:rPr>
          <w:sz w:val="24"/>
        </w:rPr>
      </w:pPr>
      <w:smartTag w:element="chsdate" w:uri="urn:schemas-microsoft-com:office:smarttags">
        <w:smartTagPr>
          <w:attr w:name="Year" w:val="1899"/>
          <w:attr w:name="Month" w:val="12"/>
          <w:attr w:name="Day" w:val="30"/>
          <w:attr w:name="IsLunarDate" w:val="False"/>
          <w:attr w:name="IsROCDate" w:val="False"/>
        </w:smartTagPr>
        <w:r w:rsidRPr="007F52FA">
          <w:rPr>
            <w:sz w:val="24"/>
          </w:rPr>
          <w:t>4.3.1</w:t>
        </w:r>
      </w:smartTag>
      <w:r w:rsidRPr="007F52FA">
        <w:rPr>
          <w:sz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7C14DF" w:rsidR="00D15733" w:rsidRDefault="00323F25" w:rsidRPr="007F52FA">
      <w:pPr>
        <w:spacing w:before="29" w:line="288" w:lineRule="auto"/>
        <w:ind w:firstLine="480" w:firstLineChars="200"/>
        <w:rPr>
          <w:color w:val="000000"/>
          <w:sz w:val="24"/>
        </w:rPr>
      </w:pPr>
      <w:r w:rsidRPr="007F52FA">
        <w:rPr>
          <w:color w:val="000000"/>
          <w:sz w:val="24"/>
        </w:rPr>
        <w:t>报告期内本公司严格执行公平交易制度，公平对待旗下各投资组合，未发现任何违反公平交易的行为。</w:t>
      </w:r>
    </w:p>
    <w:p w:rsidP="007C14DF" w:rsidR="00D15733" w:rsidRDefault="00D15733" w:rsidRPr="007F52FA">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P="007C14DF" w:rsidR="00D15733" w:rsidRDefault="00323F25" w:rsidRPr="007F52FA">
      <w:pPr>
        <w:spacing w:before="29" w:line="288" w:lineRule="auto"/>
        <w:ind w:firstLine="480" w:firstLineChars="20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7C14DF" w:rsidR="009238DB" w:rsidRDefault="009238DB" w:rsidRPr="007F52FA">
      <w:pPr>
        <w:autoSpaceDE w:val="0"/>
        <w:autoSpaceDN w:val="0"/>
        <w:adjustRightInd w:val="0"/>
        <w:spacing w:before="29" w:line="288" w:lineRule="auto"/>
        <w:jc w:val="left"/>
        <w:rPr>
          <w:color w:val="000000"/>
          <w:kern w:val="0"/>
          <w:sz w:val="24"/>
        </w:rPr>
      </w:pPr>
    </w:p>
    <w:p w:rsidP="007C14DF" w:rsidR="00130395" w:rsidRDefault="00130395" w:rsidRPr="007F52FA">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pPr>
        <w:spacing w:before="29" w:line="288" w:lineRule="auto"/>
        <w:ind w:firstLine="480" w:firstLineChars="200"/>
        <w:rPr>
          <w:color w:val="000000"/>
          <w:sz w:val="24"/>
        </w:rPr>
      </w:pPr>
      <w:r>
        <w:rPr>
          <w:color w:val="000000"/>
          <w:sz w:val="24"/>
        </w:rPr>
        <w:t>2020年一季度债券收益率震荡下行，短端收益率下行幅度更大，收益率曲线呈现牛市陡峭化格局。一季度市场关注的焦点在于新冠疫情的发展，收益率下行的主要集中于国内疫情爆发和海外疫情扩散两个阶段。具体运行来看，一月初资金面宽松，央行向市场持续注入流动性，在经济企稳的背景下，债市受配置盘支撑走势仍偏强。一月下旬，冠状病毒疫情在国内爆发，春节期间全国防疫隔离措施升级，海外风险偏好也快速下降，股市、原油等明显下跌，避险资产债券、黄金上涨，春节后央行下调逆回购利率10bp，长端利率大幅下行，悲观情绪快速释放，此后随着国内疫情防控显效，政策也开始加强企业复工，债市转向震荡。进入二月下旬，海外疫情加速扩散，三月初美联储紧急降息50bp后引发全球宽松预期，风险资产快速受到冲击，债券利率进一步向下突破。2020年3月9日起，海外流动性危机显现，全球美元流动性紧张情况下，外资抛压对中国债市带来阶段性的调整，收益率小幅上行。2020年3月16日美联储紧急降息100bp，随后密集推出流动性工具、开启无限量QE等，市场的流动性紧张形势得到缓解，国内债市收益率在降息预期影响下重回下行通道。</w:t>
      </w:r>
    </w:p>
    <w:p>
      <w:pPr>
        <w:spacing w:before="29" w:line="288" w:lineRule="auto"/>
        <w:ind w:firstLine="480" w:firstLineChars="200"/>
        <w:rPr>
          <w:color w:val="000000"/>
          <w:sz w:val="24"/>
        </w:rPr>
      </w:pPr>
      <w:r>
        <w:rPr>
          <w:color w:val="000000"/>
          <w:sz w:val="24"/>
        </w:rPr>
        <w:t>转债市场一季度波动较大，年初新能源车、消费电子以及半导体等板块相关标的表现较为活跃，虽然中证转债指数层面在一月的涨幅有限，但内部存在明显的结构性收益。二月国内疫情爆发对股票市场产生一次性冲击，随后在流动性充裕下出现了报复性反弹，融资融券等杠杆性行为也一路攀升。转债市场相比股票更加强劲，整体估值出现了主动拉升，结构上来看科技板块延续强势而新能源车则有所降温。进入三月海外疫情爆发再次对权益市场产生影响，指数开始逐步回调。转债市场同步下跌，高估值的结构有所松动，但是绝对水平仍然处于历史相对较高的位置，期间与内需相关的消费、通信板块有一定相对收益。</w:t>
      </w:r>
    </w:p>
    <w:p>
      <w:pPr>
        <w:spacing w:before="29" w:line="288" w:lineRule="auto"/>
        <w:ind w:firstLine="480" w:firstLineChars="200"/>
        <w:rPr>
          <w:color w:val="000000"/>
          <w:sz w:val="24"/>
        </w:rPr>
      </w:pPr>
      <w:r>
        <w:rPr>
          <w:color w:val="000000"/>
          <w:sz w:val="24"/>
        </w:rPr>
        <w:t>报告期内，本基金由于规模限制，债券配置以利率债和转债为主，保证组合流动性。组合在报告期内维持了较高的转债仓位配置，精选个券增厚组合收益。</w:t>
      </w:r>
    </w:p>
    <w:p w:rsidP="007C14DF" w:rsidR="00952A72" w:rsidRDefault="00323F25" w:rsidRPr="007F52FA">
      <w:pPr>
        <w:spacing w:before="29" w:line="288" w:lineRule="auto"/>
        <w:ind w:firstLine="480" w:firstLineChars="200"/>
        <w:rPr>
          <w:color w:val="000000"/>
          <w:sz w:val="24"/>
        </w:rPr>
      </w:pPr>
      <w:r w:rsidRPr="007F52FA">
        <w:rPr>
          <w:color w:val="000000"/>
          <w:sz w:val="24"/>
        </w:rPr>
        <w:t>展望2020年二季度，国内方面随着疫情的控制逐步开始复工复产，但海外疫情的蔓延尚未看到拐点。国内一季度经济大幅下行已经确认，而目前看，进出口形势不乐观，居民消费意愿减弱，投资对经济的拉动也受到居民和企业资产负债表的约束，二季度经济压力仍然较大。逆周期调节的政策仍将继续加码，货币政策保持宽松，引导利率下行，财政政策更加积极。债券收益率预计将维持区间震荡格局，在流动性宽松和收益率低位的背景下，继续关注票息策略。转债资产方面，高估值的情况仍然是主要掣肘，股票市场核心不确定性因素还是在于海外疫情发展带来的全球经济放缓，短期内将存在反复。但长期来看权益类资产仍然具备吸引力，转债作为固定收益投资者间接分享权益市场收益的工具，仍然会得到青睐。未来转债市场供需关系较难发生太大改变，估值格局仍将延续。在整体缺乏不对称性优势的情况下，需要着重对于正股的把握，寻找基本面优良且具备核心竞争力的上市公司。另一方面，可以在估值相对较低的低评级转债上寻找风险收益比合适的机会。操作策略方面，考虑组合规模限制，组合将继续以利率债和转债为主要配置。转债资产方面，继续维持较高的转债仓位配置，并精选具有性价比优势的个券，以期增厚组合收益。</w:t>
      </w:r>
    </w:p>
    <w:p w:rsidP="007C14DF" w:rsidR="00EC41BC" w:rsidRDefault="00EC41BC" w:rsidRPr="007F52FA">
      <w:pPr>
        <w:spacing w:before="29" w:line="288" w:lineRule="auto"/>
        <w:ind w:firstLine="480" w:firstLineChars="200"/>
        <w:rPr>
          <w:color w:val="000000"/>
          <w:sz w:val="24"/>
        </w:rPr>
      </w:pPr>
    </w:p>
    <w:p w:rsidP="007C14DF" w:rsidR="00130395" w:rsidRDefault="00130395" w:rsidRPr="007F52FA">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P="007C14DF" w:rsidR="00952A72" w:rsidRDefault="00323F25" w:rsidRPr="007F52FA">
      <w:pPr>
        <w:spacing w:before="29" w:line="288" w:lineRule="auto"/>
        <w:ind w:firstLine="480" w:firstLineChars="200"/>
        <w:rPr>
          <w:color w:val="000000"/>
          <w:sz w:val="24"/>
        </w:rPr>
      </w:pPr>
      <w:r w:rsidRPr="007F52FA">
        <w:rPr>
          <w:color w:val="000000"/>
          <w:sz w:val="24"/>
        </w:rPr>
        <w:t>本基金（各类）份额净值及业绩表现请见“3.1主要财务指标” 及“3.2.1 本报告期基金份额净值增长率及其与同期业绩比较基准收益率的比较”部分披露。</w:t>
      </w:r>
    </w:p>
    <w:p w:rsidP="007C14DF" w:rsidR="00400FA6" w:rsidRDefault="00400FA6" w:rsidRPr="007F52FA">
      <w:pPr>
        <w:spacing w:before="29" w:line="288" w:lineRule="auto"/>
        <w:ind w:firstLine="480" w:firstLineChars="200"/>
        <w:rPr>
          <w:color w:val="000000"/>
          <w:sz w:val="24"/>
        </w:rPr>
      </w:pPr>
    </w:p>
    <w:p w:rsidP="00274444" w:rsidR="00274444" w:rsidRDefault="00274444"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274444" w:rsidR="00274444" w:rsidRDefault="00274444">
      <w:pPr>
        <w:spacing w:before="29" w:line="288" w:lineRule="auto"/>
        <w:ind w:firstLine="480" w:firstLineChars="200"/>
        <w:rPr>
          <w:color w:val="000000"/>
          <w:sz w:val="24"/>
        </w:rPr>
      </w:pPr>
      <w:r w:rsidRPr="002070B4">
        <w:rPr>
          <w:color w:val="000000"/>
          <w:sz w:val="24"/>
        </w:rPr>
        <w:t>本基金本报告期内连续二十个工作日以上出现基金资产净值低于5000万元的情形，截至本报告期末，本基金基金资产净值仍低于5000万元。</w:t>
      </w:r>
    </w:p>
    <w:p w:rsidP="007C14DF" w:rsidR="00400FA6" w:rsidRDefault="00400FA6" w:rsidRPr="007F52FA">
      <w:pPr>
        <w:spacing w:before="29" w:line="288" w:lineRule="auto"/>
        <w:ind w:firstLine="480" w:firstLineChars="200"/>
        <w:rPr>
          <w:color w:val="000000"/>
          <w:sz w:val="24"/>
        </w:rPr>
      </w:pPr>
    </w:p>
    <w:p w:rsidP="000A2988" w:rsidR="009238DB" w:rsidRDefault="009238DB" w:rsidRPr="007C6127">
      <w:pPr>
        <w:pStyle w:val="1"/>
        <w:spacing w:after="312" w:afterLines="100" w:before="312" w:beforeLines="100" w:line="288" w:lineRule="auto"/>
        <w:jc w:val="center"/>
        <w:rPr>
          <w:rFonts w:eastAsiaTheme="minorEastAsia"/>
          <w:color w:val="000000"/>
          <w:kern w:val="0"/>
          <w:sz w:val="24"/>
          <w:szCs w:val="24"/>
        </w:rPr>
      </w:pPr>
      <w:r w:rsidRPr="007C6127">
        <w:rPr>
          <w:rFonts w:eastAsiaTheme="minorEastAsia"/>
          <w:color w:val="000000"/>
          <w:kern w:val="0"/>
          <w:sz w:val="24"/>
          <w:szCs w:val="24"/>
        </w:rPr>
        <w:lastRenderedPageBreak/>
        <w:t xml:space="preserve">§5  </w:t>
      </w:r>
      <w:r w:rsidRPr="007C6127">
        <w:rPr>
          <w:rFonts w:eastAsiaTheme="minorEastAsia"/>
          <w:color w:val="000000"/>
          <w:kern w:val="0"/>
          <w:sz w:val="24"/>
          <w:szCs w:val="24"/>
        </w:rPr>
        <w:t>投资组合报告</w:t>
      </w:r>
    </w:p>
    <w:p w:rsidP="00C51B4E" w:rsidR="00C51B4E" w:rsidRDefault="00C51B4E">
      <w:pPr>
        <w:autoSpaceDE w:val="0"/>
        <w:autoSpaceDN w:val="0"/>
        <w:adjustRightInd w:val="0"/>
        <w:spacing w:line="360" w:lineRule="auto"/>
        <w:jc w:val="left"/>
        <w:rPr>
          <w:rFonts w:eastAsiaTheme="minorEastAsia"/>
          <w:b/>
          <w:color w:themeColor="text1" w:val="000000"/>
          <w:kern w:val="0"/>
          <w:sz w:val="24"/>
        </w:rPr>
      </w:pPr>
      <w:r w:rsidRPr="0028293E">
        <w:rPr>
          <w:rFonts w:eastAsiaTheme="minorEastAsia"/>
          <w:b/>
          <w:color w:themeColor="text1" w:val="000000"/>
          <w:kern w:val="0"/>
          <w:sz w:val="24"/>
        </w:rPr>
        <w:t xml:space="preserve">5.1 </w:t>
      </w:r>
      <w:r w:rsidRPr="0028293E">
        <w:rPr>
          <w:rFonts w:eastAsiaTheme="minorEastAsia"/>
          <w:b/>
          <w:color w:themeColor="text1" w:val="000000"/>
          <w:kern w:val="0"/>
          <w:sz w:val="24"/>
        </w:rPr>
        <w:t>报告期末基金资产组合情况</w:t>
      </w:r>
    </w:p>
    <w:p w:rsidP="001A5E45" w:rsidR="00610880" w:rsidRDefault="001A5E45" w:rsidRPr="0028293E">
      <w:pPr>
        <w:autoSpaceDE w:val="0"/>
        <w:autoSpaceDN w:val="0"/>
        <w:adjustRightInd w:val="0"/>
        <w:spacing w:line="360" w:lineRule="auto"/>
        <w:jc w:val="right"/>
        <w:rPr>
          <w:rFonts w:eastAsiaTheme="minorEastAsia"/>
          <w:b/>
          <w:color w:themeColor="text1" w:val="000000"/>
          <w:kern w:val="0"/>
          <w:sz w:val="24"/>
        </w:rPr>
      </w:pPr>
      <w:r w:rsidRPr="001A5E45">
        <w:rPr>
          <w:rFonts w:hint="eastAsia"/>
          <w:color w:val="000000"/>
          <w:kern w:val="0"/>
        </w:rPr>
        <w:t/>
      </w:r>
      <w:r w:rsidRPr="001A5E45">
        <w:rPr>
          <w:rFonts w:hint="eastAsia"/>
          <w:color w:val="000000"/>
          <w:kern w:val="0"/>
        </w:rPr>
        <w:t>金额单位：人民币元</w:t>
      </w:r>
    </w:p>
    <w:tbl>
      <w:tblPr>
        <w:tblStyle w:val="af2"/>
        <w:tblW w:type="dxa" w:w="8897"/>
        <w:tblInd w:type="dxa" w:w="108"/>
        <w:tblLayout w:type="fixed"/>
        <w:tblLook w:firstColumn="1" w:firstRow="1" w:lastColumn="0" w:lastRow="0" w:noHBand="0" w:noVBand="1" w:val="04A0"/>
      </w:tblPr>
      <w:tblGrid>
        <w:gridCol w:w="720"/>
        <w:gridCol w:w="2824"/>
        <w:gridCol w:w="2552"/>
        <w:gridCol w:w="2801"/>
      </w:tblGrid>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序号</w:t>
            </w:r>
          </w:p>
        </w:tc>
        <w:tc>
          <w:tcPr>
            <w:tcW w:type="dxa" w:w="2824"/>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项目</w:t>
            </w:r>
          </w:p>
        </w:tc>
        <w:tc>
          <w:tcPr>
            <w:tcW w:type="dxa" w:w="2552"/>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金额</w:t>
            </w:r>
          </w:p>
        </w:tc>
        <w:tc>
          <w:tcPr>
            <w:tcW w:type="dxa" w:w="2801"/>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占基金总资产的比例</w:t>
            </w:r>
            <w:r w:rsidR="005D2D89">
              <w:rPr>
                <w:rFonts w:eastAsiaTheme="minorEastAsia" w:hint="eastAsia"/>
                <w:color w:themeColor="text1" w:val="000000"/>
                <w:sz w:val="24"/>
              </w:rPr>
              <w:t>（</w:t>
            </w:r>
            <w:r w:rsidR="005D2D89">
              <w:rPr>
                <w:rFonts w:eastAsiaTheme="minorEastAsia" w:hint="eastAsia"/>
                <w:color w:themeColor="text1" w:val="000000"/>
                <w:sz w:val="24"/>
              </w:rPr>
              <w:t>%</w:t>
            </w:r>
            <w:r w:rsidR="005D2D89">
              <w:rPr>
                <w:rFonts w:eastAsiaTheme="minorEastAsia" w:hint="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1</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权益投资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1,437,651.62</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4.67</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其中：股票</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1,437,651.62</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4.67</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2</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ascii="宋体" w:hAnsi="宋体" w:hint="eastAsia"/>
                <w:sz w:val="24"/>
              </w:rPr>
              <w:t>基金投资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hint="eastAsia"/>
                <w:color w:themeColor="text1" w:val="000000"/>
                <w:sz w:val="24"/>
              </w:rPr>
              <w:t/>
            </w:r>
            <w:r w:rsidRPr="0028293E">
              <w:rPr>
                <w:rFonts w:eastAsiaTheme="minorEastAsia"/>
                <w:color w:themeColor="text1" w:val="000000"/>
                <w:sz w:val="24"/>
              </w:rPr>
              <w:t/>
            </w:r>
            <w:r w:rsidRPr="0028293E">
              <w:rPr>
                <w:rFonts w:eastAsiaTheme="minorEastAsia" w:hint="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hint="eastAsia"/>
                <w:color w:themeColor="text1" w:val="000000"/>
                <w:sz w:val="24"/>
              </w:rPr>
              <w:t/>
            </w:r>
            <w:r w:rsidRPr="0028293E">
              <w:rPr>
                <w:rFonts w:eastAsiaTheme="minorEastAsia"/>
                <w:color w:themeColor="text1" w:val="000000"/>
                <w:sz w:val="24"/>
              </w:rPr>
              <w:t/>
            </w:r>
            <w:r w:rsidRPr="0028293E">
              <w:rPr>
                <w:rFonts w:eastAsiaTheme="minorEastAsia" w:hint="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3</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固定收益投资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25,091,187.40</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81.54</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其中：债券</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25,091,187.40</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81.54</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8293E" w:rsidR="00C51B4E" w:rsidRDefault="00C51B4E" w:rsidRPr="0028293E">
            <w:pPr>
              <w:autoSpaceDE w:val="0"/>
              <w:autoSpaceDN w:val="0"/>
              <w:adjustRightInd w:val="0"/>
              <w:spacing w:before="29" w:line="360" w:lineRule="auto"/>
              <w:ind w:firstLine="720" w:firstLineChars="300" w:left="17"/>
              <w:jc w:val="left"/>
              <w:rPr>
                <w:rFonts w:eastAsiaTheme="minorEastAsia"/>
                <w:color w:themeColor="text1" w:val="000000"/>
                <w:sz w:val="24"/>
              </w:rPr>
            </w:pPr>
            <w:r w:rsidRPr="0028293E">
              <w:rPr>
                <w:rFonts w:eastAsiaTheme="minorEastAsia"/>
                <w:color w:themeColor="text1" w:val="000000"/>
                <w:sz w:val="24"/>
              </w:rPr>
              <w:t>资产支持证券</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4</w:t>
            </w:r>
          </w:p>
        </w:tc>
        <w:tc>
          <w:tcPr>
            <w:tcW w:type="dxa" w:w="2824"/>
            <w:vAlign w:val="center"/>
          </w:tcPr>
          <w:p w:rsidP="002D2971" w:rsidR="00C51B4E" w:rsidRDefault="00C51B4E" w:rsidRPr="0028293E">
            <w:pPr>
              <w:spacing w:before="29" w:line="360" w:lineRule="auto"/>
              <w:ind w:left="105" w:leftChars="50"/>
              <w:rPr>
                <w:rFonts w:eastAsiaTheme="minorEastAsia"/>
                <w:color w:themeColor="text1" w:val="000000"/>
                <w:sz w:val="24"/>
              </w:rPr>
            </w:pPr>
            <w:r w:rsidRPr="0028293E">
              <w:rPr>
                <w:rFonts w:eastAsiaTheme="minorEastAsia"/>
                <w:color w:themeColor="text1" w:val="000000"/>
                <w:sz w:val="24"/>
              </w:rPr>
              <w:t>贵金属投资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
            </w:r>
            <w:r w:rsidRPr="0028293E">
              <w:rPr>
                <w:rFonts w:eastAsiaTheme="minorEastAsia"/>
                <w:color w:themeColor="text1" w:val="000000"/>
                <w:sz w:val="24"/>
              </w:rPr>
              <w:lastRenderedPageBreak/>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lastRenderedPageBreak/>
              <w:t/>
            </w:r>
            <w:r w:rsidRPr="0028293E">
              <w:rPr>
                <w:rFonts w:eastAsiaTheme="minorEastAsia"/>
                <w:color w:themeColor="text1" w:val="000000"/>
                <w:sz w:val="24"/>
              </w:rPr>
              <w:lastRenderedPageBreak/>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lastRenderedPageBreak/>
              <w:t>5</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金融衍生品投资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6</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买入返售金融资产</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其中：买断式回购的买入返售金融资产</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7</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银行存款和结算备付金合计</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4,131,734.05</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13.43</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
            </w:r>
            <w:r w:rsidRPr="0028293E">
              <w:rPr>
                <w:rFonts w:eastAsiaTheme="minorEastAsia" w:hint="eastAsia"/>
                <w:color w:themeColor="text1" w:val="000000"/>
                <w:sz w:val="24"/>
              </w:rPr>
              <w:t/>
            </w:r>
            <w:r w:rsidRPr="0028293E">
              <w:rPr>
                <w:rFonts w:eastAsiaTheme="minorEastAsia"/>
                <w:color w:themeColor="text1" w:val="000000"/>
                <w:sz w:val="24"/>
              </w:rPr>
              <w:t>8</w:t>
            </w:r>
          </w:p>
        </w:tc>
        <w:tc>
          <w:tcPr>
            <w:tcW w:type="dxa" w:w="2824"/>
            <w:vAlign w:val="center"/>
          </w:tcPr>
          <w:p w:rsidP="002D2971" w:rsidR="00C51B4E" w:rsidRDefault="00C51B4E" w:rsidRPr="0028293E">
            <w:pPr>
              <w:spacing w:line="360" w:lineRule="auto"/>
              <w:rPr>
                <w:rFonts w:eastAsiaTheme="minorEastAsia"/>
                <w:color w:themeColor="text1" w:val="000000"/>
                <w:sz w:val="24"/>
              </w:rPr>
            </w:pPr>
            <w:r w:rsidRPr="0028293E">
              <w:rPr>
                <w:rFonts w:eastAsiaTheme="minorEastAsia"/>
                <w:color w:themeColor="text1" w:val="000000"/>
                <w:sz w:val="24"/>
              </w:rPr>
              <w:t>其他各项资产</w:t>
            </w:r>
          </w:p>
        </w:tc>
        <w:tc>
          <w:tcPr>
            <w:tcW w:type="dxa" w:w="2552"/>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111,981.27</w:t>
            </w:r>
          </w:p>
        </w:tc>
        <w:tc>
          <w:tcPr>
            <w:tcW w:type="dxa" w:w="2801"/>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0.36</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
            </w:r>
            <w:r w:rsidRPr="0028293E">
              <w:rPr>
                <w:rFonts w:eastAsiaTheme="minorEastAsia" w:hint="eastAsia"/>
                <w:color w:themeColor="text1" w:val="000000"/>
                <w:sz w:val="24"/>
              </w:rPr>
              <w:t/>
            </w:r>
            <w:r w:rsidRPr="0028293E">
              <w:rPr>
                <w:rFonts w:eastAsiaTheme="minorEastAsia"/>
                <w:color w:themeColor="text1" w:val="000000"/>
                <w:sz w:val="24"/>
              </w:rPr>
              <w:t>9</w:t>
            </w:r>
          </w:p>
        </w:tc>
        <w:tc>
          <w:tcPr>
            <w:tcW w:type="dxa" w:w="2824"/>
            <w:vAlign w:val="center"/>
          </w:tcPr>
          <w:p w:rsidP="002D2971" w:rsidR="00C51B4E" w:rsidRDefault="00C51B4E" w:rsidRPr="0028293E">
            <w:pPr>
              <w:spacing w:line="360" w:lineRule="auto"/>
              <w:rPr>
                <w:rFonts w:eastAsiaTheme="minorEastAsia"/>
                <w:color w:themeColor="text1" w:val="000000"/>
                <w:sz w:val="24"/>
              </w:rPr>
            </w:pPr>
            <w:r w:rsidRPr="0028293E">
              <w:rPr>
                <w:rFonts w:eastAsiaTheme="minorEastAsia"/>
                <w:color w:themeColor="text1" w:val="000000"/>
                <w:sz w:val="24"/>
              </w:rPr>
              <w:t>合计</w:t>
            </w:r>
          </w:p>
        </w:tc>
        <w:tc>
          <w:tcPr>
            <w:tcW w:type="dxa" w:w="2552"/>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30,772,554.34</w:t>
            </w:r>
          </w:p>
        </w:tc>
        <w:tc>
          <w:tcPr>
            <w:tcW w:type="dxa" w:w="2801"/>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100.00</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P="001A5D39" w:rsidR="001A5D39" w:rsidRDefault="001A5D39">
      <w:pPr>
        <w:rPr>
          <w:rFonts w:eastAsiaTheme="minorEastAsia"/>
          <w:b/>
          <w:color w:themeColor="text1" w:val="000000"/>
          <w:kern w:val="0"/>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1A5E45" w:rsidR="005F69E7" w:rsidRDefault="001A5E45" w:rsidRPr="005F69E7">
      <w:pPr>
        <w:jc w:val="right"/>
        <w:rPr>
          <w:sz w:val="24"/>
        </w:rPr>
      </w:pPr>
      <w:r w:rsidRPr="001A5E45">
        <w:rPr>
          <w:rFonts w:hint="eastAsia"/>
          <w:sz w:val="24"/>
        </w:rPr>
        <w:t/>
      </w:r>
      <w:r w:rsidRPr="001A5E45">
        <w:rPr>
          <w:rFonts w:hint="eastAsia"/>
          <w:sz w:val="24"/>
        </w:rPr>
        <w:t>金额单位：人民币元</w:t>
      </w:r>
    </w:p>
    <w:tbl>
      <w:tblPr>
        <w:tblW w:type="dxa" w:w="8868"/>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113"/>
          <w:right w:type="dxa" w:w="113"/>
        </w:tblCellMar>
        <w:tblLook w:firstColumn="0" w:firstRow="0" w:lastColumn="0" w:lastRow="0" w:noHBand="0" w:noVBand="0" w:val="0000"/>
      </w:tblPr>
      <w:tblGrid>
        <w:gridCol w:w="772"/>
        <w:gridCol w:w="3525"/>
        <w:gridCol w:w="2897"/>
        <w:gridCol w:w="1674"/>
      </w:tblGrid>
      <w:tr w:rsidR="005F458B" w:rsidRPr="007F52FA" w:rsidTr="004D7E11">
        <w:trPr>
          <w:trHeight w:val="390"/>
          <w:jc w:val="center"/>
        </w:trPr>
        <w:tc>
          <w:tcPr>
            <w:tcW w:type="dxa" w:w="772"/>
            <w:tcBorders>
              <w:top w:color="000000" w:space="0" w:sz="4" w:val="single"/>
              <w:left w:color="000000" w:space="0" w:sz="4" w:val="single"/>
              <w:bottom w:color="000000" w:space="0" w:sz="4" w:val="single"/>
              <w:right w:color="000000" w:space="0" w:sz="4" w:val="single"/>
            </w:tcBorders>
            <w:vAlign w:val="center"/>
          </w:tcPr>
          <w:p w:rsidP="007C14DF" w:rsidR="005F458B" w:rsidRDefault="005F458B" w:rsidRPr="007F52FA">
            <w:pPr>
              <w:adjustRightInd w:val="0"/>
              <w:snapToGrid w:val="0"/>
              <w:spacing w:before="29" w:line="288" w:lineRule="auto"/>
              <w:jc w:val="center"/>
              <w:rPr>
                <w:sz w:val="24"/>
              </w:rPr>
            </w:pPr>
            <w:r w:rsidRPr="007F52FA">
              <w:rPr>
                <w:sz w:val="24"/>
              </w:rPr>
              <w:t>代码</w:t>
            </w:r>
            <w:r w:rsidR="00FA0527" w:rsidRPr="007F52FA">
              <w:rPr>
                <w:sz w:val="24"/>
              </w:rPr>
              <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行业类别</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1A5E45" w:rsidRPr="007F52FA">
            <w:pPr>
              <w:adjustRightInd w:val="0"/>
              <w:snapToGrid w:val="0"/>
              <w:spacing w:before="29" w:line="288" w:lineRule="auto"/>
              <w:jc w:val="center"/>
              <w:rPr>
                <w:sz w:val="24"/>
              </w:rPr>
            </w:pPr>
            <w:r>
              <w:rPr>
                <w:sz w:val="24"/>
              </w:rPr>
              <w:t>公允价值</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占基金资产净值比例（％）</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A</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农、林、牧、渔业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autoSpaceDE w:val="0"/>
              <w:autoSpaceDN w:val="0"/>
              <w:adjustRightInd w:val="0"/>
              <w:spacing w:before="29" w:line="288" w:lineRule="auto"/>
              <w:ind w:left="15"/>
              <w:jc w:val="right"/>
              <w:rPr>
                <w:sz w:val="24"/>
              </w:rPr>
            </w:pPr>
            <w:r w:rsidRPr="007F52FA">
              <w:rPr>
                <w:sz w:val="24"/>
              </w:rPr>
              <w:t>349,716.00</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utoSpaceDE w:val="0"/>
              <w:autoSpaceDN w:val="0"/>
              <w:adjustRightInd w:val="0"/>
              <w:spacing w:before="29" w:line="288" w:lineRule="auto"/>
              <w:ind w:left="15"/>
              <w:jc w:val="right"/>
              <w:rPr>
                <w:sz w:val="24"/>
              </w:rPr>
            </w:pPr>
            <w:r w:rsidRPr="007F52FA">
              <w:rPr>
                <w:sz w:val="24"/>
              </w:rPr>
              <w:t>1.17</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B</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采矿业</w:t>
            </w:r>
          </w:p>
        </w:tc>
        <w:tc>
          <w:tcPr>
            <w:tcW w:type="dxa" w:w="2897"/>
            <w:tcBorders>
              <w:top w:color="000000" w:space="0" w:sz="4" w:val="single"/>
              <w:left w:color="auto" w:space="0" w:sz="4" w:val="single"/>
              <w:bottom w:color="000000" w:space="0" w:sz="4" w:val="single"/>
              <w:right w:color="000000" w:space="0" w:sz="4" w:val="single"/>
            </w:tcBorders>
            <w:vAlign w:val="center"/>
          </w:tcPr>
          <w:p w:rsidP="00DF744A"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DF744A"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C</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制造业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1,087,935.62</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3.63</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D</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电力、热力、燃气及水生产和供应业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E</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建筑业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F</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批发和零售业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
            </w:r>
            <w:r w:rsidRPr="007F52FA">
              <w:rPr>
                <w:sz w:val="24"/>
              </w:rPr>
              <w:lastRenderedPageBreak/>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lastRenderedPageBreak/>
              <w:t>G</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交通运输、仓储和邮政业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H</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住宿和餐饮业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240CA0">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I</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240CA0" w:rsidR="005F458B" w:rsidRDefault="005F458B" w:rsidRPr="007F52FA">
            <w:pPr>
              <w:adjustRightInd w:val="0"/>
              <w:snapToGrid w:val="0"/>
              <w:spacing w:before="29" w:line="288" w:lineRule="auto"/>
              <w:rPr>
                <w:sz w:val="24"/>
              </w:rPr>
            </w:pPr>
            <w:r w:rsidRPr="007F52FA">
              <w:rPr>
                <w:sz w:val="24"/>
              </w:rPr>
              <w:t>信息传输、软件和信息技术服务业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J</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金融业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K</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房地产业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L</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租赁和商务服务业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M</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科学研究和技术服务业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lastRenderedPageBreak/>
              <w:t>N</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水利、环境和公共设施管理业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O</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居民服务、修理和其他服务业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P</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教育</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Q</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卫生和社会工作</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R</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文化、体育和娱乐业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S</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综合</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合计</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1,437,651.62</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4.79</w:t>
            </w:r>
          </w:p>
        </w:tc>
      </w:tr>
    </w:tbl>
    <w:p w:rsidP="001A5D39" w:rsidR="001A5D39" w:rsidRDefault="001A5D39"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BE251D">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1A5D39" w:rsidR="001A5D39" w:rsidRDefault="001A5D39">
      <w:pPr>
        <w:spacing w:before="29" w:line="360" w:lineRule="auto"/>
        <w:ind w:left="17"/>
        <w:rPr>
          <w:color w:val="000000"/>
          <w:sz w:val="24"/>
        </w:rPr>
      </w:pPr>
      <w:r w:rsidRPr="00FF0BBF">
        <w:rPr>
          <w:color w:val="000000"/>
          <w:sz w:val="24"/>
        </w:rPr>
        <w:t>本基金本报告期末未持有通过港股通投资的股票。</w:t>
      </w:r>
    </w:p>
    <w:p w:rsidP="007C14DF" w:rsidR="009238DB" w:rsidRDefault="009238DB" w:rsidRPr="001A5D39">
      <w:pPr>
        <w:autoSpaceDE w:val="0"/>
        <w:autoSpaceDN w:val="0"/>
        <w:adjustRightInd w:val="0"/>
        <w:spacing w:before="29" w:line="288" w:lineRule="auto"/>
        <w:jc w:val="left"/>
        <w:rPr>
          <w:rFonts w:eastAsiaTheme="minorEastAsia"/>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1" w:val="04A0"/>
      </w:tblPr>
      <w:tblGrid>
        <w:gridCol w:w="850"/>
        <w:gridCol w:w="1327"/>
        <w:gridCol w:w="1769"/>
        <w:gridCol w:w="1327"/>
        <w:gridCol w:w="1915"/>
        <w:gridCol w:w="1680"/>
      </w:tblGrid>
      <w:tr w:rsidR="000871DB" w:rsidRPr="007F52FA" w:rsidTr="00481DB2">
        <w:trPr>
          <w:jc w:val="center"/>
        </w:trPr>
        <w:tc>
          <w:tcPr>
            <w:tcW w:type="dxa" w:w="817"/>
            <w:vAlign w:val="center"/>
          </w:tcPr>
          <w:p w:rsidP="007C14DF" w:rsidR="000871DB" w:rsidRDefault="000871DB" w:rsidRPr="007F52FA">
            <w:pPr>
              <w:spacing w:before="29" w:line="288" w:lineRule="auto"/>
              <w:ind w:left="17"/>
              <w:jc w:val="center"/>
              <w:rPr>
                <w:color w:val="000000"/>
                <w:sz w:val="24"/>
              </w:rPr>
            </w:pPr>
            <w:r w:rsidRPr="007F52FA">
              <w:rPr>
                <w:color w:val="000000"/>
                <w:sz w:val="24"/>
              </w:rPr>
              <w:t>序号</w:t>
            </w:r>
          </w:p>
        </w:tc>
        <w:tc>
          <w:tcPr>
            <w:tcW w:type="dxa" w:w="1276"/>
            <w:vAlign w:val="center"/>
          </w:tcPr>
          <w:p w:rsidP="007C14DF" w:rsidR="000871DB" w:rsidRDefault="000871DB" w:rsidRPr="007F52FA">
            <w:pPr>
              <w:spacing w:before="29" w:line="288" w:lineRule="auto"/>
              <w:ind w:left="17"/>
              <w:jc w:val="center"/>
              <w:rPr>
                <w:color w:val="000000"/>
                <w:sz w:val="24"/>
              </w:rPr>
            </w:pPr>
            <w:r w:rsidRPr="007F52FA">
              <w:rPr>
                <w:color w:val="000000"/>
                <w:sz w:val="24"/>
              </w:rPr>
              <w:t>股票代码</w:t>
            </w:r>
          </w:p>
        </w:tc>
        <w:tc>
          <w:tcPr>
            <w:tcW w:type="dxa" w:w="1701"/>
            <w:vAlign w:val="center"/>
          </w:tcPr>
          <w:p w:rsidP="007C14DF" w:rsidR="000871DB" w:rsidRDefault="000871DB" w:rsidRPr="007F52FA">
            <w:pPr>
              <w:spacing w:before="29" w:line="288" w:lineRule="auto"/>
              <w:ind w:left="17"/>
              <w:jc w:val="center"/>
              <w:rPr>
                <w:color w:val="000000"/>
                <w:sz w:val="24"/>
              </w:rPr>
            </w:pPr>
            <w:r w:rsidRPr="007F52FA">
              <w:rPr>
                <w:color w:val="000000"/>
                <w:sz w:val="24"/>
              </w:rPr>
              <w:t>股票名称</w:t>
            </w:r>
          </w:p>
        </w:tc>
        <w:tc>
          <w:tcPr>
            <w:tcW w:type="dxa" w:w="1276"/>
            <w:vAlign w:val="center"/>
          </w:tcPr>
          <w:p w:rsidP="007C14DF" w:rsidR="000871DB" w:rsidRDefault="000871DB" w:rsidRPr="007F52FA">
            <w:pPr>
              <w:spacing w:before="29" w:line="288" w:lineRule="auto"/>
              <w:ind w:left="17"/>
              <w:jc w:val="center"/>
              <w:rPr>
                <w:color w:val="000000"/>
                <w:sz w:val="24"/>
              </w:rPr>
            </w:pPr>
            <w:r w:rsidRPr="007F52FA">
              <w:rPr>
                <w:color w:val="000000"/>
                <w:sz w:val="24"/>
              </w:rPr>
              <w:t>数量</w:t>
            </w:r>
            <w:r w:rsidR="00C44F1F" w:rsidRPr="007F52FA">
              <w:rPr>
                <w:sz w:val="24"/>
              </w:rPr>
              <w:t>（</w:t>
            </w:r>
            <w:r w:rsidRPr="007F52FA">
              <w:rPr>
                <w:color w:val="000000"/>
                <w:sz w:val="24"/>
              </w:rPr>
              <w:t>股</w:t>
            </w:r>
            <w:r w:rsidR="00C44F1F" w:rsidRPr="007F52FA">
              <w:rPr>
                <w:sz w:val="24"/>
              </w:rPr>
              <w:t>）</w:t>
            </w:r>
          </w:p>
        </w:tc>
        <w:tc>
          <w:tcPr>
            <w:tcW w:type="dxa" w:w="1842"/>
            <w:vAlign w:val="center"/>
          </w:tcPr>
          <w:p w:rsidP="007C14DF" w:rsidR="000871DB" w:rsidRDefault="000871DB" w:rsidRPr="007F52FA">
            <w:pPr>
              <w:autoSpaceDE w:val="0"/>
              <w:autoSpaceDN w:val="0"/>
              <w:adjustRightInd w:val="0"/>
              <w:spacing w:before="29" w:line="288" w:lineRule="auto"/>
              <w:ind w:left="17"/>
              <w:jc w:val="center"/>
              <w:rPr>
                <w:color w:val="000000"/>
                <w:sz w:val="24"/>
              </w:rPr>
            </w:pPr>
            <w:r w:rsidRPr="007F52FA">
              <w:rPr>
                <w:color w:val="000000"/>
                <w:sz w:val="24"/>
              </w:rPr>
              <w:t>公允价值</w:t>
            </w:r>
            <w:r w:rsidR="002D3BDD" w:rsidRPr="007F52FA">
              <w:rPr>
                <w:color w:val="000000"/>
                <w:kern w:val="0"/>
                <w:sz w:val="24"/>
              </w:rPr>
              <w:t>(</w:t>
            </w:r>
            <w:r w:rsidR="00C44F1F" w:rsidRPr="007F52FA">
              <w:rPr>
                <w:sz w:val="24"/>
              </w:rPr>
              <w:t>元</w:t>
            </w:r>
            <w:r w:rsidR="002D3BDD" w:rsidRPr="007F52FA">
              <w:rPr>
                <w:color w:val="000000"/>
                <w:kern w:val="0"/>
                <w:sz w:val="24"/>
              </w:rPr>
              <w:t>)</w:t>
            </w:r>
          </w:p>
        </w:tc>
        <w:tc>
          <w:tcPr>
            <w:tcW w:type="dxa" w:w="1616"/>
            <w:vAlign w:val="center"/>
          </w:tcPr>
          <w:p w:rsidP="007C14DF" w:rsidR="000871DB" w:rsidRDefault="000871DB" w:rsidRPr="007F52FA">
            <w:pPr>
              <w:spacing w:before="29" w:line="288" w:lineRule="auto"/>
              <w:ind w:left="17"/>
              <w:jc w:val="center"/>
              <w:rPr>
                <w:color w:val="000000"/>
                <w:sz w:val="24"/>
              </w:rPr>
            </w:pPr>
            <w:r w:rsidRPr="007F52FA">
              <w:rPr>
                <w:color w:val="000000"/>
                <w:sz w:val="24"/>
              </w:rPr>
              <w:t>占基金资产净值比例</w:t>
            </w:r>
            <w:r w:rsidR="00C44F1F" w:rsidRPr="007F52FA">
              <w:rPr>
                <w:sz w:val="24"/>
              </w:rPr>
              <w:t>（</w:t>
            </w:r>
            <w:r w:rsidRPr="007F52FA">
              <w:rPr>
                <w:color w:val="000000"/>
                <w:sz w:val="24"/>
              </w:rPr>
              <w:t>％</w:t>
            </w:r>
            <w:r w:rsidR="00C44F1F" w:rsidRPr="007F52FA">
              <w:rPr>
                <w:sz w:val="24"/>
              </w:rPr>
              <w:t>）</w:t>
            </w:r>
          </w:p>
        </w:tc>
      </w:tr>
      <w:tr>
        <w:tc>
          <w:tcPr>
            <w:vAlign w:val="center"/>
          </w:tcPr>
          <w:p>
            <w:pPr>
              <w:jc w:val="center"/>
            </w:pPr>
            <w:r>
              <w:rPr>
                <w:color w:val="000000"/>
                <w:sz w:val="24"/>
              </w:rPr>
              <w:t>1</w:t>
            </w:r>
          </w:p>
        </w:tc>
        <w:tc>
          <w:tcPr>
            <w:vAlign w:val="center"/>
          </w:tcPr>
          <w:p>
            <w:pPr>
              <w:jc w:val="center"/>
            </w:pPr>
            <w:r>
              <w:rPr>
                <w:color w:val="000000"/>
                <w:sz w:val="24"/>
              </w:rPr>
              <w:t>002271</w:t>
            </w:r>
          </w:p>
        </w:tc>
        <w:tc>
          <w:tcPr>
            <w:vAlign w:val="center"/>
          </w:tcPr>
          <w:p>
            <w:pPr>
              <w:jc w:val="center"/>
            </w:pPr>
            <w:r>
              <w:rPr>
                <w:color w:val="000000"/>
                <w:sz w:val="24"/>
              </w:rPr>
              <w:t>东方雨虹</w:t>
            </w:r>
          </w:p>
        </w:tc>
        <w:tc>
          <w:tcPr>
            <w:vAlign w:val="center"/>
          </w:tcPr>
          <w:p>
            <w:pPr>
              <w:jc w:val="right"/>
            </w:pPr>
            <w:r>
              <w:rPr>
                <w:color w:val="000000"/>
                <w:sz w:val="24"/>
              </w:rPr>
              <w:t>13,392</w:t>
            </w:r>
          </w:p>
        </w:tc>
        <w:tc>
          <w:tcPr>
            <w:vAlign w:val="center"/>
          </w:tcPr>
          <w:p>
            <w:pPr>
              <w:jc w:val="right"/>
            </w:pPr>
            <w:r>
              <w:rPr>
                <w:color w:val="000000"/>
                <w:sz w:val="24"/>
              </w:rPr>
              <w:t>455,729.76</w:t>
            </w:r>
          </w:p>
        </w:tc>
        <w:tc>
          <w:tcPr>
            <w:vAlign w:val="center"/>
          </w:tcPr>
          <w:p>
            <w:pPr>
              <w:jc w:val="right"/>
            </w:pPr>
            <w:r>
              <w:rPr>
                <w:color w:val="000000"/>
                <w:sz w:val="24"/>
              </w:rPr>
              <w:t>1.52</w:t>
            </w:r>
          </w:p>
        </w:tc>
      </w:tr>
      <w:tr>
        <w:tc>
          <w:tcPr>
            <w:vAlign w:val="center"/>
          </w:tcPr>
          <w:p>
            <w:pPr>
              <w:jc w:val="center"/>
            </w:pPr>
            <w:r>
              <w:rPr>
                <w:color w:val="000000"/>
                <w:sz w:val="24"/>
              </w:rPr>
              <w:t>2</w:t>
            </w:r>
          </w:p>
        </w:tc>
        <w:tc>
          <w:tcPr>
            <w:vAlign w:val="center"/>
          </w:tcPr>
          <w:p>
            <w:pPr>
              <w:jc w:val="center"/>
            </w:pPr>
            <w:r>
              <w:rPr>
                <w:color w:val="000000"/>
                <w:sz w:val="24"/>
              </w:rPr>
              <w:t>000998</w:t>
            </w:r>
          </w:p>
        </w:tc>
        <w:tc>
          <w:tcPr>
            <w:vAlign w:val="center"/>
          </w:tcPr>
          <w:p>
            <w:pPr>
              <w:jc w:val="center"/>
            </w:pPr>
            <w:r>
              <w:rPr>
                <w:color w:val="000000"/>
                <w:sz w:val="24"/>
              </w:rPr>
              <w:t>隆平高科</w:t>
            </w:r>
          </w:p>
        </w:tc>
        <w:tc>
          <w:tcPr>
            <w:vAlign w:val="center"/>
          </w:tcPr>
          <w:p>
            <w:pPr>
              <w:jc w:val="right"/>
            </w:pPr>
            <w:r>
              <w:rPr>
                <w:color w:val="000000"/>
                <w:sz w:val="24"/>
              </w:rPr>
              <w:t>19,300</w:t>
            </w:r>
          </w:p>
        </w:tc>
        <w:tc>
          <w:tcPr>
            <w:vAlign w:val="center"/>
          </w:tcPr>
          <w:p>
            <w:pPr>
              <w:jc w:val="right"/>
            </w:pPr>
            <w:r>
              <w:rPr>
                <w:color w:val="000000"/>
                <w:sz w:val="24"/>
              </w:rPr>
              <w:t>349,716.00</w:t>
            </w:r>
          </w:p>
        </w:tc>
        <w:tc>
          <w:tcPr>
            <w:vAlign w:val="center"/>
          </w:tcPr>
          <w:p>
            <w:pPr>
              <w:jc w:val="right"/>
            </w:pPr>
            <w:r>
              <w:rPr>
                <w:color w:val="000000"/>
                <w:sz w:val="24"/>
              </w:rPr>
              <w:t>1.17</w:t>
            </w:r>
          </w:p>
        </w:tc>
      </w:tr>
      <w:tr>
        <w:tc>
          <w:tcPr>
            <w:vAlign w:val="center"/>
          </w:tcPr>
          <w:p>
            <w:pPr>
              <w:jc w:val="center"/>
            </w:pPr>
            <w:r>
              <w:rPr>
                <w:color w:val="000000"/>
                <w:sz w:val="24"/>
              </w:rPr>
              <w:t>3</w:t>
            </w:r>
          </w:p>
        </w:tc>
        <w:tc>
          <w:tcPr>
            <w:vAlign w:val="center"/>
          </w:tcPr>
          <w:p>
            <w:pPr>
              <w:jc w:val="center"/>
            </w:pPr>
            <w:r>
              <w:rPr>
                <w:color w:val="000000"/>
                <w:sz w:val="24"/>
              </w:rPr>
              <w:t>603517</w:t>
            </w:r>
          </w:p>
        </w:tc>
        <w:tc>
          <w:tcPr>
            <w:vAlign w:val="center"/>
          </w:tcPr>
          <w:p>
            <w:pPr>
              <w:jc w:val="center"/>
            </w:pPr>
            <w:r>
              <w:rPr>
                <w:color w:val="000000"/>
                <w:sz w:val="24"/>
              </w:rPr>
              <w:t>绝味食品</w:t>
            </w:r>
          </w:p>
        </w:tc>
        <w:tc>
          <w:tcPr>
            <w:vAlign w:val="center"/>
          </w:tcPr>
          <w:p>
            <w:pPr>
              <w:jc w:val="right"/>
            </w:pPr>
            <w:r>
              <w:rPr>
                <w:color w:val="000000"/>
                <w:sz w:val="24"/>
              </w:rPr>
              <w:t>6,200</w:t>
            </w:r>
          </w:p>
        </w:tc>
        <w:tc>
          <w:tcPr>
            <w:vAlign w:val="center"/>
          </w:tcPr>
          <w:p>
            <w:pPr>
              <w:jc w:val="right"/>
            </w:pPr>
            <w:r>
              <w:rPr>
                <w:color w:val="000000"/>
                <w:sz w:val="24"/>
              </w:rPr>
              <w:t>320,850.00</w:t>
            </w:r>
          </w:p>
        </w:tc>
        <w:tc>
          <w:tcPr>
            <w:vAlign w:val="center"/>
          </w:tcPr>
          <w:p>
            <w:pPr>
              <w:jc w:val="right"/>
            </w:pPr>
            <w:r>
              <w:rPr>
                <w:color w:val="000000"/>
                <w:sz w:val="24"/>
              </w:rPr>
              <w:t>1.07</w:t>
            </w:r>
          </w:p>
        </w:tc>
      </w:tr>
      <w:tr>
        <w:tc>
          <w:tcPr>
            <w:vAlign w:val="center"/>
          </w:tcPr>
          <w:p>
            <w:pPr>
              <w:jc w:val="center"/>
            </w:pPr>
            <w:r>
              <w:rPr>
                <w:color w:val="000000"/>
                <w:sz w:val="24"/>
              </w:rPr>
              <w:t>4</w:t>
            </w:r>
          </w:p>
        </w:tc>
        <w:tc>
          <w:tcPr>
            <w:vAlign w:val="center"/>
          </w:tcPr>
          <w:p>
            <w:pPr>
              <w:jc w:val="center"/>
            </w:pPr>
            <w:r>
              <w:rPr>
                <w:color w:val="000000"/>
                <w:sz w:val="24"/>
              </w:rPr>
              <w:t>600438</w:t>
            </w:r>
          </w:p>
        </w:tc>
        <w:tc>
          <w:tcPr>
            <w:vAlign w:val="center"/>
          </w:tcPr>
          <w:p>
            <w:pPr>
              <w:jc w:val="center"/>
            </w:pPr>
            <w:r>
              <w:rPr>
                <w:color w:val="000000"/>
                <w:sz w:val="24"/>
              </w:rPr>
              <w:t>通威股份</w:t>
            </w:r>
          </w:p>
        </w:tc>
        <w:tc>
          <w:tcPr>
            <w:vAlign w:val="center"/>
          </w:tcPr>
          <w:p>
            <w:pPr>
              <w:jc w:val="right"/>
            </w:pPr>
            <w:r>
              <w:rPr>
                <w:color w:val="000000"/>
                <w:sz w:val="24"/>
              </w:rPr>
              <w:t>17,426</w:t>
            </w:r>
          </w:p>
        </w:tc>
        <w:tc>
          <w:tcPr>
            <w:vAlign w:val="center"/>
          </w:tcPr>
          <w:p>
            <w:pPr>
              <w:jc w:val="right"/>
            </w:pPr>
            <w:r>
              <w:rPr>
                <w:color w:val="000000"/>
                <w:sz w:val="24"/>
              </w:rPr>
              <w:t>202,315.86</w:t>
            </w:r>
          </w:p>
        </w:tc>
        <w:tc>
          <w:tcPr>
            <w:vAlign w:val="center"/>
          </w:tcPr>
          <w:p>
            <w:pPr>
              <w:jc w:val="right"/>
            </w:pPr>
            <w:r>
              <w:rPr>
                <w:color w:val="000000"/>
                <w:sz w:val="24"/>
              </w:rPr>
              <w:t>0.67</w:t>
            </w:r>
          </w:p>
        </w:tc>
      </w:tr>
      <w:tr>
        <w:tc>
          <w:tcPr>
            <w:vAlign w:val="center"/>
          </w:tcPr>
          <w:p>
            <w:pPr>
              <w:jc w:val="center"/>
            </w:pPr>
            <w:r>
              <w:rPr>
                <w:color w:val="000000"/>
                <w:sz w:val="24"/>
              </w:rPr>
              <w:t>5</w:t>
            </w:r>
          </w:p>
        </w:tc>
        <w:tc>
          <w:tcPr>
            <w:vAlign w:val="center"/>
          </w:tcPr>
          <w:p>
            <w:pPr>
              <w:jc w:val="center"/>
            </w:pPr>
            <w:r>
              <w:rPr>
                <w:color w:val="000000"/>
                <w:sz w:val="24"/>
              </w:rPr>
              <w:t>601058</w:t>
            </w:r>
          </w:p>
        </w:tc>
        <w:tc>
          <w:tcPr>
            <w:vAlign w:val="center"/>
          </w:tcPr>
          <w:p>
            <w:pPr>
              <w:jc w:val="center"/>
            </w:pPr>
            <w:r>
              <w:rPr>
                <w:color w:val="000000"/>
                <w:sz w:val="24"/>
              </w:rPr>
              <w:t>赛轮轮胎</w:t>
            </w:r>
          </w:p>
        </w:tc>
        <w:tc>
          <w:tcPr>
            <w:vAlign w:val="center"/>
          </w:tcPr>
          <w:p>
            <w:pPr>
              <w:jc w:val="right"/>
            </w:pPr>
            <w:r>
              <w:rPr>
                <w:color w:val="000000"/>
                <w:sz w:val="24"/>
              </w:rPr>
              <w:t>29,000</w:t>
            </w:r>
          </w:p>
        </w:tc>
        <w:tc>
          <w:tcPr>
            <w:vAlign w:val="center"/>
          </w:tcPr>
          <w:p>
            <w:pPr>
              <w:jc w:val="right"/>
            </w:pPr>
            <w:r>
              <w:rPr>
                <w:color w:val="000000"/>
                <w:sz w:val="24"/>
              </w:rPr>
              <w:t>109,040.00</w:t>
            </w:r>
          </w:p>
        </w:tc>
        <w:tc>
          <w:tcPr>
            <w:vAlign w:val="center"/>
          </w:tcPr>
          <w:p>
            <w:pPr>
              <w:jc w:val="right"/>
            </w:pPr>
            <w:r>
              <w:rPr>
                <w:color w:val="000000"/>
                <w:sz w:val="24"/>
              </w:rPr>
              <w:t>0.36</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P="001A5E45" w:rsidR="008220BF" w:rsidRDefault="001A5E45" w:rsidRPr="008220BF">
      <w:pPr>
        <w:autoSpaceDE w:val="0"/>
        <w:autoSpaceDN w:val="0"/>
        <w:adjustRightInd w:val="0"/>
        <w:spacing w:before="29" w:line="288" w:lineRule="auto"/>
        <w:jc w:val="right"/>
        <w:rPr>
          <w:color w:val="000000"/>
          <w:kern w:val="0"/>
          <w:sz w:val="24"/>
        </w:rPr>
      </w:pPr>
      <w:r w:rsidRPr="001A5E45">
        <w:rPr>
          <w:rFonts w:hint="eastAsia"/>
          <w:color w:val="000000"/>
          <w:kern w:val="0"/>
          <w:sz w:val="24"/>
        </w:rPr>
        <w:t/>
      </w:r>
      <w:r w:rsidRPr="001A5E45">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0"/>
        <w:gridCol w:w="3390"/>
        <w:gridCol w:w="2948"/>
        <w:gridCol w:w="1680"/>
      </w:tblGrid>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序号</w:t>
            </w:r>
          </w:p>
        </w:tc>
        <w:tc>
          <w:tcPr>
            <w:tcW w:type="dxa" w:w="3260"/>
            <w:vAlign w:val="center"/>
          </w:tcPr>
          <w:p w:rsidP="007C14DF" w:rsidR="00296E4A" w:rsidRDefault="00296E4A" w:rsidRPr="007F52FA">
            <w:pPr>
              <w:spacing w:before="29" w:line="288" w:lineRule="auto"/>
              <w:ind w:left="17"/>
              <w:jc w:val="center"/>
              <w:rPr>
                <w:color w:val="000000"/>
                <w:sz w:val="24"/>
              </w:rPr>
            </w:pPr>
            <w:r w:rsidRPr="007F52FA">
              <w:rPr>
                <w:color w:val="000000"/>
                <w:sz w:val="24"/>
              </w:rPr>
              <w:t>债券品种</w:t>
            </w:r>
            <w:r w:rsidR="00EB58F5" w:rsidRPr="007F52FA">
              <w:rPr>
                <w:color w:val="000000"/>
                <w:sz w:val="24"/>
              </w:rPr>
              <w:t/>
            </w:r>
          </w:p>
        </w:tc>
        <w:tc>
          <w:tcPr>
            <w:tcW w:type="dxa" w:w="2835"/>
            <w:vAlign w:val="center"/>
          </w:tcPr>
          <w:p w:rsidP="007C14DF" w:rsidR="00296E4A" w:rsidRDefault="00296E4A" w:rsidRPr="007F52FA">
            <w:pPr>
              <w:spacing w:before="29" w:line="288" w:lineRule="auto"/>
              <w:ind w:left="17"/>
              <w:jc w:val="center"/>
              <w:rPr>
                <w:color w:val="000000"/>
                <w:sz w:val="24"/>
              </w:rPr>
            </w:pPr>
            <w:r w:rsidRPr="007F52FA">
              <w:rPr>
                <w:color w:val="000000"/>
                <w:sz w:val="24"/>
              </w:rPr>
              <w:t>公允价值</w:t>
            </w:r>
          </w:p>
        </w:tc>
        <w:tc>
          <w:tcPr>
            <w:tcW w:type="dxa" w:w="1616"/>
            <w:vAlign w:val="center"/>
          </w:tcPr>
          <w:p w:rsidP="007C14DF" w:rsidR="00296E4A" w:rsidRDefault="00296E4A" w:rsidRPr="007F52FA">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1</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国家债券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
            </w:r>
            <w:r w:rsidRPr="007F52FA">
              <w:rPr>
                <w:color w:val="000000"/>
                <w:sz w:val="24"/>
              </w:rPr>
              <w:lastRenderedPageBreak/>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lastRenderedPageBreak/>
              <w:t/>
            </w:r>
            <w:r w:rsidRPr="007F52FA">
              <w:rPr>
                <w:color w:val="000000"/>
                <w:sz w:val="24"/>
              </w:rPr>
              <w:lastRenderedPageBreak/>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lastRenderedPageBreak/>
              <w:t>2</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央行票据</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3</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金融债券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1,708,550.00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5.69</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其中：政策性金融债</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1,708,550.00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5.69</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4</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企业债券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5</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
            </w:r>
            <w:r w:rsidRPr="007F52FA">
              <w:rPr>
                <w:color w:val="000000"/>
                <w:sz w:val="24"/>
              </w:rPr>
              <w:lastRenderedPageBreak/>
              <w:t>-</w:t>
            </w:r>
          </w:p>
        </w:tc>
      </w:tr>
      <w:tr w:rsidR="00686943" w:rsidRPr="007F52FA" w:rsidTr="000F7468">
        <w:trPr>
          <w:jc w:val="center"/>
        </w:trPr>
        <w:tc>
          <w:tcPr>
            <w:tcW w:type="dxa" w:w="817"/>
            <w:vAlign w:val="center"/>
          </w:tcPr>
          <w:p w:rsidP="007C14DF" w:rsidR="00686943" w:rsidRDefault="00686943" w:rsidRPr="007F52FA">
            <w:pPr>
              <w:spacing w:before="29" w:line="288" w:lineRule="auto"/>
              <w:ind w:left="17"/>
              <w:jc w:val="center"/>
              <w:rPr>
                <w:color w:val="000000"/>
                <w:sz w:val="24"/>
              </w:rPr>
            </w:pPr>
            <w:r w:rsidRPr="007F52FA">
              <w:rPr>
                <w:color w:val="000000"/>
                <w:sz w:val="24"/>
              </w:rPr>
              <w:lastRenderedPageBreak/>
              <w:t>6</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中期票据</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type="dxa" w:w="817"/>
            <w:vAlign w:val="center"/>
          </w:tcPr>
          <w:p w:rsidP="007C14DF" w:rsidR="00686943" w:rsidRDefault="00686943" w:rsidRPr="007F52FA">
            <w:pPr>
              <w:spacing w:before="29" w:line="288" w:lineRule="auto"/>
              <w:ind w:left="17"/>
              <w:jc w:val="center"/>
              <w:rPr>
                <w:color w:val="000000"/>
                <w:sz w:val="24"/>
              </w:rPr>
            </w:pPr>
            <w:r w:rsidRPr="007F52FA">
              <w:rPr>
                <w:color w:val="000000"/>
                <w:sz w:val="24"/>
              </w:rPr>
              <w:t>7</w:t>
            </w:r>
          </w:p>
        </w:tc>
        <w:tc>
          <w:tcPr>
            <w:tcW w:type="dxa" w:w="3260"/>
            <w:vAlign w:val="center"/>
          </w:tcPr>
          <w:p w:rsidP="007F50FB" w:rsidR="00686943" w:rsidRDefault="00686943" w:rsidRPr="007F52FA">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23,382,637.40</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77.91</w:t>
            </w:r>
          </w:p>
        </w:tc>
      </w:tr>
      <w:tr w:rsidR="00514118" w:rsidRPr="007F52FA" w:rsidTr="000F7468">
        <w:trPr>
          <w:jc w:val="center"/>
        </w:trPr>
        <w:tc>
          <w:tcPr>
            <w:tcW w:type="dxa" w:w="817"/>
            <w:vAlign w:val="center"/>
          </w:tcPr>
          <w:p w:rsidP="007C14DF" w:rsidR="00514118" w:rsidRDefault="00514118" w:rsidRPr="007F52FA">
            <w:pPr>
              <w:spacing w:before="29" w:line="288" w:lineRule="auto"/>
              <w:ind w:left="17"/>
              <w:jc w:val="center"/>
              <w:rPr>
                <w:color w:val="000000"/>
                <w:sz w:val="24"/>
              </w:rPr>
            </w:pPr>
            <w:r>
              <w:rPr>
                <w:rFonts w:hint="eastAsia"/>
                <w:color w:val="000000"/>
                <w:sz w:val="24"/>
              </w:rPr>
              <w:t>8</w:t>
            </w:r>
          </w:p>
        </w:tc>
        <w:tc>
          <w:tcPr>
            <w:tcW w:type="dxa" w:w="3260"/>
            <w:vAlign w:val="center"/>
          </w:tcPr>
          <w:p w:rsidP="007C14DF" w:rsidR="00514118" w:rsidRDefault="00B279B6" w:rsidRPr="007F52FA">
            <w:pPr>
              <w:spacing w:before="29" w:line="288" w:lineRule="auto"/>
              <w:ind w:left="17"/>
              <w:jc w:val="left"/>
              <w:rPr>
                <w:color w:val="000000"/>
                <w:sz w:val="24"/>
              </w:rPr>
            </w:pPr>
            <w:r w:rsidRPr="00AF0CAB">
              <w:rPr>
                <w:rFonts w:hint="eastAsia"/>
                <w:color w:val="000000"/>
                <w:sz w:val="24"/>
              </w:rPr>
              <w:t>同业存单</w:t>
            </w:r>
          </w:p>
        </w:tc>
        <w:tc>
          <w:tcPr>
            <w:tcW w:type="dxa" w:w="2835"/>
            <w:vAlign w:val="center"/>
          </w:tcPr>
          <w:p w:rsidP="007C14DF" w:rsidR="00514118" w:rsidRDefault="001936D7" w:rsidRPr="007F52FA">
            <w:pPr>
              <w:spacing w:before="29" w:line="288" w:lineRule="auto"/>
              <w:ind w:left="17"/>
              <w:jc w:val="right"/>
              <w:rPr>
                <w:color w:val="000000"/>
                <w:sz w:val="24"/>
              </w:rPr>
            </w:pPr>
            <w:r w:rsidRPr="00AF0CAB">
              <w:rPr>
                <w:rFonts w:hint="eastAsia"/>
                <w:color w:val="000000"/>
                <w:sz w:val="24"/>
              </w:rPr>
              <w:t/>
            </w:r>
            <w:r w:rsidRPr="00AF0CAB">
              <w:rPr>
                <w:color w:val="000000"/>
                <w:sz w:val="24"/>
              </w:rPr>
              <w:t/>
            </w:r>
            <w:r w:rsidRPr="00AF0CAB">
              <w:rPr>
                <w:rFonts w:hint="eastAsia"/>
                <w:color w:val="000000"/>
                <w:sz w:val="24"/>
              </w:rPr>
              <w:t>-</w:t>
            </w:r>
          </w:p>
        </w:tc>
        <w:tc>
          <w:tcPr>
            <w:tcW w:type="dxa" w:w="1616"/>
            <w:vAlign w:val="center"/>
          </w:tcPr>
          <w:p w:rsidP="007C14DF" w:rsidR="00514118" w:rsidRDefault="00FC6F53" w:rsidRPr="007F52FA">
            <w:pPr>
              <w:spacing w:before="29" w:line="288" w:lineRule="auto"/>
              <w:ind w:left="17"/>
              <w:jc w:val="right"/>
              <w:rPr>
                <w:color w:val="000000"/>
                <w:sz w:val="24"/>
              </w:rPr>
            </w:pPr>
            <w:r w:rsidRPr="00AF0CAB">
              <w:rPr>
                <w:rFonts w:hint="eastAsia"/>
                <w:color w:val="000000"/>
                <w:sz w:val="24"/>
              </w:rPr>
              <w:t/>
            </w:r>
            <w:r w:rsidRPr="00AF0CAB">
              <w:rPr>
                <w:color w:val="000000"/>
                <w:sz w:val="24"/>
              </w:rPr>
              <w:t/>
            </w:r>
            <w:r w:rsidRPr="00AF0CAB">
              <w:rPr>
                <w:rFonts w:hint="eastAsia"/>
                <w:color w:val="000000"/>
                <w:sz w:val="24"/>
              </w:rPr>
              <w:t>-</w:t>
            </w:r>
          </w:p>
        </w:tc>
      </w:tr>
      <w:tr w:rsidR="00686943" w:rsidRPr="007F52FA" w:rsidTr="000F7468">
        <w:trPr>
          <w:jc w:val="center"/>
        </w:trPr>
        <w:tc>
          <w:tcPr>
            <w:tcW w:type="dxa" w:w="817"/>
            <w:vAlign w:val="center"/>
          </w:tcPr>
          <w:p w:rsidP="00CB375E" w:rsidR="00686943" w:rsidRDefault="00686943" w:rsidRPr="007F52FA">
            <w:pPr>
              <w:spacing w:before="29" w:line="288" w:lineRule="auto"/>
              <w:ind w:left="17"/>
              <w:jc w:val="center"/>
              <w:rPr>
                <w:color w:val="000000"/>
                <w:sz w:val="24"/>
              </w:rPr>
            </w:pPr>
            <w:r w:rsidRPr="007F52FA">
              <w:rPr>
                <w:color w:val="000000"/>
                <w:sz w:val="24"/>
              </w:rPr>
              <w:t/>
            </w:r>
            <w:r w:rsidR="00CB375E">
              <w:rPr>
                <w:rFonts w:hint="eastAsia"/>
                <w:color w:val="000000"/>
                <w:sz w:val="24"/>
              </w:rPr>
              <w:t/>
            </w:r>
            <w:r w:rsidRPr="007F52FA">
              <w:rPr>
                <w:color w:val="000000"/>
                <w:sz w:val="24"/>
              </w:rPr>
              <w:t>9</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其他</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type="dxa" w:w="817"/>
            <w:vAlign w:val="center"/>
          </w:tcPr>
          <w:p w:rsidP="00CB375E" w:rsidR="00686943" w:rsidRDefault="00686943" w:rsidRPr="007F52FA">
            <w:pPr>
              <w:spacing w:before="29" w:line="288" w:lineRule="auto"/>
              <w:ind w:left="17"/>
              <w:jc w:val="center"/>
              <w:rPr>
                <w:color w:val="000000"/>
                <w:sz w:val="24"/>
              </w:rPr>
            </w:pPr>
            <w:r w:rsidRPr="007F52FA">
              <w:rPr>
                <w:color w:val="000000"/>
                <w:sz w:val="24"/>
              </w:rPr>
              <w:t/>
            </w:r>
            <w:r w:rsidR="00CB375E">
              <w:rPr>
                <w:rFonts w:hint="eastAsia"/>
                <w:color w:val="000000"/>
                <w:sz w:val="24"/>
              </w:rPr>
              <w:t/>
            </w:r>
            <w:r w:rsidRPr="007F52FA">
              <w:rPr>
                <w:color w:val="000000"/>
                <w:sz w:val="24"/>
              </w:rPr>
              <w:t>10</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合计</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25,091,187.40</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83.61</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P="001A5E45" w:rsidR="00D21CE9" w:rsidRDefault="001A5E45" w:rsidRPr="00D21CE9">
      <w:pPr>
        <w:autoSpaceDE w:val="0"/>
        <w:autoSpaceDN w:val="0"/>
        <w:adjustRightInd w:val="0"/>
        <w:spacing w:before="29" w:line="288" w:lineRule="auto"/>
        <w:jc w:val="right"/>
        <w:rPr>
          <w:color w:val="000000"/>
          <w:kern w:val="0"/>
          <w:sz w:val="24"/>
        </w:rPr>
      </w:pPr>
      <w:r w:rsidRPr="001A5E45">
        <w:rPr>
          <w:rFonts w:hint="eastAsia"/>
          <w:color w:val="000000"/>
          <w:kern w:val="0"/>
          <w:sz w:val="24"/>
        </w:rPr>
        <w:lastRenderedPageBreak/>
        <w:t/>
      </w:r>
      <w:r w:rsidRPr="001A5E45">
        <w:rPr>
          <w:rFonts w:hint="eastAsia"/>
          <w:color w:val="000000"/>
          <w:kern w:val="0"/>
          <w:sz w:val="24"/>
        </w:rPr>
        <w:t>金额单位：人民币元</w:t>
      </w:r>
    </w:p>
    <w:tbl>
      <w:tblPr>
        <w:tblStyle w:val="af2"/>
        <w:tblW w:type="dxa" w:w="8868"/>
        <w:jc w:val="center"/>
        <w:tblLayout w:type="fixed"/>
        <w:tblCellMar>
          <w:top w:type="dxa" w:w="57"/>
          <w:bottom w:type="dxa" w:w="57"/>
        </w:tblCellMar>
        <w:tblLook w:firstColumn="1" w:firstRow="1" w:lastColumn="0" w:lastRow="0" w:noHBand="0" w:noVBand="1" w:val="04A0"/>
      </w:tblPr>
      <w:tblGrid>
        <w:gridCol w:w="1075"/>
        <w:gridCol w:w="1533"/>
        <w:gridCol w:w="1533"/>
        <w:gridCol w:w="1394"/>
        <w:gridCol w:w="1944"/>
        <w:gridCol w:w="1389"/>
      </w:tblGrid>
      <w:tr w:rsidR="00685FFC" w:rsidRPr="007F52FA" w:rsidTr="00B236A5">
        <w:trPr>
          <w:jc w:val="center"/>
        </w:trPr>
        <w:tc>
          <w:tcPr>
            <w:tcW w:type="dxa" w:w="1095"/>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type="dxa" w:w="156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type="dxa" w:w="156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type="dxa" w:w="1420"/>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type="dxa" w:w="198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type="dxa" w:w="1415"/>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tc>
          <w:tcPr>
            <w:vAlign w:val="center"/>
          </w:tcPr>
          <w:p>
            <w:pPr>
              <w:jc w:val="center"/>
            </w:pPr>
            <w:r>
              <w:rPr>
                <w:color w:val="000000"/>
                <w:sz w:val="24"/>
              </w:rPr>
              <w:t>1</w:t>
            </w:r>
          </w:p>
        </w:tc>
        <w:tc>
          <w:tcPr>
            <w:vAlign w:val="center"/>
          </w:tcPr>
          <w:p>
            <w:pPr>
              <w:jc w:val="center"/>
            </w:pPr>
            <w:r>
              <w:rPr>
                <w:color w:val="000000"/>
                <w:sz w:val="24"/>
              </w:rPr>
              <w:t>113011</w:t>
            </w:r>
          </w:p>
        </w:tc>
        <w:tc>
          <w:tcPr>
            <w:vAlign w:val="center"/>
          </w:tcPr>
          <w:p>
            <w:pPr>
              <w:jc w:val="center"/>
            </w:pPr>
            <w:r>
              <w:rPr>
                <w:color w:val="000000"/>
                <w:sz w:val="24"/>
              </w:rPr>
              <w:t>光大转债</w:t>
            </w:r>
          </w:p>
        </w:tc>
        <w:tc>
          <w:tcPr>
            <w:vAlign w:val="center"/>
          </w:tcPr>
          <w:p>
            <w:pPr>
              <w:jc w:val="right"/>
            </w:pPr>
            <w:r>
              <w:rPr>
                <w:color w:val="000000"/>
                <w:sz w:val="24"/>
              </w:rPr>
              <w:t>17,770</w:t>
            </w:r>
          </w:p>
        </w:tc>
        <w:tc>
          <w:tcPr>
            <w:vAlign w:val="center"/>
          </w:tcPr>
          <w:p>
            <w:pPr>
              <w:jc w:val="right"/>
            </w:pPr>
            <w:r>
              <w:rPr>
                <w:color w:val="000000"/>
                <w:sz w:val="24"/>
              </w:rPr>
              <w:t>2,080,867.00</w:t>
            </w:r>
          </w:p>
        </w:tc>
        <w:tc>
          <w:tcPr>
            <w:vAlign w:val="center"/>
          </w:tcPr>
          <w:p>
            <w:pPr>
              <w:jc w:val="right"/>
            </w:pPr>
            <w:r>
              <w:rPr>
                <w:color w:val="000000"/>
                <w:sz w:val="24"/>
              </w:rPr>
              <w:t>6.93</w:t>
            </w:r>
          </w:p>
        </w:tc>
      </w:tr>
      <w:tr>
        <w:tc>
          <w:tcPr>
            <w:vAlign w:val="center"/>
          </w:tcPr>
          <w:p>
            <w:pPr>
              <w:jc w:val="center"/>
            </w:pPr>
            <w:r>
              <w:rPr>
                <w:color w:val="000000"/>
                <w:sz w:val="24"/>
              </w:rPr>
              <w:t>2</w:t>
            </w:r>
          </w:p>
        </w:tc>
        <w:tc>
          <w:tcPr>
            <w:vAlign w:val="center"/>
          </w:tcPr>
          <w:p>
            <w:pPr>
              <w:jc w:val="center"/>
            </w:pPr>
            <w:r>
              <w:rPr>
                <w:color w:val="000000"/>
                <w:sz w:val="24"/>
              </w:rPr>
              <w:t>132013</w:t>
            </w:r>
          </w:p>
        </w:tc>
        <w:tc>
          <w:tcPr>
            <w:vAlign w:val="center"/>
          </w:tcPr>
          <w:p>
            <w:pPr>
              <w:jc w:val="center"/>
            </w:pPr>
            <w:r>
              <w:rPr>
                <w:color w:val="000000"/>
                <w:sz w:val="24"/>
              </w:rPr>
              <w:t>17宝武EB</w:t>
            </w:r>
          </w:p>
        </w:tc>
        <w:tc>
          <w:tcPr>
            <w:vAlign w:val="center"/>
          </w:tcPr>
          <w:p>
            <w:pPr>
              <w:jc w:val="right"/>
            </w:pPr>
            <w:r>
              <w:rPr>
                <w:color w:val="000000"/>
                <w:sz w:val="24"/>
              </w:rPr>
              <w:t>16,000</w:t>
            </w:r>
          </w:p>
        </w:tc>
        <w:tc>
          <w:tcPr>
            <w:vAlign w:val="center"/>
          </w:tcPr>
          <w:p>
            <w:pPr>
              <w:jc w:val="right"/>
            </w:pPr>
            <w:r>
              <w:rPr>
                <w:color w:val="000000"/>
                <w:sz w:val="24"/>
              </w:rPr>
              <w:t>1,631,840.00</w:t>
            </w:r>
          </w:p>
        </w:tc>
        <w:tc>
          <w:tcPr>
            <w:vAlign w:val="center"/>
          </w:tcPr>
          <w:p>
            <w:pPr>
              <w:jc w:val="right"/>
            </w:pPr>
            <w:r>
              <w:rPr>
                <w:color w:val="000000"/>
                <w:sz w:val="24"/>
              </w:rPr>
              <w:t>5.44</w:t>
            </w:r>
          </w:p>
        </w:tc>
      </w:tr>
      <w:tr>
        <w:tc>
          <w:tcPr>
            <w:vAlign w:val="center"/>
          </w:tcPr>
          <w:p>
            <w:pPr>
              <w:jc w:val="center"/>
            </w:pPr>
            <w:r>
              <w:rPr>
                <w:color w:val="000000"/>
                <w:sz w:val="24"/>
              </w:rPr>
              <w:t>3</w:t>
            </w:r>
          </w:p>
        </w:tc>
        <w:tc>
          <w:tcPr>
            <w:vAlign w:val="center"/>
          </w:tcPr>
          <w:p>
            <w:pPr>
              <w:jc w:val="center"/>
            </w:pPr>
            <w:r>
              <w:rPr>
                <w:color w:val="000000"/>
                <w:sz w:val="24"/>
              </w:rPr>
              <w:t>110059</w:t>
            </w:r>
          </w:p>
        </w:tc>
        <w:tc>
          <w:tcPr>
            <w:vAlign w:val="center"/>
          </w:tcPr>
          <w:p>
            <w:pPr>
              <w:jc w:val="center"/>
            </w:pPr>
            <w:r>
              <w:rPr>
                <w:color w:val="000000"/>
                <w:sz w:val="24"/>
              </w:rPr>
              <w:t>浦发转债</w:t>
            </w:r>
          </w:p>
        </w:tc>
        <w:tc>
          <w:tcPr>
            <w:vAlign w:val="center"/>
          </w:tcPr>
          <w:p>
            <w:pPr>
              <w:jc w:val="right"/>
            </w:pPr>
            <w:r>
              <w:rPr>
                <w:color w:val="000000"/>
                <w:sz w:val="24"/>
              </w:rPr>
              <w:t>13,610</w:t>
            </w:r>
          </w:p>
        </w:tc>
        <w:tc>
          <w:tcPr>
            <w:vAlign w:val="center"/>
          </w:tcPr>
          <w:p>
            <w:pPr>
              <w:jc w:val="right"/>
            </w:pPr>
            <w:r>
              <w:rPr>
                <w:color w:val="000000"/>
                <w:sz w:val="24"/>
              </w:rPr>
              <w:t>1,445,654.20</w:t>
            </w:r>
          </w:p>
        </w:tc>
        <w:tc>
          <w:tcPr>
            <w:vAlign w:val="center"/>
          </w:tcPr>
          <w:p>
            <w:pPr>
              <w:jc w:val="right"/>
            </w:pPr>
            <w:r>
              <w:rPr>
                <w:color w:val="000000"/>
                <w:sz w:val="24"/>
              </w:rPr>
              <w:t>4.82</w:t>
            </w:r>
          </w:p>
        </w:tc>
      </w:tr>
      <w:tr>
        <w:tc>
          <w:tcPr>
            <w:vAlign w:val="center"/>
          </w:tcPr>
          <w:p>
            <w:pPr>
              <w:jc w:val="center"/>
            </w:pPr>
            <w:r>
              <w:rPr>
                <w:color w:val="000000"/>
                <w:sz w:val="24"/>
              </w:rPr>
              <w:t>4</w:t>
            </w:r>
          </w:p>
        </w:tc>
        <w:tc>
          <w:tcPr>
            <w:vAlign w:val="center"/>
          </w:tcPr>
          <w:p>
            <w:pPr>
              <w:jc w:val="center"/>
            </w:pPr>
            <w:r>
              <w:rPr>
                <w:color w:val="000000"/>
                <w:sz w:val="24"/>
              </w:rPr>
              <w:t>018061</w:t>
            </w:r>
          </w:p>
        </w:tc>
        <w:tc>
          <w:tcPr>
            <w:vAlign w:val="center"/>
          </w:tcPr>
          <w:p>
            <w:pPr>
              <w:jc w:val="center"/>
            </w:pPr>
            <w:r>
              <w:rPr>
                <w:color w:val="000000"/>
                <w:sz w:val="24"/>
              </w:rPr>
              <w:t>进出1911</w:t>
            </w:r>
          </w:p>
        </w:tc>
        <w:tc>
          <w:tcPr>
            <w:vAlign w:val="center"/>
          </w:tcPr>
          <w:p>
            <w:pPr>
              <w:jc w:val="right"/>
            </w:pPr>
            <w:r>
              <w:rPr>
                <w:color w:val="000000"/>
                <w:sz w:val="24"/>
              </w:rPr>
              <w:t>12,000</w:t>
            </w:r>
          </w:p>
        </w:tc>
        <w:tc>
          <w:tcPr>
            <w:vAlign w:val="center"/>
          </w:tcPr>
          <w:p>
            <w:pPr>
              <w:jc w:val="right"/>
            </w:pPr>
            <w:r>
              <w:rPr>
                <w:color w:val="000000"/>
                <w:sz w:val="24"/>
              </w:rPr>
              <w:t>1,204,800.00</w:t>
            </w:r>
          </w:p>
        </w:tc>
        <w:tc>
          <w:tcPr>
            <w:vAlign w:val="center"/>
          </w:tcPr>
          <w:p>
            <w:pPr>
              <w:jc w:val="right"/>
            </w:pPr>
            <w:r>
              <w:rPr>
                <w:color w:val="000000"/>
                <w:sz w:val="24"/>
              </w:rPr>
              <w:t>4.01</w:t>
            </w:r>
          </w:p>
        </w:tc>
      </w:tr>
      <w:tr>
        <w:tc>
          <w:tcPr>
            <w:vAlign w:val="center"/>
          </w:tcPr>
          <w:p>
            <w:pPr>
              <w:jc w:val="center"/>
            </w:pPr>
            <w:r>
              <w:rPr>
                <w:color w:val="000000"/>
                <w:sz w:val="24"/>
              </w:rPr>
              <w:t>5</w:t>
            </w:r>
          </w:p>
        </w:tc>
        <w:tc>
          <w:tcPr>
            <w:vAlign w:val="center"/>
          </w:tcPr>
          <w:p>
            <w:pPr>
              <w:jc w:val="center"/>
            </w:pPr>
            <w:r>
              <w:rPr>
                <w:color w:val="000000"/>
                <w:sz w:val="24"/>
              </w:rPr>
              <w:t>113020</w:t>
            </w:r>
          </w:p>
        </w:tc>
        <w:tc>
          <w:tcPr>
            <w:vAlign w:val="center"/>
          </w:tcPr>
          <w:p>
            <w:pPr>
              <w:jc w:val="center"/>
            </w:pPr>
            <w:r>
              <w:rPr>
                <w:color w:val="000000"/>
                <w:sz w:val="24"/>
              </w:rPr>
              <w:t>桐昆转债</w:t>
            </w:r>
          </w:p>
        </w:tc>
        <w:tc>
          <w:tcPr>
            <w:vAlign w:val="center"/>
          </w:tcPr>
          <w:p>
            <w:pPr>
              <w:jc w:val="right"/>
            </w:pPr>
            <w:r>
              <w:rPr>
                <w:color w:val="000000"/>
                <w:sz w:val="24"/>
              </w:rPr>
              <w:t>9,990</w:t>
            </w:r>
          </w:p>
        </w:tc>
        <w:tc>
          <w:tcPr>
            <w:vAlign w:val="center"/>
          </w:tcPr>
          <w:p>
            <w:pPr>
              <w:jc w:val="right"/>
            </w:pPr>
            <w:r>
              <w:rPr>
                <w:color w:val="000000"/>
                <w:sz w:val="24"/>
              </w:rPr>
              <w:t>1,158,540.30</w:t>
            </w:r>
          </w:p>
        </w:tc>
        <w:tc>
          <w:tcPr>
            <w:vAlign w:val="center"/>
          </w:tcPr>
          <w:p>
            <w:pPr>
              <w:jc w:val="right"/>
            </w:pPr>
            <w:r>
              <w:rPr>
                <w:color w:val="000000"/>
                <w:sz w:val="24"/>
              </w:rPr>
              <w:t>3.86</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P="007C14DF" w:rsidR="009238DB" w:rsidRDefault="00C260A2" w:rsidRPr="007F52FA">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P="007C14DF" w:rsidR="00680BCE" w:rsidRDefault="00680BCE" w:rsidRPr="007F52FA">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P="007C14DF" w:rsidR="00680BCE" w:rsidRDefault="00680BCE" w:rsidRPr="007F52FA">
      <w:pPr>
        <w:autoSpaceDE w:val="0"/>
        <w:autoSpaceDN w:val="0"/>
        <w:adjustRightInd w:val="0"/>
        <w:spacing w:before="29" w:line="288" w:lineRule="auto"/>
        <w:ind w:firstLine="120" w:firstLineChars="50"/>
        <w:jc w:val="left"/>
        <w:rPr>
          <w:sz w:val="24"/>
        </w:rPr>
      </w:pPr>
      <w:r w:rsidRPr="007F52FA">
        <w:rPr>
          <w:sz w:val="24"/>
        </w:rPr>
        <w:t>本基金本报告期末未持有贵金属。</w:t>
      </w:r>
    </w:p>
    <w:p w:rsidP="007C14DF" w:rsidR="00680BCE" w:rsidRDefault="00680BCE"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A621E1" w:rsidRPr="007F52FA">
      <w:pPr>
        <w:autoSpaceDE w:val="0"/>
        <w:autoSpaceDN w:val="0"/>
        <w:adjustRightInd w:val="0"/>
        <w:spacing w:before="29" w:line="288" w:lineRule="auto"/>
        <w:jc w:val="left"/>
        <w:rPr>
          <w:b/>
          <w:color w:val="000000"/>
          <w:kern w:val="0"/>
          <w:sz w:val="24"/>
        </w:rPr>
      </w:pPr>
      <w:r w:rsidRPr="007F52FA">
        <w:rPr>
          <w:b/>
          <w:color w:val="000000"/>
          <w:kern w:val="0"/>
          <w:sz w:val="24"/>
        </w:rPr>
        <w:t/>
      </w:r>
      <w:r w:rsidR="001D5CD0" w:rsidRPr="007F52FA">
        <w:rPr>
          <w:b/>
          <w:color w:val="000000"/>
          <w:kern w:val="0"/>
          <w:sz w:val="24"/>
        </w:rPr>
        <w:t>5</w:t>
      </w:r>
      <w:r w:rsidR="009238DB" w:rsidRPr="007F52FA">
        <w:rPr>
          <w:b/>
          <w:color w:val="000000"/>
          <w:kern w:val="0"/>
          <w:sz w:val="24"/>
        </w:rPr>
        <w:t>.</w:t>
      </w:r>
      <w:r w:rsidR="001D5CD0" w:rsidRPr="007F52FA">
        <w:rPr>
          <w:b/>
          <w:color w:val="000000"/>
          <w:kern w:val="0"/>
          <w:sz w:val="24"/>
        </w:rPr>
        <w:t/>
      </w:r>
      <w:r w:rsidR="00680BCE" w:rsidRPr="007F52FA">
        <w:rPr>
          <w:b/>
          <w:color w:val="000000"/>
          <w:kern w:val="0"/>
          <w:sz w:val="24"/>
        </w:rPr>
        <w:t/>
      </w:r>
      <w:r w:rsidR="001D5CD0"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P="007C14DF" w:rsidR="00C260A2" w:rsidRDefault="00C260A2" w:rsidRPr="007F52FA">
      <w:pPr>
        <w:autoSpaceDE w:val="0"/>
        <w:autoSpaceDN w:val="0"/>
        <w:adjustRightInd w:val="0"/>
        <w:spacing w:before="29" w:line="288" w:lineRule="auto"/>
        <w:jc w:val="left"/>
        <w:rPr>
          <w:color w:val="000000"/>
          <w:sz w:val="24"/>
        </w:rPr>
      </w:pPr>
      <w:r w:rsidRPr="007F52FA">
        <w:rPr>
          <w:color w:val="000000"/>
          <w:sz w:val="24"/>
        </w:rPr>
        <w:t/>
      </w:r>
      <w:r w:rsidR="00407F66" w:rsidRPr="007F52FA">
        <w:rPr>
          <w:color w:val="000000"/>
          <w:sz w:val="24"/>
        </w:rPr>
        <w:t/>
      </w:r>
      <w:r w:rsidRPr="007F52FA">
        <w:rPr>
          <w:color w:val="000000"/>
          <w:sz w:val="24"/>
        </w:rPr>
        <w:t>本基金本报告期末未持有权证。</w:t>
      </w:r>
    </w:p>
    <w:p w:rsidP="007C14DF" w:rsidR="001D5CD0" w:rsidRDefault="001D5CD0" w:rsidRPr="007F52FA">
      <w:pPr>
        <w:autoSpaceDE w:val="0"/>
        <w:autoSpaceDN w:val="0"/>
        <w:adjustRightInd w:val="0"/>
        <w:spacing w:before="29" w:line="288" w:lineRule="auto"/>
        <w:jc w:val="left"/>
        <w:rPr>
          <w:rFonts w:eastAsiaTheme="minorEastAsia"/>
          <w:color w:val="000000"/>
          <w:kern w:val="0"/>
          <w:sz w:val="24"/>
        </w:rPr>
      </w:pPr>
    </w:p>
    <w:p w:rsidP="007C14DF" w:rsidR="001D5CD0" w:rsidRDefault="001D5CD0" w:rsidRPr="007F52FA">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P="007C14DF" w:rsidR="001D5CD0" w:rsidRDefault="001D5CD0" w:rsidRPr="007F52FA">
      <w:pPr>
        <w:autoSpaceDE w:val="0"/>
        <w:autoSpaceDN w:val="0"/>
        <w:adjustRightInd w:val="0"/>
        <w:spacing w:before="29" w:line="288" w:lineRule="auto"/>
        <w:jc w:val="left"/>
        <w:rPr>
          <w:sz w:val="24"/>
        </w:rPr>
      </w:pPr>
      <w:r w:rsidRPr="007F52FA">
        <w:rPr>
          <w:sz w:val="24"/>
        </w:rPr>
        <w:t>本基金本报告期末未持有股指期货。</w:t>
      </w:r>
    </w:p>
    <w:p w:rsidP="007C14DF" w:rsidR="001D5CD0" w:rsidRDefault="001D5CD0" w:rsidRPr="007F52FA">
      <w:pPr>
        <w:autoSpaceDE w:val="0"/>
        <w:autoSpaceDN w:val="0"/>
        <w:adjustRightInd w:val="0"/>
        <w:spacing w:before="29" w:line="288" w:lineRule="auto"/>
        <w:jc w:val="left"/>
        <w:rPr>
          <w:b/>
          <w:sz w:val="24"/>
        </w:rPr>
      </w:pPr>
    </w:p>
    <w:p w:rsidP="007C14DF" w:rsidR="00A7062E" w:rsidRDefault="001D5CD0" w:rsidRPr="007F52FA">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P="007C14DF" w:rsidR="00DB56EC" w:rsidRDefault="00DB56EC" w:rsidRPr="007F52FA">
      <w:pPr>
        <w:autoSpaceDE w:val="0"/>
        <w:autoSpaceDN w:val="0"/>
        <w:adjustRightInd w:val="0"/>
        <w:spacing w:before="29" w:line="288" w:lineRule="auto"/>
        <w:jc w:val="left"/>
        <w:rPr>
          <w:rFonts w:eastAsiaTheme="minorEastAsia"/>
          <w:sz w:val="24"/>
        </w:rPr>
      </w:pPr>
    </w:p>
    <w:p w:rsidP="007C14DF" w:rsidR="001D5CD0" w:rsidRDefault="001D5CD0" w:rsidRPr="007F52FA">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P="00A0678E" w:rsidR="00384E65" w:rsidRDefault="00384E65" w:rsidRPr="00384E65">
      <w:pPr>
        <w:autoSpaceDE w:val="0"/>
        <w:autoSpaceDN w:val="0"/>
        <w:adjustRightInd w:val="0"/>
        <w:spacing w:before="29" w:line="288" w:lineRule="auto"/>
        <w:rPr>
          <w:kern w:val="0"/>
          <w:sz w:val="24"/>
        </w:rPr>
      </w:pPr>
      <w:r w:rsidRPr="00885AD9">
        <w:rPr>
          <w:b/>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P="00A0678E" w:rsidR="00384E65" w:rsidRDefault="00384E65" w:rsidRPr="00384E65">
      <w:pPr>
        <w:autoSpaceDE w:val="0"/>
        <w:autoSpaceDN w:val="0"/>
        <w:adjustRightInd w:val="0"/>
        <w:spacing w:before="29" w:line="288" w:lineRule="auto"/>
        <w:rPr>
          <w:kern w:val="0"/>
          <w:sz w:val="24"/>
        </w:rPr>
      </w:pPr>
      <w:r w:rsidRPr="00885AD9">
        <w:rPr>
          <w:b/>
          <w:kern w:val="0"/>
          <w:sz w:val="24"/>
        </w:rPr>
        <w:t>5.11.2</w:t>
      </w:r>
      <w:r w:rsidRPr="00384E65">
        <w:rPr>
          <w:kern w:val="0"/>
          <w:sz w:val="24"/>
        </w:rPr>
        <w:t>本基金投资的前十名股票中，没有超出基金合同规定的备选股票库之外的股票。</w:t>
      </w:r>
    </w:p>
    <w:p w:rsidP="007C14DF" w:rsidR="001D5CD0" w:rsidRDefault="001D5CD0">
      <w:pPr>
        <w:autoSpaceDE w:val="0"/>
        <w:autoSpaceDN w:val="0"/>
        <w:adjustRightInd w:val="0"/>
        <w:spacing w:before="29" w:line="288" w:lineRule="auto"/>
        <w:rPr>
          <w:kern w:val="0"/>
          <w:sz w:val="24"/>
        </w:rPr>
      </w:pPr>
      <w:bookmarkStart w:id="2" w:name="_GoBack"/>
      <w:r w:rsidRPr="00885AD9">
        <w:rPr>
          <w:b/>
          <w:kern w:val="0"/>
          <w:sz w:val="24"/>
        </w:rPr>
        <w:t>5.11.3</w:t>
      </w:r>
      <w:bookmarkEnd w:id="2"/>
      <w:r w:rsidR="008F4965">
        <w:rPr>
          <w:rFonts w:hint="eastAsia"/>
          <w:kern w:val="0"/>
          <w:sz w:val="24"/>
        </w:rPr>
        <w:t>期末</w:t>
      </w:r>
      <w:r w:rsidR="00E84F32" w:rsidRPr="007F52FA">
        <w:rPr>
          <w:kern w:val="0"/>
          <w:sz w:val="24"/>
        </w:rPr>
        <w:t>其他</w:t>
      </w:r>
      <w:r w:rsidR="008F4965">
        <w:rPr>
          <w:rFonts w:hint="eastAsia"/>
          <w:kern w:val="0"/>
          <w:sz w:val="24"/>
        </w:rPr>
        <w:t>各项</w:t>
      </w:r>
      <w:r w:rsidRPr="007F52FA">
        <w:rPr>
          <w:kern w:val="0"/>
          <w:sz w:val="24"/>
        </w:rPr>
        <w:t>资产构成</w:t>
      </w:r>
    </w:p>
    <w:p w:rsidP="006B32A4" w:rsidR="006B32A4" w:rsidRDefault="00C33577" w:rsidRPr="007F52FA">
      <w:pPr>
        <w:autoSpaceDE w:val="0"/>
        <w:autoSpaceDN w:val="0"/>
        <w:adjustRightInd w:val="0"/>
        <w:spacing w:before="29" w:line="288" w:lineRule="auto"/>
        <w:jc w:val="right"/>
        <w:rPr>
          <w:kern w:val="0"/>
          <w:sz w:val="24"/>
        </w:rPr>
      </w:pPr>
      <w:r w:rsidRPr="00C33577">
        <w:rPr>
          <w:rFonts w:hint="eastAsia"/>
          <w:kern w:val="0"/>
          <w:sz w:val="24"/>
        </w:rPr>
        <w:t/>
      </w:r>
      <w:r w:rsidRPr="00C33577">
        <w:rPr>
          <w:rFonts w:hint="eastAsia"/>
          <w:kern w:val="0"/>
          <w:sz w:val="24"/>
        </w:rPr>
        <w:t>金额单位：人民币元</w:t>
      </w:r>
    </w:p>
    <w:tbl>
      <w:tblPr>
        <w:tblStyle w:val="af2"/>
        <w:tblW w:type="dxa" w:w="8868"/>
        <w:jc w:val="center"/>
        <w:tblLook w:firstColumn="1" w:firstRow="1" w:lastColumn="0" w:lastRow="0" w:noHBand="0" w:noVBand="1" w:val="04A0"/>
      </w:tblPr>
      <w:tblGrid>
        <w:gridCol w:w="1260"/>
        <w:gridCol w:w="2706"/>
        <w:gridCol w:w="4902"/>
      </w:tblGrid>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type="dxa" w:w="2818"/>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type="dxa" w:w="4908"/>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金额</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3,617.17</w:t>
            </w:r>
          </w:p>
        </w:tc>
      </w:tr>
      <w:tr w:rsidR="001D5CD0" w:rsidRPr="007F52FA" w:rsidTr="006C3EE0">
        <w:trPr>
          <w:trHeight w:val="531"/>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lastRenderedPageBreak/>
              <w:t>2</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3</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4</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63,544.69</w:t>
            </w:r>
          </w:p>
        </w:tc>
      </w:tr>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5</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44,819.41</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6</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7</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8</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9</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111,981.27</w:t>
            </w:r>
          </w:p>
        </w:tc>
      </w:tr>
    </w:tbl>
    <w:p w:rsidP="007C14DF" w:rsidR="001D5CD0" w:rsidRDefault="001D5CD0" w:rsidRPr="007F52FA">
      <w:pPr>
        <w:autoSpaceDE w:val="0"/>
        <w:autoSpaceDN w:val="0"/>
        <w:adjustRightInd w:val="0"/>
        <w:spacing w:before="29" w:line="288" w:lineRule="auto"/>
        <w:jc w:val="left"/>
        <w:rPr>
          <w:sz w:val="24"/>
        </w:rPr>
      </w:pPr>
    </w:p>
    <w:p w:rsidP="007C14DF" w:rsidR="001D5CD0" w:rsidRDefault="001D5CD0" w:rsidRPr="00143E9C">
      <w:pPr>
        <w:autoSpaceDE w:val="0"/>
        <w:autoSpaceDN w:val="0"/>
        <w:adjustRightInd w:val="0"/>
        <w:spacing w:before="29" w:line="288" w:lineRule="auto"/>
        <w:jc w:val="left"/>
        <w:rPr>
          <w:b/>
          <w:kern w:val="0"/>
          <w:sz w:val="24"/>
        </w:rPr>
      </w:pPr>
      <w:r w:rsidRPr="00143E9C">
        <w:rPr>
          <w:b/>
          <w:kern w:val="0"/>
          <w:sz w:val="24"/>
        </w:rPr>
        <w:t>5.11.4</w:t>
      </w:r>
      <w:r w:rsidRPr="00143E9C">
        <w:rPr>
          <w:b/>
          <w:kern w:val="0"/>
          <w:sz w:val="24"/>
        </w:rPr>
        <w:t>期末持有的处于转股期的可转换债券明细</w:t>
      </w:r>
    </w:p>
    <w:p w:rsidP="009765C1" w:rsidR="009765C1" w:rsidRDefault="009765C1" w:rsidRPr="007F52FA">
      <w:pPr>
        <w:autoSpaceDE w:val="0"/>
        <w:autoSpaceDN w:val="0"/>
        <w:adjustRightInd w:val="0"/>
        <w:spacing w:before="29" w:line="288" w:lineRule="auto"/>
        <w:jc w:val="right"/>
        <w:rPr>
          <w:kern w:val="0"/>
          <w:sz w:val="24"/>
        </w:rPr>
      </w:pPr>
      <w:r w:rsidRPr="009765C1">
        <w:rPr>
          <w:rFonts w:hint="eastAsia"/>
          <w:kern w:val="0"/>
          <w:sz w:val="24"/>
        </w:rPr>
        <w:t/>
      </w:r>
      <w:r w:rsidRPr="009765C1">
        <w:rPr>
          <w:rFonts w:hint="eastAsia"/>
          <w:kern w:val="0"/>
          <w:sz w:val="24"/>
        </w:rPr>
        <w:t>金额单位：人民币元</w:t>
      </w:r>
    </w:p>
    <w:tbl>
      <w:tblPr>
        <w:tblStyle w:val="af2"/>
        <w:tblW w:type="dxa" w:w="8868"/>
        <w:jc w:val="center"/>
        <w:tblCellMar>
          <w:top w:type="dxa" w:w="57"/>
          <w:bottom w:type="dxa" w:w="57"/>
        </w:tblCellMar>
        <w:tblLook w:firstColumn="1" w:firstRow="1" w:lastColumn="0" w:lastRow="0" w:noHBand="0" w:noVBand="1" w:val="04A0"/>
      </w:tblPr>
      <w:tblGrid>
        <w:gridCol w:w="1162"/>
        <w:gridCol w:w="2639"/>
        <w:gridCol w:w="1813"/>
        <w:gridCol w:w="1783"/>
        <w:gridCol w:w="1845"/>
      </w:tblGrid>
      <w:tr w:rsidR="001D5CD0" w:rsidRPr="007F52FA" w:rsidTr="00837861">
        <w:trPr>
          <w:jc w:val="center"/>
        </w:trPr>
        <w:tc>
          <w:tcPr>
            <w:tcW w:type="dxa" w:w="944"/>
            <w:vAlign w:val="center"/>
          </w:tcPr>
          <w:p w:rsidP="007C14DF" w:rsidR="001D5CD0" w:rsidRDefault="001D5CD0" w:rsidRPr="007F52FA">
            <w:pPr>
              <w:spacing w:before="29" w:line="288" w:lineRule="auto"/>
              <w:ind w:left="17"/>
              <w:jc w:val="center"/>
              <w:rPr>
                <w:rFonts w:eastAsiaTheme="minorEastAsia"/>
                <w:color w:val="000000"/>
                <w:sz w:val="24"/>
              </w:rPr>
            </w:pPr>
            <w:r w:rsidRPr="007F52FA">
              <w:rPr>
                <w:rFonts w:eastAsiaTheme="minorEastAsia"/>
                <w:color w:val="000000"/>
                <w:sz w:val="24"/>
              </w:rPr>
              <w:t>序号</w:t>
            </w:r>
          </w:p>
        </w:tc>
        <w:tc>
          <w:tcPr>
            <w:tcW w:type="dxa" w:w="2568"/>
            <w:vAlign w:val="center"/>
          </w:tcPr>
          <w:p w:rsidP="007C14DF" w:rsidR="001D5CD0" w:rsidRDefault="001D5CD0" w:rsidRPr="007F52FA">
            <w:pPr>
              <w:spacing w:before="29" w:line="288" w:lineRule="auto"/>
              <w:ind w:left="17"/>
              <w:jc w:val="center"/>
              <w:rPr>
                <w:rFonts w:eastAsiaTheme="minorEastAsia"/>
                <w:color w:val="000000"/>
                <w:sz w:val="24"/>
              </w:rPr>
            </w:pPr>
            <w:r w:rsidRPr="007F52FA">
              <w:rPr>
                <w:rFonts w:eastAsiaTheme="minorEastAsia"/>
                <w:color w:val="000000"/>
                <w:sz w:val="24"/>
              </w:rPr>
              <w:t>债券代码</w:t>
            </w:r>
          </w:p>
        </w:tc>
        <w:tc>
          <w:tcPr>
            <w:tcW w:type="dxa" w:w="1665"/>
            <w:vAlign w:val="center"/>
          </w:tcPr>
          <w:p w:rsidP="007C14DF" w:rsidR="001D5CD0" w:rsidRDefault="001D5CD0" w:rsidRPr="007F52FA">
            <w:pPr>
              <w:spacing w:before="29" w:line="288" w:lineRule="auto"/>
              <w:ind w:left="17"/>
              <w:jc w:val="center"/>
              <w:rPr>
                <w:rFonts w:eastAsiaTheme="minorEastAsia"/>
                <w:color w:val="000000"/>
                <w:sz w:val="24"/>
              </w:rPr>
            </w:pPr>
            <w:r w:rsidRPr="007F52FA">
              <w:rPr>
                <w:rFonts w:eastAsiaTheme="minorEastAsia"/>
                <w:color w:val="000000"/>
                <w:sz w:val="24"/>
              </w:rPr>
              <w:t>债券名称</w:t>
            </w:r>
          </w:p>
        </w:tc>
        <w:tc>
          <w:tcPr>
            <w:tcW w:type="dxa" w:w="1727"/>
            <w:vAlign w:val="center"/>
          </w:tcPr>
          <w:p w:rsidP="007C14DF" w:rsidR="001D5CD0" w:rsidRDefault="001D5CD0" w:rsidRPr="007F52FA">
            <w:pPr>
              <w:spacing w:before="29" w:line="288" w:lineRule="auto"/>
              <w:ind w:left="17"/>
              <w:jc w:val="center"/>
              <w:rPr>
                <w:rFonts w:eastAsiaTheme="minorEastAsia"/>
                <w:color w:val="000000"/>
                <w:sz w:val="24"/>
              </w:rPr>
            </w:pPr>
            <w:r w:rsidRPr="007F52FA">
              <w:rPr>
                <w:rFonts w:eastAsiaTheme="minorEastAsia"/>
                <w:color w:val="000000"/>
                <w:sz w:val="24"/>
              </w:rPr>
              <w:t>公允价值</w:t>
            </w:r>
          </w:p>
        </w:tc>
        <w:tc>
          <w:tcPr>
            <w:tcW w:type="dxa" w:w="1609"/>
            <w:vAlign w:val="center"/>
          </w:tcPr>
          <w:p w:rsidP="007C14DF" w:rsidR="001D5CD0" w:rsidRDefault="001D5CD0" w:rsidRPr="007F52FA">
            <w:pPr>
              <w:spacing w:before="29" w:line="288" w:lineRule="auto"/>
              <w:ind w:left="17"/>
              <w:jc w:val="center"/>
              <w:rPr>
                <w:rFonts w:eastAsiaTheme="minorEastAsia"/>
                <w:color w:val="000000"/>
                <w:sz w:val="24"/>
              </w:rPr>
            </w:pPr>
            <w:r w:rsidRPr="007F52FA">
              <w:rPr>
                <w:rFonts w:eastAsiaTheme="minorEastAsia"/>
                <w:color w:val="000000"/>
                <w:sz w:val="24"/>
              </w:rPr>
              <w:t>占基金资产净值比例</w:t>
            </w:r>
            <w:r w:rsidR="002A7669" w:rsidRPr="007F52FA">
              <w:rPr>
                <w:color w:val="000000"/>
                <w:kern w:val="0"/>
                <w:sz w:val="24"/>
              </w:rPr>
              <w:t>（</w:t>
            </w:r>
            <w:r w:rsidR="00BC5D75" w:rsidRPr="007F52FA">
              <w:rPr>
                <w:color w:val="000000"/>
                <w:kern w:val="0"/>
                <w:sz w:val="24"/>
              </w:rPr>
              <w:t>％</w:t>
            </w:r>
            <w:r w:rsidR="002A7669" w:rsidRPr="007F52FA">
              <w:rPr>
                <w:color w:val="000000"/>
                <w:kern w:val="0"/>
                <w:sz w:val="24"/>
              </w:rPr>
              <w:t>）</w:t>
            </w:r>
          </w:p>
        </w:tc>
      </w:tr>
      <w:tr>
        <w:tc>
          <w:tcPr>
            <w:vAlign w:val="center"/>
          </w:tcPr>
          <w:p>
            <w:pPr>
              <w:jc w:val="center"/>
            </w:pPr>
            <w:r>
              <w:rPr>
                <w:rFonts w:eastAsiaTheme="minorEastAsia"/>
                <w:color w:val="000000"/>
                <w:sz w:val="24"/>
              </w:rPr>
              <w:t>1</w:t>
            </w:r>
          </w:p>
        </w:tc>
        <w:tc>
          <w:tcPr>
            <w:vAlign w:val="center"/>
          </w:tcPr>
          <w:p>
            <w:pPr>
              <w:jc w:val="center"/>
            </w:pPr>
            <w:r>
              <w:rPr>
                <w:rFonts w:eastAsiaTheme="minorEastAsia"/>
                <w:color w:val="000000"/>
                <w:sz w:val="24"/>
              </w:rPr>
              <w:t>113011</w:t>
            </w:r>
          </w:p>
        </w:tc>
        <w:tc>
          <w:tcPr>
            <w:vAlign w:val="center"/>
          </w:tcPr>
          <w:p>
            <w:pPr>
              <w:jc w:val="center"/>
            </w:pPr>
            <w:r>
              <w:rPr>
                <w:rFonts w:eastAsiaTheme="minorEastAsia"/>
                <w:color w:val="000000"/>
                <w:sz w:val="24"/>
              </w:rPr>
              <w:t>光大转债</w:t>
            </w:r>
          </w:p>
        </w:tc>
        <w:tc>
          <w:tcPr>
            <w:vAlign w:val="center"/>
          </w:tcPr>
          <w:p>
            <w:pPr>
              <w:jc w:val="right"/>
            </w:pPr>
            <w:r>
              <w:rPr>
                <w:rFonts w:eastAsiaTheme="minorEastAsia"/>
                <w:color w:val="000000"/>
                <w:sz w:val="24"/>
              </w:rPr>
              <w:t>2,080,867.00</w:t>
            </w:r>
          </w:p>
        </w:tc>
        <w:tc>
          <w:tcPr>
            <w:vAlign w:val="center"/>
          </w:tcPr>
          <w:p>
            <w:pPr>
              <w:jc w:val="right"/>
            </w:pPr>
            <w:r>
              <w:rPr>
                <w:rFonts w:eastAsiaTheme="minorEastAsia"/>
                <w:color w:val="000000"/>
                <w:sz w:val="24"/>
              </w:rPr>
              <w:t>6.93</w:t>
            </w:r>
          </w:p>
        </w:tc>
      </w:tr>
      <w:tr>
        <w:tc>
          <w:tcPr>
            <w:vAlign w:val="center"/>
          </w:tcPr>
          <w:p>
            <w:pPr>
              <w:jc w:val="center"/>
            </w:pPr>
            <w:r>
              <w:rPr>
                <w:rFonts w:eastAsiaTheme="minorEastAsia"/>
                <w:color w:val="000000"/>
                <w:sz w:val="24"/>
              </w:rPr>
              <w:t>2</w:t>
            </w:r>
          </w:p>
        </w:tc>
        <w:tc>
          <w:tcPr>
            <w:vAlign w:val="center"/>
          </w:tcPr>
          <w:p>
            <w:pPr>
              <w:jc w:val="center"/>
            </w:pPr>
            <w:r>
              <w:rPr>
                <w:rFonts w:eastAsiaTheme="minorEastAsia"/>
                <w:color w:val="000000"/>
                <w:sz w:val="24"/>
              </w:rPr>
              <w:t>132013</w:t>
            </w:r>
          </w:p>
        </w:tc>
        <w:tc>
          <w:tcPr>
            <w:vAlign w:val="center"/>
          </w:tcPr>
          <w:p>
            <w:pPr>
              <w:jc w:val="center"/>
            </w:pPr>
            <w:r>
              <w:rPr>
                <w:rFonts w:eastAsiaTheme="minorEastAsia"/>
                <w:color w:val="000000"/>
                <w:sz w:val="24"/>
              </w:rPr>
              <w:t>17宝武EB</w:t>
            </w:r>
          </w:p>
        </w:tc>
        <w:tc>
          <w:tcPr>
            <w:vAlign w:val="center"/>
          </w:tcPr>
          <w:p>
            <w:pPr>
              <w:jc w:val="right"/>
            </w:pPr>
            <w:r>
              <w:rPr>
                <w:rFonts w:eastAsiaTheme="minorEastAsia"/>
                <w:color w:val="000000"/>
                <w:sz w:val="24"/>
              </w:rPr>
              <w:t>1,631,840.00</w:t>
            </w:r>
          </w:p>
        </w:tc>
        <w:tc>
          <w:tcPr>
            <w:vAlign w:val="center"/>
          </w:tcPr>
          <w:p>
            <w:pPr>
              <w:jc w:val="right"/>
            </w:pPr>
            <w:r>
              <w:rPr>
                <w:rFonts w:eastAsiaTheme="minorEastAsia"/>
                <w:color w:val="000000"/>
                <w:sz w:val="24"/>
              </w:rPr>
              <w:t>5.44</w:t>
            </w:r>
          </w:p>
        </w:tc>
      </w:tr>
      <w:tr>
        <w:tc>
          <w:tcPr>
            <w:vAlign w:val="center"/>
          </w:tcPr>
          <w:p>
            <w:pPr>
              <w:jc w:val="center"/>
            </w:pPr>
            <w:r>
              <w:rPr>
                <w:rFonts w:eastAsiaTheme="minorEastAsia"/>
                <w:color w:val="000000"/>
                <w:sz w:val="24"/>
              </w:rPr>
              <w:t>3</w:t>
            </w:r>
          </w:p>
        </w:tc>
        <w:tc>
          <w:tcPr>
            <w:vAlign w:val="center"/>
          </w:tcPr>
          <w:p>
            <w:pPr>
              <w:jc w:val="center"/>
            </w:pPr>
            <w:r>
              <w:rPr>
                <w:rFonts w:eastAsiaTheme="minorEastAsia"/>
                <w:color w:val="000000"/>
                <w:sz w:val="24"/>
              </w:rPr>
              <w:t>113020</w:t>
            </w:r>
          </w:p>
        </w:tc>
        <w:tc>
          <w:tcPr>
            <w:vAlign w:val="center"/>
          </w:tcPr>
          <w:p>
            <w:pPr>
              <w:jc w:val="center"/>
            </w:pPr>
            <w:r>
              <w:rPr>
                <w:rFonts w:eastAsiaTheme="minorEastAsia"/>
                <w:color w:val="000000"/>
                <w:sz w:val="24"/>
              </w:rPr>
              <w:t>桐昆转债</w:t>
            </w:r>
          </w:p>
        </w:tc>
        <w:tc>
          <w:tcPr>
            <w:vAlign w:val="center"/>
          </w:tcPr>
          <w:p>
            <w:pPr>
              <w:jc w:val="right"/>
            </w:pPr>
            <w:r>
              <w:rPr>
                <w:rFonts w:eastAsiaTheme="minorEastAsia"/>
                <w:color w:val="000000"/>
                <w:sz w:val="24"/>
              </w:rPr>
              <w:t>1,158,540.30</w:t>
            </w:r>
          </w:p>
        </w:tc>
        <w:tc>
          <w:tcPr>
            <w:vAlign w:val="center"/>
          </w:tcPr>
          <w:p>
            <w:pPr>
              <w:jc w:val="right"/>
            </w:pPr>
            <w:r>
              <w:rPr>
                <w:rFonts w:eastAsiaTheme="minorEastAsia"/>
                <w:color w:val="000000"/>
                <w:sz w:val="24"/>
              </w:rPr>
              <w:t>3.86</w:t>
            </w:r>
          </w:p>
        </w:tc>
      </w:tr>
      <w:tr>
        <w:tc>
          <w:tcPr>
            <w:vAlign w:val="center"/>
          </w:tcPr>
          <w:p>
            <w:pPr>
              <w:jc w:val="center"/>
            </w:pPr>
            <w:r>
              <w:rPr>
                <w:rFonts w:eastAsiaTheme="minorEastAsia"/>
                <w:color w:val="000000"/>
                <w:sz w:val="24"/>
              </w:rPr>
              <w:t>4</w:t>
            </w:r>
          </w:p>
        </w:tc>
        <w:tc>
          <w:tcPr>
            <w:vAlign w:val="center"/>
          </w:tcPr>
          <w:p>
            <w:pPr>
              <w:jc w:val="center"/>
            </w:pPr>
            <w:r>
              <w:rPr>
                <w:rFonts w:eastAsiaTheme="minorEastAsia"/>
                <w:color w:val="000000"/>
                <w:sz w:val="24"/>
              </w:rPr>
              <w:t>113021</w:t>
            </w:r>
          </w:p>
        </w:tc>
        <w:tc>
          <w:tcPr>
            <w:vAlign w:val="center"/>
          </w:tcPr>
          <w:p>
            <w:pPr>
              <w:jc w:val="center"/>
            </w:pPr>
            <w:r>
              <w:rPr>
                <w:rFonts w:eastAsiaTheme="minorEastAsia"/>
                <w:color w:val="000000"/>
                <w:sz w:val="24"/>
              </w:rPr>
              <w:t>中信转债</w:t>
            </w:r>
          </w:p>
        </w:tc>
        <w:tc>
          <w:tcPr>
            <w:vAlign w:val="center"/>
          </w:tcPr>
          <w:p>
            <w:pPr>
              <w:jc w:val="right"/>
            </w:pPr>
            <w:r>
              <w:rPr>
                <w:rFonts w:eastAsiaTheme="minorEastAsia"/>
                <w:color w:val="000000"/>
                <w:sz w:val="24"/>
              </w:rPr>
              <w:t>790,965.00</w:t>
            </w:r>
          </w:p>
        </w:tc>
        <w:tc>
          <w:tcPr>
            <w:vAlign w:val="center"/>
          </w:tcPr>
          <w:p>
            <w:pPr>
              <w:jc w:val="right"/>
            </w:pPr>
            <w:r>
              <w:rPr>
                <w:rFonts w:eastAsiaTheme="minorEastAsia"/>
                <w:color w:val="000000"/>
                <w:sz w:val="24"/>
              </w:rPr>
              <w:t>2.64</w:t>
            </w:r>
          </w:p>
        </w:tc>
      </w:tr>
      <w:tr>
        <w:tc>
          <w:tcPr>
            <w:vAlign w:val="center"/>
          </w:tcPr>
          <w:p>
            <w:pPr>
              <w:jc w:val="center"/>
            </w:pPr>
            <w:r>
              <w:rPr>
                <w:rFonts w:eastAsiaTheme="minorEastAsia"/>
                <w:color w:val="000000"/>
                <w:sz w:val="24"/>
              </w:rPr>
              <w:t>5</w:t>
            </w:r>
          </w:p>
        </w:tc>
        <w:tc>
          <w:tcPr>
            <w:vAlign w:val="center"/>
          </w:tcPr>
          <w:p>
            <w:pPr>
              <w:jc w:val="center"/>
            </w:pPr>
            <w:r>
              <w:rPr>
                <w:rFonts w:eastAsiaTheme="minorEastAsia"/>
                <w:color w:val="000000"/>
                <w:sz w:val="24"/>
              </w:rPr>
              <w:t>120002</w:t>
            </w:r>
          </w:p>
        </w:tc>
        <w:tc>
          <w:tcPr>
            <w:vAlign w:val="center"/>
          </w:tcPr>
          <w:p>
            <w:pPr>
              <w:jc w:val="center"/>
            </w:pPr>
            <w:r>
              <w:rPr>
                <w:rFonts w:eastAsiaTheme="minorEastAsia"/>
                <w:color w:val="000000"/>
                <w:sz w:val="24"/>
              </w:rPr>
              <w:t>18中原EB</w:t>
            </w:r>
          </w:p>
        </w:tc>
        <w:tc>
          <w:tcPr>
            <w:vAlign w:val="center"/>
          </w:tcPr>
          <w:p>
            <w:pPr>
              <w:jc w:val="right"/>
            </w:pPr>
            <w:r>
              <w:rPr>
                <w:rFonts w:eastAsiaTheme="minorEastAsia"/>
                <w:color w:val="000000"/>
                <w:sz w:val="24"/>
              </w:rPr>
              <w:t>765,748.00</w:t>
            </w:r>
          </w:p>
        </w:tc>
        <w:tc>
          <w:tcPr>
            <w:vAlign w:val="center"/>
          </w:tcPr>
          <w:p>
            <w:pPr>
              <w:jc w:val="right"/>
            </w:pPr>
            <w:r>
              <w:rPr>
                <w:rFonts w:eastAsiaTheme="minorEastAsia"/>
                <w:color w:val="000000"/>
                <w:sz w:val="24"/>
              </w:rPr>
              <w:t>2.55</w:t>
            </w:r>
          </w:p>
        </w:tc>
      </w:tr>
      <w:tr>
        <w:tc>
          <w:tcPr>
            <w:vAlign w:val="center"/>
          </w:tcPr>
          <w:p>
            <w:pPr>
              <w:jc w:val="center"/>
            </w:pPr>
            <w:r>
              <w:rPr>
                <w:rFonts w:eastAsiaTheme="minorEastAsia"/>
                <w:color w:val="000000"/>
                <w:sz w:val="24"/>
              </w:rPr>
              <w:t>6</w:t>
            </w:r>
          </w:p>
        </w:tc>
        <w:tc>
          <w:tcPr>
            <w:vAlign w:val="center"/>
          </w:tcPr>
          <w:p>
            <w:pPr>
              <w:jc w:val="center"/>
            </w:pPr>
            <w:r>
              <w:rPr>
                <w:rFonts w:eastAsiaTheme="minorEastAsia"/>
                <w:color w:val="000000"/>
                <w:sz w:val="24"/>
              </w:rPr>
              <w:t>128054</w:t>
            </w:r>
          </w:p>
        </w:tc>
        <w:tc>
          <w:tcPr>
            <w:vAlign w:val="center"/>
          </w:tcPr>
          <w:p>
            <w:pPr>
              <w:jc w:val="center"/>
            </w:pPr>
            <w:r>
              <w:rPr>
                <w:rFonts w:eastAsiaTheme="minorEastAsia"/>
                <w:color w:val="000000"/>
                <w:sz w:val="24"/>
              </w:rPr>
              <w:t>中宠转债</w:t>
            </w:r>
          </w:p>
        </w:tc>
        <w:tc>
          <w:tcPr>
            <w:vAlign w:val="center"/>
          </w:tcPr>
          <w:p>
            <w:pPr>
              <w:jc w:val="right"/>
            </w:pPr>
            <w:r>
              <w:rPr>
                <w:rFonts w:eastAsiaTheme="minorEastAsia"/>
                <w:color w:val="000000"/>
                <w:sz w:val="24"/>
              </w:rPr>
              <w:t>605,600.00</w:t>
            </w:r>
          </w:p>
        </w:tc>
        <w:tc>
          <w:tcPr>
            <w:vAlign w:val="center"/>
          </w:tcPr>
          <w:p>
            <w:pPr>
              <w:jc w:val="right"/>
            </w:pPr>
            <w:r>
              <w:rPr>
                <w:rFonts w:eastAsiaTheme="minorEastAsia"/>
                <w:color w:val="000000"/>
                <w:sz w:val="24"/>
              </w:rPr>
              <w:t>2.02</w:t>
            </w:r>
          </w:p>
        </w:tc>
      </w:tr>
      <w:tr>
        <w:tc>
          <w:tcPr>
            <w:vAlign w:val="center"/>
          </w:tcPr>
          <w:p>
            <w:pPr>
              <w:jc w:val="center"/>
            </w:pPr>
            <w:r>
              <w:rPr>
                <w:rFonts w:eastAsiaTheme="minorEastAsia"/>
                <w:color w:val="000000"/>
                <w:sz w:val="24"/>
              </w:rPr>
              <w:t>7</w:t>
            </w:r>
          </w:p>
        </w:tc>
        <w:tc>
          <w:tcPr>
            <w:vAlign w:val="center"/>
          </w:tcPr>
          <w:p>
            <w:pPr>
              <w:jc w:val="center"/>
            </w:pPr>
            <w:r>
              <w:rPr>
                <w:rFonts w:eastAsiaTheme="minorEastAsia"/>
                <w:color w:val="000000"/>
                <w:sz w:val="24"/>
              </w:rPr>
              <w:t>113504</w:t>
            </w:r>
          </w:p>
        </w:tc>
        <w:tc>
          <w:tcPr>
            <w:vAlign w:val="center"/>
          </w:tcPr>
          <w:p>
            <w:pPr>
              <w:jc w:val="center"/>
            </w:pPr>
            <w:r>
              <w:rPr>
                <w:rFonts w:eastAsiaTheme="minorEastAsia"/>
                <w:color w:val="000000"/>
                <w:sz w:val="24"/>
              </w:rPr>
              <w:t>艾华转债</w:t>
            </w:r>
          </w:p>
        </w:tc>
        <w:tc>
          <w:tcPr>
            <w:vAlign w:val="center"/>
          </w:tcPr>
          <w:p>
            <w:pPr>
              <w:jc w:val="right"/>
            </w:pPr>
            <w:r>
              <w:rPr>
                <w:rFonts w:eastAsiaTheme="minorEastAsia"/>
                <w:color w:val="000000"/>
                <w:sz w:val="24"/>
              </w:rPr>
              <w:t>596,850.80</w:t>
            </w:r>
          </w:p>
        </w:tc>
        <w:tc>
          <w:tcPr>
            <w:vAlign w:val="center"/>
          </w:tcPr>
          <w:p>
            <w:pPr>
              <w:jc w:val="right"/>
            </w:pPr>
            <w:r>
              <w:rPr>
                <w:rFonts w:eastAsiaTheme="minorEastAsia"/>
                <w:color w:val="000000"/>
                <w:sz w:val="24"/>
              </w:rPr>
              <w:t>1.99</w:t>
            </w:r>
          </w:p>
        </w:tc>
      </w:tr>
      <w:tr>
        <w:tc>
          <w:tcPr>
            <w:vAlign w:val="center"/>
          </w:tcPr>
          <w:p>
            <w:pPr>
              <w:jc w:val="center"/>
            </w:pPr>
            <w:r>
              <w:rPr>
                <w:rFonts w:eastAsiaTheme="minorEastAsia"/>
                <w:color w:val="000000"/>
                <w:sz w:val="24"/>
              </w:rPr>
              <w:t>8</w:t>
            </w:r>
          </w:p>
        </w:tc>
        <w:tc>
          <w:tcPr>
            <w:vAlign w:val="center"/>
          </w:tcPr>
          <w:p>
            <w:pPr>
              <w:jc w:val="center"/>
            </w:pPr>
            <w:r>
              <w:rPr>
                <w:rFonts w:eastAsiaTheme="minorEastAsia"/>
                <w:color w:val="000000"/>
                <w:sz w:val="24"/>
              </w:rPr>
              <w:t>113019</w:t>
            </w:r>
          </w:p>
        </w:tc>
        <w:tc>
          <w:tcPr>
            <w:vAlign w:val="center"/>
          </w:tcPr>
          <w:p>
            <w:pPr>
              <w:jc w:val="center"/>
            </w:pPr>
            <w:r>
              <w:rPr>
                <w:rFonts w:eastAsiaTheme="minorEastAsia"/>
                <w:color w:val="000000"/>
                <w:sz w:val="24"/>
              </w:rPr>
              <w:t>玲珑转债</w:t>
            </w:r>
          </w:p>
        </w:tc>
        <w:tc>
          <w:tcPr>
            <w:vAlign w:val="center"/>
          </w:tcPr>
          <w:p>
            <w:pPr>
              <w:jc w:val="right"/>
            </w:pPr>
            <w:r>
              <w:rPr>
                <w:rFonts w:eastAsiaTheme="minorEastAsia"/>
                <w:color w:val="000000"/>
                <w:sz w:val="24"/>
              </w:rPr>
              <w:t>571,048.80</w:t>
            </w:r>
          </w:p>
        </w:tc>
        <w:tc>
          <w:tcPr>
            <w:vAlign w:val="center"/>
          </w:tcPr>
          <w:p>
            <w:pPr>
              <w:jc w:val="right"/>
            </w:pPr>
            <w:r>
              <w:rPr>
                <w:rFonts w:eastAsiaTheme="minorEastAsia"/>
                <w:color w:val="000000"/>
                <w:sz w:val="24"/>
              </w:rPr>
              <w:t>1.90</w:t>
            </w:r>
          </w:p>
        </w:tc>
      </w:tr>
      <w:tr>
        <w:tc>
          <w:tcPr>
            <w:vAlign w:val="center"/>
          </w:tcPr>
          <w:p>
            <w:pPr>
              <w:jc w:val="center"/>
            </w:pPr>
            <w:r>
              <w:rPr>
                <w:rFonts w:eastAsiaTheme="minorEastAsia"/>
                <w:color w:val="000000"/>
                <w:sz w:val="24"/>
              </w:rPr>
              <w:t>9</w:t>
            </w:r>
          </w:p>
        </w:tc>
        <w:tc>
          <w:tcPr>
            <w:vAlign w:val="center"/>
          </w:tcPr>
          <w:p>
            <w:pPr>
              <w:jc w:val="center"/>
            </w:pPr>
            <w:r>
              <w:rPr>
                <w:rFonts w:eastAsiaTheme="minorEastAsia"/>
                <w:color w:val="000000"/>
                <w:sz w:val="24"/>
              </w:rPr>
              <w:t>113508</w:t>
            </w:r>
          </w:p>
        </w:tc>
        <w:tc>
          <w:tcPr>
            <w:vAlign w:val="center"/>
          </w:tcPr>
          <w:p>
            <w:pPr>
              <w:jc w:val="center"/>
            </w:pPr>
            <w:r>
              <w:rPr>
                <w:rFonts w:eastAsiaTheme="minorEastAsia"/>
                <w:color w:val="000000"/>
                <w:sz w:val="24"/>
              </w:rPr>
              <w:t>新凤转债</w:t>
            </w:r>
          </w:p>
        </w:tc>
        <w:tc>
          <w:tcPr>
            <w:vAlign w:val="center"/>
          </w:tcPr>
          <w:p>
            <w:pPr>
              <w:jc w:val="right"/>
            </w:pPr>
            <w:r>
              <w:rPr>
                <w:rFonts w:eastAsiaTheme="minorEastAsia"/>
                <w:color w:val="000000"/>
                <w:sz w:val="24"/>
              </w:rPr>
              <w:t>538,545.60</w:t>
            </w:r>
          </w:p>
        </w:tc>
        <w:tc>
          <w:tcPr>
            <w:vAlign w:val="center"/>
          </w:tcPr>
          <w:p>
            <w:pPr>
              <w:jc w:val="right"/>
            </w:pPr>
            <w:r>
              <w:rPr>
                <w:rFonts w:eastAsiaTheme="minorEastAsia"/>
                <w:color w:val="000000"/>
                <w:sz w:val="24"/>
              </w:rPr>
              <w:t>1.79</w:t>
            </w:r>
          </w:p>
        </w:tc>
      </w:tr>
      <w:tr>
        <w:tc>
          <w:tcPr>
            <w:vAlign w:val="center"/>
          </w:tcPr>
          <w:p>
            <w:pPr>
              <w:jc w:val="center"/>
            </w:pPr>
            <w:r>
              <w:rPr>
                <w:rFonts w:eastAsiaTheme="minorEastAsia"/>
                <w:color w:val="000000"/>
                <w:sz w:val="24"/>
              </w:rPr>
              <w:t>10</w:t>
            </w:r>
          </w:p>
        </w:tc>
        <w:tc>
          <w:tcPr>
            <w:vAlign w:val="center"/>
          </w:tcPr>
          <w:p>
            <w:pPr>
              <w:jc w:val="center"/>
            </w:pPr>
            <w:r>
              <w:rPr>
                <w:rFonts w:eastAsiaTheme="minorEastAsia"/>
                <w:color w:val="000000"/>
                <w:sz w:val="24"/>
              </w:rPr>
              <w:t>113542</w:t>
            </w:r>
          </w:p>
        </w:tc>
        <w:tc>
          <w:tcPr>
            <w:vAlign w:val="center"/>
          </w:tcPr>
          <w:p>
            <w:pPr>
              <w:jc w:val="center"/>
            </w:pPr>
            <w:r>
              <w:rPr>
                <w:rFonts w:eastAsiaTheme="minorEastAsia"/>
                <w:color w:val="000000"/>
                <w:sz w:val="24"/>
              </w:rPr>
              <w:t>好客转债</w:t>
            </w:r>
          </w:p>
        </w:tc>
        <w:tc>
          <w:tcPr>
            <w:vAlign w:val="center"/>
          </w:tcPr>
          <w:p>
            <w:pPr>
              <w:jc w:val="right"/>
            </w:pPr>
            <w:r>
              <w:rPr>
                <w:rFonts w:eastAsiaTheme="minorEastAsia"/>
                <w:color w:val="000000"/>
                <w:sz w:val="24"/>
              </w:rPr>
              <w:t>534,755.60</w:t>
            </w:r>
          </w:p>
        </w:tc>
        <w:tc>
          <w:tcPr>
            <w:vAlign w:val="center"/>
          </w:tcPr>
          <w:p>
            <w:pPr>
              <w:jc w:val="right"/>
            </w:pPr>
            <w:r>
              <w:rPr>
                <w:rFonts w:eastAsiaTheme="minorEastAsia"/>
                <w:color w:val="000000"/>
                <w:sz w:val="24"/>
              </w:rPr>
              <w:t>1.78</w:t>
            </w:r>
          </w:p>
        </w:tc>
      </w:tr>
      <w:tr>
        <w:tc>
          <w:tcPr>
            <w:vAlign w:val="center"/>
          </w:tcPr>
          <w:p>
            <w:pPr>
              <w:jc w:val="center"/>
            </w:pPr>
            <w:r>
              <w:rPr>
                <w:rFonts w:eastAsiaTheme="minorEastAsia"/>
                <w:color w:val="000000"/>
                <w:sz w:val="24"/>
              </w:rPr>
              <w:t>11</w:t>
            </w:r>
          </w:p>
        </w:tc>
        <w:tc>
          <w:tcPr>
            <w:vAlign w:val="center"/>
          </w:tcPr>
          <w:p>
            <w:pPr>
              <w:jc w:val="center"/>
            </w:pPr>
            <w:r>
              <w:rPr>
                <w:rFonts w:eastAsiaTheme="minorEastAsia"/>
                <w:color w:val="000000"/>
                <w:sz w:val="24"/>
              </w:rPr>
              <w:t>113014</w:t>
            </w:r>
          </w:p>
        </w:tc>
        <w:tc>
          <w:tcPr>
            <w:vAlign w:val="center"/>
          </w:tcPr>
          <w:p>
            <w:pPr>
              <w:jc w:val="center"/>
            </w:pPr>
            <w:r>
              <w:rPr>
                <w:rFonts w:eastAsiaTheme="minorEastAsia"/>
                <w:color w:val="000000"/>
                <w:sz w:val="24"/>
              </w:rPr>
              <w:t>林洋转债</w:t>
            </w:r>
          </w:p>
        </w:tc>
        <w:tc>
          <w:tcPr>
            <w:vAlign w:val="center"/>
          </w:tcPr>
          <w:p>
            <w:pPr>
              <w:jc w:val="right"/>
            </w:pPr>
            <w:r>
              <w:rPr>
                <w:rFonts w:eastAsiaTheme="minorEastAsia"/>
                <w:color w:val="000000"/>
                <w:sz w:val="24"/>
              </w:rPr>
              <w:t>532,300.00</w:t>
            </w:r>
          </w:p>
        </w:tc>
        <w:tc>
          <w:tcPr>
            <w:vAlign w:val="center"/>
          </w:tcPr>
          <w:p>
            <w:pPr>
              <w:jc w:val="right"/>
            </w:pPr>
            <w:r>
              <w:rPr>
                <w:rFonts w:eastAsiaTheme="minorEastAsia"/>
                <w:color w:val="000000"/>
                <w:sz w:val="24"/>
              </w:rPr>
              <w:t>1.77</w:t>
            </w:r>
          </w:p>
        </w:tc>
      </w:tr>
      <w:tr>
        <w:tc>
          <w:tcPr>
            <w:vAlign w:val="center"/>
          </w:tcPr>
          <w:p>
            <w:pPr>
              <w:jc w:val="center"/>
            </w:pPr>
            <w:r>
              <w:rPr>
                <w:rFonts w:eastAsiaTheme="minorEastAsia"/>
                <w:color w:val="000000"/>
                <w:sz w:val="24"/>
              </w:rPr>
              <w:t>12</w:t>
            </w:r>
          </w:p>
        </w:tc>
        <w:tc>
          <w:tcPr>
            <w:vAlign w:val="center"/>
          </w:tcPr>
          <w:p>
            <w:pPr>
              <w:jc w:val="center"/>
            </w:pPr>
            <w:r>
              <w:rPr>
                <w:rFonts w:eastAsiaTheme="minorEastAsia"/>
                <w:color w:val="000000"/>
                <w:sz w:val="24"/>
              </w:rPr>
              <w:t>113518</w:t>
            </w:r>
          </w:p>
        </w:tc>
        <w:tc>
          <w:tcPr>
            <w:vAlign w:val="center"/>
          </w:tcPr>
          <w:p>
            <w:pPr>
              <w:jc w:val="center"/>
            </w:pPr>
            <w:r>
              <w:rPr>
                <w:rFonts w:eastAsiaTheme="minorEastAsia"/>
                <w:color w:val="000000"/>
                <w:sz w:val="24"/>
              </w:rPr>
              <w:t>顾家转债</w:t>
            </w:r>
          </w:p>
        </w:tc>
        <w:tc>
          <w:tcPr>
            <w:vAlign w:val="center"/>
          </w:tcPr>
          <w:p>
            <w:pPr>
              <w:jc w:val="right"/>
            </w:pPr>
            <w:r>
              <w:rPr>
                <w:rFonts w:eastAsiaTheme="minorEastAsia"/>
                <w:color w:val="000000"/>
                <w:sz w:val="24"/>
              </w:rPr>
              <w:t>522,227.40</w:t>
            </w:r>
          </w:p>
        </w:tc>
        <w:tc>
          <w:tcPr>
            <w:vAlign w:val="center"/>
          </w:tcPr>
          <w:p>
            <w:pPr>
              <w:jc w:val="right"/>
            </w:pPr>
            <w:r>
              <w:rPr>
                <w:rFonts w:eastAsiaTheme="minorEastAsia"/>
                <w:color w:val="000000"/>
                <w:sz w:val="24"/>
              </w:rPr>
              <w:t>1.74</w:t>
            </w:r>
          </w:p>
        </w:tc>
      </w:tr>
      <w:tr>
        <w:tc>
          <w:tcPr>
            <w:vAlign w:val="center"/>
          </w:tcPr>
          <w:p>
            <w:pPr>
              <w:jc w:val="center"/>
            </w:pPr>
            <w:r>
              <w:rPr>
                <w:rFonts w:eastAsiaTheme="minorEastAsia"/>
                <w:color w:val="000000"/>
                <w:sz w:val="24"/>
              </w:rPr>
              <w:t>13</w:t>
            </w:r>
          </w:p>
        </w:tc>
        <w:tc>
          <w:tcPr>
            <w:vAlign w:val="center"/>
          </w:tcPr>
          <w:p>
            <w:pPr>
              <w:jc w:val="center"/>
            </w:pPr>
            <w:r>
              <w:rPr>
                <w:rFonts w:eastAsiaTheme="minorEastAsia"/>
                <w:color w:val="000000"/>
                <w:sz w:val="24"/>
              </w:rPr>
              <w:t>113013</w:t>
            </w:r>
          </w:p>
        </w:tc>
        <w:tc>
          <w:tcPr>
            <w:vAlign w:val="center"/>
          </w:tcPr>
          <w:p>
            <w:pPr>
              <w:jc w:val="center"/>
            </w:pPr>
            <w:r>
              <w:rPr>
                <w:rFonts w:eastAsiaTheme="minorEastAsia"/>
                <w:color w:val="000000"/>
                <w:sz w:val="24"/>
              </w:rPr>
              <w:t>国君转债</w:t>
            </w:r>
          </w:p>
        </w:tc>
        <w:tc>
          <w:tcPr>
            <w:vAlign w:val="center"/>
          </w:tcPr>
          <w:p>
            <w:pPr>
              <w:jc w:val="right"/>
            </w:pPr>
            <w:r>
              <w:rPr>
                <w:rFonts w:eastAsiaTheme="minorEastAsia"/>
                <w:color w:val="000000"/>
                <w:sz w:val="24"/>
              </w:rPr>
              <w:t>418,762.80</w:t>
            </w:r>
          </w:p>
        </w:tc>
        <w:tc>
          <w:tcPr>
            <w:vAlign w:val="center"/>
          </w:tcPr>
          <w:p>
            <w:pPr>
              <w:jc w:val="right"/>
            </w:pPr>
            <w:r>
              <w:rPr>
                <w:rFonts w:eastAsiaTheme="minorEastAsia"/>
                <w:color w:val="000000"/>
                <w:sz w:val="24"/>
              </w:rPr>
              <w:t>1.40</w:t>
            </w:r>
          </w:p>
        </w:tc>
      </w:tr>
      <w:tr>
        <w:tc>
          <w:tcPr>
            <w:vAlign w:val="center"/>
          </w:tcPr>
          <w:p>
            <w:pPr>
              <w:jc w:val="center"/>
            </w:pPr>
            <w:r>
              <w:rPr>
                <w:rFonts w:eastAsiaTheme="minorEastAsia"/>
                <w:color w:val="000000"/>
                <w:sz w:val="24"/>
              </w:rPr>
              <w:t>14</w:t>
            </w:r>
          </w:p>
        </w:tc>
        <w:tc>
          <w:tcPr>
            <w:vAlign w:val="center"/>
          </w:tcPr>
          <w:p>
            <w:pPr>
              <w:jc w:val="center"/>
            </w:pPr>
            <w:r>
              <w:rPr>
                <w:rFonts w:eastAsiaTheme="minorEastAsia"/>
                <w:color w:val="000000"/>
                <w:sz w:val="24"/>
              </w:rPr>
              <w:t>110048</w:t>
            </w:r>
          </w:p>
        </w:tc>
        <w:tc>
          <w:tcPr>
            <w:vAlign w:val="center"/>
          </w:tcPr>
          <w:p>
            <w:pPr>
              <w:jc w:val="center"/>
            </w:pPr>
            <w:r>
              <w:rPr>
                <w:rFonts w:eastAsiaTheme="minorEastAsia"/>
                <w:color w:val="000000"/>
                <w:sz w:val="24"/>
              </w:rPr>
              <w:t>福能转债</w:t>
            </w:r>
          </w:p>
        </w:tc>
        <w:tc>
          <w:tcPr>
            <w:vAlign w:val="center"/>
          </w:tcPr>
          <w:p>
            <w:pPr>
              <w:jc w:val="right"/>
            </w:pPr>
            <w:r>
              <w:rPr>
                <w:rFonts w:eastAsiaTheme="minorEastAsia"/>
                <w:color w:val="000000"/>
                <w:sz w:val="24"/>
              </w:rPr>
              <w:t>416,237.50</w:t>
            </w:r>
          </w:p>
        </w:tc>
        <w:tc>
          <w:tcPr>
            <w:vAlign w:val="center"/>
          </w:tcPr>
          <w:p>
            <w:pPr>
              <w:jc w:val="right"/>
            </w:pPr>
            <w:r>
              <w:rPr>
                <w:rFonts w:eastAsiaTheme="minorEastAsia"/>
                <w:color w:val="000000"/>
                <w:sz w:val="24"/>
              </w:rPr>
              <w:t>1.39</w:t>
            </w:r>
          </w:p>
        </w:tc>
      </w:tr>
      <w:tr>
        <w:tc>
          <w:tcPr>
            <w:vAlign w:val="center"/>
          </w:tcPr>
          <w:p>
            <w:pPr>
              <w:jc w:val="center"/>
            </w:pPr>
            <w:r>
              <w:rPr>
                <w:rFonts w:eastAsiaTheme="minorEastAsia"/>
                <w:color w:val="000000"/>
                <w:sz w:val="24"/>
              </w:rPr>
              <w:t>15</w:t>
            </w:r>
          </w:p>
        </w:tc>
        <w:tc>
          <w:tcPr>
            <w:vAlign w:val="center"/>
          </w:tcPr>
          <w:p>
            <w:pPr>
              <w:jc w:val="center"/>
            </w:pPr>
            <w:r>
              <w:rPr>
                <w:rFonts w:eastAsiaTheme="minorEastAsia"/>
                <w:color w:val="000000"/>
                <w:sz w:val="24"/>
              </w:rPr>
              <w:t>128021</w:t>
            </w:r>
          </w:p>
        </w:tc>
        <w:tc>
          <w:tcPr>
            <w:vAlign w:val="center"/>
          </w:tcPr>
          <w:p>
            <w:pPr>
              <w:jc w:val="center"/>
            </w:pPr>
            <w:r>
              <w:rPr>
                <w:rFonts w:eastAsiaTheme="minorEastAsia"/>
                <w:color w:val="000000"/>
                <w:sz w:val="24"/>
              </w:rPr>
              <w:t>兄弟转债</w:t>
            </w:r>
          </w:p>
        </w:tc>
        <w:tc>
          <w:tcPr>
            <w:vAlign w:val="center"/>
          </w:tcPr>
          <w:p>
            <w:pPr>
              <w:jc w:val="right"/>
            </w:pPr>
            <w:r>
              <w:rPr>
                <w:rFonts w:eastAsiaTheme="minorEastAsia"/>
                <w:color w:val="000000"/>
                <w:sz w:val="24"/>
              </w:rPr>
              <w:t>381,307.20</w:t>
            </w:r>
          </w:p>
        </w:tc>
        <w:tc>
          <w:tcPr>
            <w:vAlign w:val="center"/>
          </w:tcPr>
          <w:p>
            <w:pPr>
              <w:jc w:val="right"/>
            </w:pPr>
            <w:r>
              <w:rPr>
                <w:rFonts w:eastAsiaTheme="minorEastAsia"/>
                <w:color w:val="000000"/>
                <w:sz w:val="24"/>
              </w:rPr>
              <w:t>1.27</w:t>
            </w:r>
          </w:p>
        </w:tc>
      </w:tr>
      <w:tr>
        <w:tc>
          <w:tcPr>
            <w:vAlign w:val="center"/>
          </w:tcPr>
          <w:p>
            <w:pPr>
              <w:jc w:val="center"/>
            </w:pPr>
            <w:r>
              <w:rPr>
                <w:rFonts w:eastAsiaTheme="minorEastAsia"/>
                <w:color w:val="000000"/>
                <w:sz w:val="24"/>
              </w:rPr>
              <w:t>16</w:t>
            </w:r>
          </w:p>
        </w:tc>
        <w:tc>
          <w:tcPr>
            <w:vAlign w:val="center"/>
          </w:tcPr>
          <w:p>
            <w:pPr>
              <w:jc w:val="center"/>
            </w:pPr>
            <w:r>
              <w:rPr>
                <w:rFonts w:eastAsiaTheme="minorEastAsia"/>
                <w:color w:val="000000"/>
                <w:sz w:val="24"/>
              </w:rPr>
              <w:t>128010</w:t>
            </w:r>
          </w:p>
        </w:tc>
        <w:tc>
          <w:tcPr>
            <w:vAlign w:val="center"/>
          </w:tcPr>
          <w:p>
            <w:pPr>
              <w:jc w:val="center"/>
            </w:pPr>
            <w:r>
              <w:rPr>
                <w:rFonts w:eastAsiaTheme="minorEastAsia"/>
                <w:color w:val="000000"/>
                <w:sz w:val="24"/>
              </w:rPr>
              <w:t>顺昌转债</w:t>
            </w:r>
          </w:p>
        </w:tc>
        <w:tc>
          <w:tcPr>
            <w:vAlign w:val="center"/>
          </w:tcPr>
          <w:p>
            <w:pPr>
              <w:jc w:val="right"/>
            </w:pPr>
            <w:r>
              <w:rPr>
                <w:rFonts w:eastAsiaTheme="minorEastAsia"/>
                <w:color w:val="000000"/>
                <w:sz w:val="24"/>
              </w:rPr>
              <w:t>371,420.00</w:t>
            </w:r>
          </w:p>
        </w:tc>
        <w:tc>
          <w:tcPr>
            <w:vAlign w:val="center"/>
          </w:tcPr>
          <w:p>
            <w:pPr>
              <w:jc w:val="right"/>
            </w:pPr>
            <w:r>
              <w:rPr>
                <w:rFonts w:eastAsiaTheme="minorEastAsia"/>
                <w:color w:val="000000"/>
                <w:sz w:val="24"/>
              </w:rPr>
              <w:t>1.24</w:t>
            </w:r>
          </w:p>
        </w:tc>
      </w:tr>
      <w:tr>
        <w:tc>
          <w:tcPr>
            <w:vAlign w:val="center"/>
          </w:tcPr>
          <w:p>
            <w:pPr>
              <w:jc w:val="center"/>
            </w:pPr>
            <w:r>
              <w:rPr>
                <w:rFonts w:eastAsiaTheme="minorEastAsia"/>
                <w:color w:val="000000"/>
                <w:sz w:val="24"/>
              </w:rPr>
              <w:t>17</w:t>
            </w:r>
          </w:p>
        </w:tc>
        <w:tc>
          <w:tcPr>
            <w:vAlign w:val="center"/>
          </w:tcPr>
          <w:p>
            <w:pPr>
              <w:jc w:val="center"/>
            </w:pPr>
            <w:r>
              <w:rPr>
                <w:rFonts w:eastAsiaTheme="minorEastAsia"/>
                <w:color w:val="000000"/>
                <w:sz w:val="24"/>
              </w:rPr>
              <w:t>128019</w:t>
            </w:r>
          </w:p>
        </w:tc>
        <w:tc>
          <w:tcPr>
            <w:vAlign w:val="center"/>
          </w:tcPr>
          <w:p>
            <w:pPr>
              <w:jc w:val="center"/>
            </w:pPr>
            <w:r>
              <w:rPr>
                <w:rFonts w:eastAsiaTheme="minorEastAsia"/>
                <w:color w:val="000000"/>
                <w:sz w:val="24"/>
              </w:rPr>
              <w:t>久立转2</w:t>
            </w:r>
          </w:p>
        </w:tc>
        <w:tc>
          <w:tcPr>
            <w:vAlign w:val="center"/>
          </w:tcPr>
          <w:p>
            <w:pPr>
              <w:jc w:val="right"/>
            </w:pPr>
            <w:r>
              <w:rPr>
                <w:rFonts w:eastAsiaTheme="minorEastAsia"/>
                <w:color w:val="000000"/>
                <w:sz w:val="24"/>
              </w:rPr>
              <w:t>333,852.68</w:t>
            </w:r>
          </w:p>
        </w:tc>
        <w:tc>
          <w:tcPr>
            <w:vAlign w:val="center"/>
          </w:tcPr>
          <w:p>
            <w:pPr>
              <w:jc w:val="right"/>
            </w:pPr>
            <w:r>
              <w:rPr>
                <w:rFonts w:eastAsiaTheme="minorEastAsia"/>
                <w:color w:val="000000"/>
                <w:sz w:val="24"/>
              </w:rPr>
              <w:t>1.11</w:t>
            </w:r>
          </w:p>
        </w:tc>
      </w:tr>
      <w:tr>
        <w:tc>
          <w:tcPr>
            <w:vAlign w:val="center"/>
          </w:tcPr>
          <w:p>
            <w:pPr>
              <w:jc w:val="center"/>
            </w:pPr>
            <w:r>
              <w:rPr>
                <w:rFonts w:eastAsiaTheme="minorEastAsia"/>
                <w:color w:val="000000"/>
                <w:sz w:val="24"/>
              </w:rPr>
              <w:t>18</w:t>
            </w:r>
          </w:p>
        </w:tc>
        <w:tc>
          <w:tcPr>
            <w:vAlign w:val="center"/>
          </w:tcPr>
          <w:p>
            <w:pPr>
              <w:jc w:val="center"/>
            </w:pPr>
            <w:r>
              <w:rPr>
                <w:rFonts w:eastAsiaTheme="minorEastAsia"/>
                <w:color w:val="000000"/>
                <w:sz w:val="24"/>
              </w:rPr>
              <w:t>123011</w:t>
            </w:r>
          </w:p>
        </w:tc>
        <w:tc>
          <w:tcPr>
            <w:vAlign w:val="center"/>
          </w:tcPr>
          <w:p>
            <w:pPr>
              <w:jc w:val="center"/>
            </w:pPr>
            <w:r>
              <w:rPr>
                <w:rFonts w:eastAsiaTheme="minorEastAsia"/>
                <w:color w:val="000000"/>
                <w:sz w:val="24"/>
              </w:rPr>
              <w:t>德尔转债</w:t>
            </w:r>
          </w:p>
        </w:tc>
        <w:tc>
          <w:tcPr>
            <w:vAlign w:val="center"/>
          </w:tcPr>
          <w:p>
            <w:pPr>
              <w:jc w:val="right"/>
            </w:pPr>
            <w:r>
              <w:rPr>
                <w:rFonts w:eastAsiaTheme="minorEastAsia"/>
                <w:color w:val="000000"/>
                <w:sz w:val="24"/>
              </w:rPr>
              <w:t>330,900.00</w:t>
            </w:r>
          </w:p>
        </w:tc>
        <w:tc>
          <w:tcPr>
            <w:vAlign w:val="center"/>
          </w:tcPr>
          <w:p>
            <w:pPr>
              <w:jc w:val="right"/>
            </w:pPr>
            <w:r>
              <w:rPr>
                <w:rFonts w:eastAsiaTheme="minorEastAsia"/>
                <w:color w:val="000000"/>
                <w:sz w:val="24"/>
              </w:rPr>
              <w:t>1.10</w:t>
            </w:r>
          </w:p>
        </w:tc>
      </w:tr>
      <w:tr>
        <w:tc>
          <w:tcPr>
            <w:vAlign w:val="center"/>
          </w:tcPr>
          <w:p>
            <w:pPr>
              <w:jc w:val="center"/>
            </w:pPr>
            <w:r>
              <w:rPr>
                <w:rFonts w:eastAsiaTheme="minorEastAsia"/>
                <w:color w:val="000000"/>
                <w:sz w:val="24"/>
              </w:rPr>
              <w:t>19</w:t>
            </w:r>
          </w:p>
        </w:tc>
        <w:tc>
          <w:tcPr>
            <w:vAlign w:val="center"/>
          </w:tcPr>
          <w:p>
            <w:pPr>
              <w:jc w:val="center"/>
            </w:pPr>
            <w:r>
              <w:rPr>
                <w:rFonts w:eastAsiaTheme="minorEastAsia"/>
                <w:color w:val="000000"/>
                <w:sz w:val="24"/>
              </w:rPr>
              <w:t>128074</w:t>
            </w:r>
          </w:p>
        </w:tc>
        <w:tc>
          <w:tcPr>
            <w:vAlign w:val="center"/>
          </w:tcPr>
          <w:p>
            <w:pPr>
              <w:jc w:val="center"/>
            </w:pPr>
            <w:r>
              <w:rPr>
                <w:rFonts w:eastAsiaTheme="minorEastAsia"/>
                <w:color w:val="000000"/>
                <w:sz w:val="24"/>
              </w:rPr>
              <w:t>游族转债</w:t>
            </w:r>
          </w:p>
        </w:tc>
        <w:tc>
          <w:tcPr>
            <w:vAlign w:val="center"/>
          </w:tcPr>
          <w:p>
            <w:pPr>
              <w:jc w:val="right"/>
            </w:pPr>
            <w:r>
              <w:rPr>
                <w:rFonts w:eastAsiaTheme="minorEastAsia"/>
                <w:color w:val="000000"/>
                <w:sz w:val="24"/>
              </w:rPr>
              <w:t>317,825.00</w:t>
            </w:r>
          </w:p>
        </w:tc>
        <w:tc>
          <w:tcPr>
            <w:vAlign w:val="center"/>
          </w:tcPr>
          <w:p>
            <w:pPr>
              <w:jc w:val="right"/>
            </w:pPr>
            <w:r>
              <w:rPr>
                <w:rFonts w:eastAsiaTheme="minorEastAsia"/>
                <w:color w:val="000000"/>
                <w:sz w:val="24"/>
              </w:rPr>
              <w:t>1.06</w:t>
            </w:r>
          </w:p>
        </w:tc>
      </w:tr>
      <w:tr>
        <w:tc>
          <w:tcPr>
            <w:vAlign w:val="center"/>
          </w:tcPr>
          <w:p>
            <w:pPr>
              <w:jc w:val="center"/>
            </w:pPr>
            <w:r>
              <w:rPr>
                <w:rFonts w:eastAsiaTheme="minorEastAsia"/>
                <w:color w:val="000000"/>
                <w:sz w:val="24"/>
              </w:rPr>
              <w:t>20</w:t>
            </w:r>
          </w:p>
        </w:tc>
        <w:tc>
          <w:tcPr>
            <w:vAlign w:val="center"/>
          </w:tcPr>
          <w:p>
            <w:pPr>
              <w:jc w:val="center"/>
            </w:pPr>
            <w:r>
              <w:rPr>
                <w:rFonts w:eastAsiaTheme="minorEastAsia"/>
                <w:color w:val="000000"/>
                <w:sz w:val="24"/>
              </w:rPr>
              <w:t>113022</w:t>
            </w:r>
          </w:p>
        </w:tc>
        <w:tc>
          <w:tcPr>
            <w:vAlign w:val="center"/>
          </w:tcPr>
          <w:p>
            <w:pPr>
              <w:jc w:val="center"/>
            </w:pPr>
            <w:r>
              <w:rPr>
                <w:rFonts w:eastAsiaTheme="minorEastAsia"/>
                <w:color w:val="000000"/>
                <w:sz w:val="24"/>
              </w:rPr>
              <w:t>浙商转债</w:t>
            </w:r>
          </w:p>
        </w:tc>
        <w:tc>
          <w:tcPr>
            <w:vAlign w:val="center"/>
          </w:tcPr>
          <w:p>
            <w:pPr>
              <w:jc w:val="right"/>
            </w:pPr>
            <w:r>
              <w:rPr>
                <w:rFonts w:eastAsiaTheme="minorEastAsia"/>
                <w:color w:val="000000"/>
                <w:sz w:val="24"/>
              </w:rPr>
              <w:t>312,120.00</w:t>
            </w:r>
          </w:p>
        </w:tc>
        <w:tc>
          <w:tcPr>
            <w:vAlign w:val="center"/>
          </w:tcPr>
          <w:p>
            <w:pPr>
              <w:jc w:val="right"/>
            </w:pPr>
            <w:r>
              <w:rPr>
                <w:rFonts w:eastAsiaTheme="minorEastAsia"/>
                <w:color w:val="000000"/>
                <w:sz w:val="24"/>
              </w:rPr>
              <w:t>1.04</w:t>
            </w:r>
          </w:p>
        </w:tc>
      </w:tr>
      <w:tr>
        <w:tc>
          <w:tcPr>
            <w:vAlign w:val="center"/>
          </w:tcPr>
          <w:p>
            <w:pPr>
              <w:jc w:val="center"/>
            </w:pPr>
            <w:r>
              <w:rPr>
                <w:rFonts w:eastAsiaTheme="minorEastAsia"/>
                <w:color w:val="000000"/>
                <w:sz w:val="24"/>
              </w:rPr>
              <w:t>21</w:t>
            </w:r>
          </w:p>
        </w:tc>
        <w:tc>
          <w:tcPr>
            <w:vAlign w:val="center"/>
          </w:tcPr>
          <w:p>
            <w:pPr>
              <w:jc w:val="center"/>
            </w:pPr>
            <w:r>
              <w:rPr>
                <w:rFonts w:eastAsiaTheme="minorEastAsia"/>
                <w:color w:val="000000"/>
                <w:sz w:val="24"/>
              </w:rPr>
              <w:t>113509</w:t>
            </w:r>
          </w:p>
        </w:tc>
        <w:tc>
          <w:tcPr>
            <w:vAlign w:val="center"/>
          </w:tcPr>
          <w:p>
            <w:pPr>
              <w:jc w:val="center"/>
            </w:pPr>
            <w:r>
              <w:rPr>
                <w:rFonts w:eastAsiaTheme="minorEastAsia"/>
                <w:color w:val="000000"/>
                <w:sz w:val="24"/>
              </w:rPr>
              <w:t>新泉转债</w:t>
            </w:r>
          </w:p>
        </w:tc>
        <w:tc>
          <w:tcPr>
            <w:vAlign w:val="center"/>
          </w:tcPr>
          <w:p>
            <w:pPr>
              <w:jc w:val="right"/>
            </w:pPr>
            <w:r>
              <w:rPr>
                <w:rFonts w:eastAsiaTheme="minorEastAsia"/>
                <w:color w:val="000000"/>
                <w:sz w:val="24"/>
              </w:rPr>
              <w:t>299,907.40</w:t>
            </w:r>
          </w:p>
        </w:tc>
        <w:tc>
          <w:tcPr>
            <w:vAlign w:val="center"/>
          </w:tcPr>
          <w:p>
            <w:pPr>
              <w:jc w:val="right"/>
            </w:pPr>
            <w:r>
              <w:rPr>
                <w:rFonts w:eastAsiaTheme="minorEastAsia"/>
                <w:color w:val="000000"/>
                <w:sz w:val="24"/>
              </w:rPr>
              <w:t>1.00</w:t>
            </w:r>
          </w:p>
        </w:tc>
      </w:tr>
      <w:tr>
        <w:tc>
          <w:tcPr>
            <w:vAlign w:val="center"/>
          </w:tcPr>
          <w:p>
            <w:pPr>
              <w:jc w:val="center"/>
            </w:pPr>
            <w:r>
              <w:rPr>
                <w:rFonts w:eastAsiaTheme="minorEastAsia"/>
                <w:color w:val="000000"/>
                <w:sz w:val="24"/>
              </w:rPr>
              <w:t>22</w:t>
            </w:r>
          </w:p>
        </w:tc>
        <w:tc>
          <w:tcPr>
            <w:vAlign w:val="center"/>
          </w:tcPr>
          <w:p>
            <w:pPr>
              <w:jc w:val="center"/>
            </w:pPr>
            <w:r>
              <w:rPr>
                <w:rFonts w:eastAsiaTheme="minorEastAsia"/>
                <w:color w:val="000000"/>
                <w:sz w:val="24"/>
              </w:rPr>
              <w:t>123024</w:t>
            </w:r>
          </w:p>
        </w:tc>
        <w:tc>
          <w:tcPr>
            <w:vAlign w:val="center"/>
          </w:tcPr>
          <w:p>
            <w:pPr>
              <w:jc w:val="center"/>
            </w:pPr>
            <w:r>
              <w:rPr>
                <w:rFonts w:eastAsiaTheme="minorEastAsia"/>
                <w:color w:val="000000"/>
                <w:sz w:val="24"/>
              </w:rPr>
              <w:t>岱勒转债</w:t>
            </w:r>
          </w:p>
        </w:tc>
        <w:tc>
          <w:tcPr>
            <w:vAlign w:val="center"/>
          </w:tcPr>
          <w:p>
            <w:pPr>
              <w:jc w:val="right"/>
            </w:pPr>
            <w:r>
              <w:rPr>
                <w:rFonts w:eastAsiaTheme="minorEastAsia"/>
                <w:color w:val="000000"/>
                <w:sz w:val="24"/>
              </w:rPr>
              <w:t>269,016.40</w:t>
            </w:r>
          </w:p>
        </w:tc>
        <w:tc>
          <w:tcPr>
            <w:vAlign w:val="center"/>
          </w:tcPr>
          <w:p>
            <w:pPr>
              <w:jc w:val="right"/>
            </w:pPr>
            <w:r>
              <w:rPr>
                <w:rFonts w:eastAsiaTheme="minorEastAsia"/>
                <w:color w:val="000000"/>
                <w:sz w:val="24"/>
              </w:rPr>
              <w:t>0.90</w:t>
            </w:r>
          </w:p>
        </w:tc>
      </w:tr>
      <w:tr>
        <w:tc>
          <w:tcPr>
            <w:vAlign w:val="center"/>
          </w:tcPr>
          <w:p>
            <w:pPr>
              <w:jc w:val="center"/>
            </w:pPr>
            <w:r>
              <w:rPr>
                <w:rFonts w:eastAsiaTheme="minorEastAsia"/>
                <w:color w:val="000000"/>
                <w:sz w:val="24"/>
              </w:rPr>
              <w:t>23</w:t>
            </w:r>
          </w:p>
        </w:tc>
        <w:tc>
          <w:tcPr>
            <w:vAlign w:val="center"/>
          </w:tcPr>
          <w:p>
            <w:pPr>
              <w:jc w:val="center"/>
            </w:pPr>
            <w:r>
              <w:rPr>
                <w:rFonts w:eastAsiaTheme="minorEastAsia"/>
                <w:color w:val="000000"/>
                <w:sz w:val="24"/>
              </w:rPr>
              <w:t>113524</w:t>
            </w:r>
          </w:p>
        </w:tc>
        <w:tc>
          <w:tcPr>
            <w:vAlign w:val="center"/>
          </w:tcPr>
          <w:p>
            <w:pPr>
              <w:jc w:val="center"/>
            </w:pPr>
            <w:r>
              <w:rPr>
                <w:rFonts w:eastAsiaTheme="minorEastAsia"/>
                <w:color w:val="000000"/>
                <w:sz w:val="24"/>
              </w:rPr>
              <w:t>奇精转债</w:t>
            </w:r>
          </w:p>
        </w:tc>
        <w:tc>
          <w:tcPr>
            <w:vAlign w:val="center"/>
          </w:tcPr>
          <w:p>
            <w:pPr>
              <w:jc w:val="right"/>
            </w:pPr>
            <w:r>
              <w:rPr>
                <w:rFonts w:eastAsiaTheme="minorEastAsia"/>
                <w:color w:val="000000"/>
                <w:sz w:val="24"/>
              </w:rPr>
              <w:t>265,999.80</w:t>
            </w:r>
          </w:p>
        </w:tc>
        <w:tc>
          <w:tcPr>
            <w:vAlign w:val="center"/>
          </w:tcPr>
          <w:p>
            <w:pPr>
              <w:jc w:val="right"/>
            </w:pPr>
            <w:r>
              <w:rPr>
                <w:rFonts w:eastAsiaTheme="minorEastAsia"/>
                <w:color w:val="000000"/>
                <w:sz w:val="24"/>
              </w:rPr>
              <w:t>0.89</w:t>
            </w:r>
          </w:p>
        </w:tc>
      </w:tr>
      <w:tr>
        <w:tc>
          <w:tcPr>
            <w:vAlign w:val="center"/>
          </w:tcPr>
          <w:p>
            <w:pPr>
              <w:jc w:val="center"/>
            </w:pPr>
            <w:r>
              <w:rPr>
                <w:rFonts w:eastAsiaTheme="minorEastAsia"/>
                <w:color w:val="000000"/>
                <w:sz w:val="24"/>
              </w:rPr>
              <w:t>24</w:t>
            </w:r>
          </w:p>
        </w:tc>
        <w:tc>
          <w:tcPr>
            <w:vAlign w:val="center"/>
          </w:tcPr>
          <w:p>
            <w:pPr>
              <w:jc w:val="center"/>
            </w:pPr>
            <w:r>
              <w:rPr>
                <w:rFonts w:eastAsiaTheme="minorEastAsia"/>
                <w:color w:val="000000"/>
                <w:sz w:val="24"/>
              </w:rPr>
              <w:t>128025</w:t>
            </w:r>
          </w:p>
        </w:tc>
        <w:tc>
          <w:tcPr>
            <w:vAlign w:val="center"/>
          </w:tcPr>
          <w:p>
            <w:pPr>
              <w:jc w:val="center"/>
            </w:pPr>
            <w:r>
              <w:rPr>
                <w:rFonts w:eastAsiaTheme="minorEastAsia"/>
                <w:color w:val="000000"/>
                <w:sz w:val="24"/>
              </w:rPr>
              <w:t>特一转债</w:t>
            </w:r>
          </w:p>
        </w:tc>
        <w:tc>
          <w:tcPr>
            <w:vAlign w:val="center"/>
          </w:tcPr>
          <w:p>
            <w:pPr>
              <w:jc w:val="right"/>
            </w:pPr>
            <w:r>
              <w:rPr>
                <w:rFonts w:eastAsiaTheme="minorEastAsia"/>
                <w:color w:val="000000"/>
                <w:sz w:val="24"/>
              </w:rPr>
              <w:t>265,640.00</w:t>
            </w:r>
          </w:p>
        </w:tc>
        <w:tc>
          <w:tcPr>
            <w:vAlign w:val="center"/>
          </w:tcPr>
          <w:p>
            <w:pPr>
              <w:jc w:val="right"/>
            </w:pPr>
            <w:r>
              <w:rPr>
                <w:rFonts w:eastAsiaTheme="minorEastAsia"/>
                <w:color w:val="000000"/>
                <w:sz w:val="24"/>
              </w:rPr>
              <w:t>0.89</w:t>
            </w:r>
          </w:p>
        </w:tc>
      </w:tr>
      <w:tr>
        <w:tc>
          <w:tcPr>
            <w:vAlign w:val="center"/>
          </w:tcPr>
          <w:p>
            <w:pPr>
              <w:jc w:val="center"/>
            </w:pPr>
            <w:r>
              <w:rPr>
                <w:rFonts w:eastAsiaTheme="minorEastAsia"/>
                <w:color w:val="000000"/>
                <w:sz w:val="24"/>
              </w:rPr>
              <w:t>25</w:t>
            </w:r>
          </w:p>
        </w:tc>
        <w:tc>
          <w:tcPr>
            <w:vAlign w:val="center"/>
          </w:tcPr>
          <w:p>
            <w:pPr>
              <w:jc w:val="center"/>
            </w:pPr>
            <w:r>
              <w:rPr>
                <w:rFonts w:eastAsiaTheme="minorEastAsia"/>
                <w:color w:val="000000"/>
                <w:sz w:val="24"/>
              </w:rPr>
              <w:t>128059</w:t>
            </w:r>
          </w:p>
        </w:tc>
        <w:tc>
          <w:tcPr>
            <w:vAlign w:val="center"/>
          </w:tcPr>
          <w:p>
            <w:pPr>
              <w:jc w:val="center"/>
            </w:pPr>
            <w:r>
              <w:rPr>
                <w:rFonts w:eastAsiaTheme="minorEastAsia"/>
                <w:color w:val="000000"/>
                <w:sz w:val="24"/>
              </w:rPr>
              <w:t>视源转债</w:t>
            </w:r>
          </w:p>
        </w:tc>
        <w:tc>
          <w:tcPr>
            <w:vAlign w:val="center"/>
          </w:tcPr>
          <w:p>
            <w:pPr>
              <w:jc w:val="right"/>
            </w:pPr>
            <w:r>
              <w:rPr>
                <w:rFonts w:eastAsiaTheme="minorEastAsia"/>
                <w:color w:val="000000"/>
                <w:sz w:val="24"/>
              </w:rPr>
              <w:t>264,852.00</w:t>
            </w:r>
          </w:p>
        </w:tc>
        <w:tc>
          <w:tcPr>
            <w:vAlign w:val="center"/>
          </w:tcPr>
          <w:p>
            <w:pPr>
              <w:jc w:val="right"/>
            </w:pPr>
            <w:r>
              <w:rPr>
                <w:rFonts w:eastAsiaTheme="minorEastAsia"/>
                <w:color w:val="000000"/>
                <w:sz w:val="24"/>
              </w:rPr>
              <w:t>0.88</w:t>
            </w:r>
          </w:p>
        </w:tc>
      </w:tr>
      <w:tr>
        <w:tc>
          <w:tcPr>
            <w:vAlign w:val="center"/>
          </w:tcPr>
          <w:p>
            <w:pPr>
              <w:jc w:val="center"/>
            </w:pPr>
            <w:r>
              <w:rPr>
                <w:rFonts w:eastAsiaTheme="minorEastAsia"/>
                <w:color w:val="000000"/>
                <w:sz w:val="24"/>
              </w:rPr>
              <w:t>26</w:t>
            </w:r>
          </w:p>
        </w:tc>
        <w:tc>
          <w:tcPr>
            <w:vAlign w:val="center"/>
          </w:tcPr>
          <w:p>
            <w:pPr>
              <w:jc w:val="center"/>
            </w:pPr>
            <w:r>
              <w:rPr>
                <w:rFonts w:eastAsiaTheme="minorEastAsia"/>
                <w:color w:val="000000"/>
                <w:sz w:val="24"/>
              </w:rPr>
              <w:t>113535</w:t>
            </w:r>
          </w:p>
        </w:tc>
        <w:tc>
          <w:tcPr>
            <w:vAlign w:val="center"/>
          </w:tcPr>
          <w:p>
            <w:pPr>
              <w:jc w:val="center"/>
            </w:pPr>
            <w:r>
              <w:rPr>
                <w:rFonts w:eastAsiaTheme="minorEastAsia"/>
                <w:color w:val="000000"/>
                <w:sz w:val="24"/>
              </w:rPr>
              <w:t>大业转债</w:t>
            </w:r>
          </w:p>
        </w:tc>
        <w:tc>
          <w:tcPr>
            <w:vAlign w:val="center"/>
          </w:tcPr>
          <w:p>
            <w:pPr>
              <w:jc w:val="right"/>
            </w:pPr>
            <w:r>
              <w:rPr>
                <w:rFonts w:eastAsiaTheme="minorEastAsia"/>
                <w:color w:val="000000"/>
                <w:sz w:val="24"/>
              </w:rPr>
              <w:t>263,169.00</w:t>
            </w:r>
          </w:p>
        </w:tc>
        <w:tc>
          <w:tcPr>
            <w:vAlign w:val="center"/>
          </w:tcPr>
          <w:p>
            <w:pPr>
              <w:jc w:val="right"/>
            </w:pPr>
            <w:r>
              <w:rPr>
                <w:rFonts w:eastAsiaTheme="minorEastAsia"/>
                <w:color w:val="000000"/>
                <w:sz w:val="24"/>
              </w:rPr>
              <w:t>0.88</w:t>
            </w:r>
          </w:p>
        </w:tc>
      </w:tr>
      <w:tr>
        <w:tc>
          <w:tcPr>
            <w:vAlign w:val="center"/>
          </w:tcPr>
          <w:p>
            <w:pPr>
              <w:jc w:val="center"/>
            </w:pPr>
            <w:r>
              <w:rPr>
                <w:rFonts w:eastAsiaTheme="minorEastAsia"/>
                <w:color w:val="000000"/>
                <w:sz w:val="24"/>
              </w:rPr>
              <w:t>27</w:t>
            </w:r>
          </w:p>
        </w:tc>
        <w:tc>
          <w:tcPr>
            <w:vAlign w:val="center"/>
          </w:tcPr>
          <w:p>
            <w:pPr>
              <w:jc w:val="center"/>
            </w:pPr>
            <w:r>
              <w:rPr>
                <w:rFonts w:eastAsiaTheme="minorEastAsia"/>
                <w:color w:val="000000"/>
                <w:sz w:val="24"/>
              </w:rPr>
              <w:t>123027</w:t>
            </w:r>
          </w:p>
        </w:tc>
        <w:tc>
          <w:tcPr>
            <w:vAlign w:val="center"/>
          </w:tcPr>
          <w:p>
            <w:pPr>
              <w:jc w:val="center"/>
            </w:pPr>
            <w:r>
              <w:rPr>
                <w:rFonts w:eastAsiaTheme="minorEastAsia"/>
                <w:color w:val="000000"/>
                <w:sz w:val="24"/>
              </w:rPr>
              <w:t>蓝晓转债</w:t>
            </w:r>
          </w:p>
        </w:tc>
        <w:tc>
          <w:tcPr>
            <w:vAlign w:val="center"/>
          </w:tcPr>
          <w:p>
            <w:pPr>
              <w:jc w:val="right"/>
            </w:pPr>
            <w:r>
              <w:rPr>
                <w:rFonts w:eastAsiaTheme="minorEastAsia"/>
                <w:color w:val="000000"/>
                <w:sz w:val="24"/>
              </w:rPr>
              <w:t>244,667.50</w:t>
            </w:r>
          </w:p>
        </w:tc>
        <w:tc>
          <w:tcPr>
            <w:vAlign w:val="center"/>
          </w:tcPr>
          <w:p>
            <w:pPr>
              <w:jc w:val="right"/>
            </w:pPr>
            <w:r>
              <w:rPr>
                <w:rFonts w:eastAsiaTheme="minorEastAsia"/>
                <w:color w:val="000000"/>
                <w:sz w:val="24"/>
              </w:rPr>
              <w:t>0.82</w:t>
            </w:r>
          </w:p>
        </w:tc>
      </w:tr>
      <w:tr>
        <w:tc>
          <w:tcPr>
            <w:vAlign w:val="center"/>
          </w:tcPr>
          <w:p>
            <w:pPr>
              <w:jc w:val="center"/>
            </w:pPr>
            <w:r>
              <w:rPr>
                <w:rFonts w:eastAsiaTheme="minorEastAsia"/>
                <w:color w:val="000000"/>
                <w:sz w:val="24"/>
              </w:rPr>
              <w:t>28</w:t>
            </w:r>
          </w:p>
        </w:tc>
        <w:tc>
          <w:tcPr>
            <w:vAlign w:val="center"/>
          </w:tcPr>
          <w:p>
            <w:pPr>
              <w:jc w:val="center"/>
            </w:pPr>
            <w:r>
              <w:rPr>
                <w:rFonts w:eastAsiaTheme="minorEastAsia"/>
                <w:color w:val="000000"/>
                <w:sz w:val="24"/>
              </w:rPr>
              <w:t>128026</w:t>
            </w:r>
          </w:p>
        </w:tc>
        <w:tc>
          <w:tcPr>
            <w:vAlign w:val="center"/>
          </w:tcPr>
          <w:p>
            <w:pPr>
              <w:jc w:val="center"/>
            </w:pPr>
            <w:r>
              <w:rPr>
                <w:rFonts w:eastAsiaTheme="minorEastAsia"/>
                <w:color w:val="000000"/>
                <w:sz w:val="24"/>
              </w:rPr>
              <w:t>众兴转债</w:t>
            </w:r>
          </w:p>
        </w:tc>
        <w:tc>
          <w:tcPr>
            <w:vAlign w:val="center"/>
          </w:tcPr>
          <w:p>
            <w:pPr>
              <w:jc w:val="right"/>
            </w:pPr>
            <w:r>
              <w:rPr>
                <w:rFonts w:eastAsiaTheme="minorEastAsia"/>
                <w:color w:val="000000"/>
                <w:sz w:val="24"/>
              </w:rPr>
              <w:t>144,801.00</w:t>
            </w:r>
          </w:p>
        </w:tc>
        <w:tc>
          <w:tcPr>
            <w:vAlign w:val="center"/>
          </w:tcPr>
          <w:p>
            <w:pPr>
              <w:jc w:val="right"/>
            </w:pPr>
            <w:r>
              <w:rPr>
                <w:rFonts w:eastAsiaTheme="minorEastAsia"/>
                <w:color w:val="000000"/>
                <w:sz w:val="24"/>
              </w:rPr>
              <w:t>0.48</w:t>
            </w:r>
          </w:p>
        </w:tc>
      </w:tr>
      <w:tr>
        <w:tc>
          <w:tcPr>
            <w:vAlign w:val="center"/>
          </w:tcPr>
          <w:p>
            <w:pPr>
              <w:jc w:val="center"/>
            </w:pPr>
            <w:r>
              <w:rPr>
                <w:rFonts w:eastAsiaTheme="minorEastAsia"/>
                <w:color w:val="000000"/>
                <w:sz w:val="24"/>
              </w:rPr>
              <w:t>29</w:t>
            </w:r>
          </w:p>
        </w:tc>
        <w:tc>
          <w:tcPr>
            <w:vAlign w:val="center"/>
          </w:tcPr>
          <w:p>
            <w:pPr>
              <w:jc w:val="center"/>
            </w:pPr>
            <w:r>
              <w:rPr>
                <w:rFonts w:eastAsiaTheme="minorEastAsia"/>
                <w:color w:val="000000"/>
                <w:sz w:val="24"/>
              </w:rPr>
              <w:t>128042</w:t>
            </w:r>
          </w:p>
        </w:tc>
        <w:tc>
          <w:tcPr>
            <w:vAlign w:val="center"/>
          </w:tcPr>
          <w:p>
            <w:pPr>
              <w:jc w:val="center"/>
            </w:pPr>
            <w:r>
              <w:rPr>
                <w:rFonts w:eastAsiaTheme="minorEastAsia"/>
                <w:color w:val="000000"/>
                <w:sz w:val="24"/>
              </w:rPr>
              <w:t>凯中转债</w:t>
            </w:r>
          </w:p>
        </w:tc>
        <w:tc>
          <w:tcPr>
            <w:vAlign w:val="center"/>
          </w:tcPr>
          <w:p>
            <w:pPr>
              <w:jc w:val="right"/>
            </w:pPr>
            <w:r>
              <w:rPr>
                <w:rFonts w:eastAsiaTheme="minorEastAsia"/>
                <w:color w:val="000000"/>
                <w:sz w:val="24"/>
              </w:rPr>
              <w:t>143,611.00</w:t>
            </w:r>
          </w:p>
        </w:tc>
        <w:tc>
          <w:tcPr>
            <w:vAlign w:val="center"/>
          </w:tcPr>
          <w:p>
            <w:pPr>
              <w:jc w:val="right"/>
            </w:pPr>
            <w:r>
              <w:rPr>
                <w:rFonts w:eastAsiaTheme="minorEastAsia"/>
                <w:color w:val="000000"/>
                <w:sz w:val="24"/>
              </w:rPr>
              <w:t>0.48</w:t>
            </w:r>
          </w:p>
        </w:tc>
      </w:tr>
      <w:tr>
        <w:tc>
          <w:tcPr>
            <w:vAlign w:val="center"/>
          </w:tcPr>
          <w:p>
            <w:pPr>
              <w:jc w:val="center"/>
            </w:pPr>
            <w:r>
              <w:rPr>
                <w:rFonts w:eastAsiaTheme="minorEastAsia"/>
                <w:color w:val="000000"/>
                <w:sz w:val="24"/>
              </w:rPr>
              <w:t>30</w:t>
            </w:r>
          </w:p>
        </w:tc>
        <w:tc>
          <w:tcPr>
            <w:vAlign w:val="center"/>
          </w:tcPr>
          <w:p>
            <w:pPr>
              <w:jc w:val="center"/>
            </w:pPr>
            <w:r>
              <w:rPr>
                <w:rFonts w:eastAsiaTheme="minorEastAsia"/>
                <w:color w:val="000000"/>
                <w:sz w:val="24"/>
              </w:rPr>
              <w:t>113534</w:t>
            </w:r>
          </w:p>
        </w:tc>
        <w:tc>
          <w:tcPr>
            <w:vAlign w:val="center"/>
          </w:tcPr>
          <w:p>
            <w:pPr>
              <w:jc w:val="center"/>
            </w:pPr>
            <w:r>
              <w:rPr>
                <w:rFonts w:eastAsiaTheme="minorEastAsia"/>
                <w:color w:val="000000"/>
                <w:sz w:val="24"/>
              </w:rPr>
              <w:t>鼎胜转债</w:t>
            </w:r>
          </w:p>
        </w:tc>
        <w:tc>
          <w:tcPr>
            <w:vAlign w:val="center"/>
          </w:tcPr>
          <w:p>
            <w:pPr>
              <w:jc w:val="right"/>
            </w:pPr>
            <w:r>
              <w:rPr>
                <w:rFonts w:eastAsiaTheme="minorEastAsia"/>
                <w:color w:val="000000"/>
                <w:sz w:val="24"/>
              </w:rPr>
              <w:t>141,612.50</w:t>
            </w:r>
          </w:p>
        </w:tc>
        <w:tc>
          <w:tcPr>
            <w:vAlign w:val="center"/>
          </w:tcPr>
          <w:p>
            <w:pPr>
              <w:jc w:val="right"/>
            </w:pPr>
            <w:r>
              <w:rPr>
                <w:rFonts w:eastAsiaTheme="minorEastAsia"/>
                <w:color w:val="000000"/>
                <w:sz w:val="24"/>
              </w:rPr>
              <w:t>0.47</w:t>
            </w:r>
          </w:p>
        </w:tc>
      </w:tr>
      <w:tr>
        <w:tc>
          <w:tcPr>
            <w:vAlign w:val="center"/>
          </w:tcPr>
          <w:p>
            <w:pPr>
              <w:jc w:val="center"/>
            </w:pPr>
            <w:r>
              <w:rPr>
                <w:rFonts w:eastAsiaTheme="minorEastAsia"/>
                <w:color w:val="000000"/>
                <w:sz w:val="24"/>
              </w:rPr>
              <w:t>31</w:t>
            </w:r>
          </w:p>
        </w:tc>
        <w:tc>
          <w:tcPr>
            <w:vAlign w:val="center"/>
          </w:tcPr>
          <w:p>
            <w:pPr>
              <w:jc w:val="center"/>
            </w:pPr>
            <w:r>
              <w:rPr>
                <w:rFonts w:eastAsiaTheme="minorEastAsia"/>
                <w:color w:val="000000"/>
                <w:sz w:val="24"/>
              </w:rPr>
              <w:t>128066</w:t>
            </w:r>
          </w:p>
        </w:tc>
        <w:tc>
          <w:tcPr>
            <w:vAlign w:val="center"/>
          </w:tcPr>
          <w:p>
            <w:pPr>
              <w:jc w:val="center"/>
            </w:pPr>
            <w:r>
              <w:rPr>
                <w:rFonts w:eastAsiaTheme="minorEastAsia"/>
                <w:color w:val="000000"/>
                <w:sz w:val="24"/>
              </w:rPr>
              <w:t>亚泰转债</w:t>
            </w:r>
          </w:p>
        </w:tc>
        <w:tc>
          <w:tcPr>
            <w:vAlign w:val="center"/>
          </w:tcPr>
          <w:p>
            <w:pPr>
              <w:jc w:val="right"/>
            </w:pPr>
            <w:r>
              <w:rPr>
                <w:rFonts w:eastAsiaTheme="minorEastAsia"/>
                <w:color w:val="000000"/>
                <w:sz w:val="24"/>
              </w:rPr>
              <w:t>138,768.60</w:t>
            </w:r>
          </w:p>
        </w:tc>
        <w:tc>
          <w:tcPr>
            <w:vAlign w:val="center"/>
          </w:tcPr>
          <w:p>
            <w:pPr>
              <w:jc w:val="right"/>
            </w:pPr>
            <w:r>
              <w:rPr>
                <w:rFonts w:eastAsiaTheme="minorEastAsia"/>
                <w:color w:val="000000"/>
                <w:sz w:val="24"/>
              </w:rPr>
              <w:t>0.46</w:t>
            </w:r>
          </w:p>
        </w:tc>
      </w:tr>
      <w:tr>
        <w:tc>
          <w:tcPr>
            <w:vAlign w:val="center"/>
          </w:tcPr>
          <w:p>
            <w:pPr>
              <w:jc w:val="center"/>
            </w:pPr>
            <w:r>
              <w:rPr>
                <w:rFonts w:eastAsiaTheme="minorEastAsia"/>
                <w:color w:val="000000"/>
                <w:sz w:val="24"/>
              </w:rPr>
              <w:t>32</w:t>
            </w:r>
          </w:p>
        </w:tc>
        <w:tc>
          <w:tcPr>
            <w:vAlign w:val="center"/>
          </w:tcPr>
          <w:p>
            <w:pPr>
              <w:jc w:val="center"/>
            </w:pPr>
            <w:r>
              <w:rPr>
                <w:rFonts w:eastAsiaTheme="minorEastAsia"/>
                <w:color w:val="000000"/>
                <w:sz w:val="24"/>
              </w:rPr>
              <w:t>128057</w:t>
            </w:r>
          </w:p>
        </w:tc>
        <w:tc>
          <w:tcPr>
            <w:vAlign w:val="center"/>
          </w:tcPr>
          <w:p>
            <w:pPr>
              <w:jc w:val="center"/>
            </w:pPr>
            <w:r>
              <w:rPr>
                <w:rFonts w:eastAsiaTheme="minorEastAsia"/>
                <w:color w:val="000000"/>
                <w:sz w:val="24"/>
              </w:rPr>
              <w:t>博彦转债</w:t>
            </w:r>
          </w:p>
        </w:tc>
        <w:tc>
          <w:tcPr>
            <w:vAlign w:val="center"/>
          </w:tcPr>
          <w:p>
            <w:pPr>
              <w:jc w:val="right"/>
            </w:pPr>
            <w:r>
              <w:rPr>
                <w:rFonts w:eastAsiaTheme="minorEastAsia"/>
                <w:color w:val="000000"/>
                <w:sz w:val="24"/>
              </w:rPr>
              <w:t>137,080.00</w:t>
            </w:r>
          </w:p>
        </w:tc>
        <w:tc>
          <w:tcPr>
            <w:vAlign w:val="center"/>
          </w:tcPr>
          <w:p>
            <w:pPr>
              <w:jc w:val="right"/>
            </w:pPr>
            <w:r>
              <w:rPr>
                <w:rFonts w:eastAsiaTheme="minorEastAsia"/>
                <w:color w:val="000000"/>
                <w:sz w:val="24"/>
              </w:rPr>
              <w:t>0.46</w:t>
            </w:r>
          </w:p>
        </w:tc>
      </w:tr>
      <w:tr>
        <w:tc>
          <w:tcPr>
            <w:vAlign w:val="center"/>
          </w:tcPr>
          <w:p>
            <w:pPr>
              <w:jc w:val="center"/>
            </w:pPr>
            <w:r>
              <w:rPr>
                <w:rFonts w:eastAsiaTheme="minorEastAsia"/>
                <w:color w:val="000000"/>
                <w:sz w:val="24"/>
              </w:rPr>
              <w:t>33</w:t>
            </w:r>
          </w:p>
        </w:tc>
        <w:tc>
          <w:tcPr>
            <w:vAlign w:val="center"/>
          </w:tcPr>
          <w:p>
            <w:pPr>
              <w:jc w:val="center"/>
            </w:pPr>
            <w:r>
              <w:rPr>
                <w:rFonts w:eastAsiaTheme="minorEastAsia"/>
                <w:color w:val="000000"/>
                <w:sz w:val="24"/>
              </w:rPr>
              <w:t>113544</w:t>
            </w:r>
          </w:p>
        </w:tc>
        <w:tc>
          <w:tcPr>
            <w:vAlign w:val="center"/>
          </w:tcPr>
          <w:p>
            <w:pPr>
              <w:jc w:val="center"/>
            </w:pPr>
            <w:r>
              <w:rPr>
                <w:rFonts w:eastAsiaTheme="minorEastAsia"/>
                <w:color w:val="000000"/>
                <w:sz w:val="24"/>
              </w:rPr>
              <w:t>桃李转债</w:t>
            </w:r>
          </w:p>
        </w:tc>
        <w:tc>
          <w:tcPr>
            <w:vAlign w:val="center"/>
          </w:tcPr>
          <w:p>
            <w:pPr>
              <w:jc w:val="right"/>
            </w:pPr>
            <w:r>
              <w:rPr>
                <w:rFonts w:eastAsiaTheme="minorEastAsia"/>
                <w:color w:val="000000"/>
                <w:sz w:val="24"/>
              </w:rPr>
              <w:t>134,595.30</w:t>
            </w:r>
          </w:p>
        </w:tc>
        <w:tc>
          <w:tcPr>
            <w:vAlign w:val="center"/>
          </w:tcPr>
          <w:p>
            <w:pPr>
              <w:jc w:val="right"/>
            </w:pPr>
            <w:r>
              <w:rPr>
                <w:rFonts w:eastAsiaTheme="minorEastAsia"/>
                <w:color w:val="000000"/>
                <w:sz w:val="24"/>
              </w:rPr>
              <w:t>0.45</w:t>
            </w:r>
          </w:p>
        </w:tc>
      </w:tr>
      <w:tr>
        <w:tc>
          <w:tcPr>
            <w:vAlign w:val="center"/>
          </w:tcPr>
          <w:p>
            <w:pPr>
              <w:jc w:val="center"/>
            </w:pPr>
            <w:r>
              <w:rPr>
                <w:rFonts w:eastAsiaTheme="minorEastAsia"/>
                <w:color w:val="000000"/>
                <w:sz w:val="24"/>
              </w:rPr>
              <w:t>34</w:t>
            </w:r>
          </w:p>
        </w:tc>
        <w:tc>
          <w:tcPr>
            <w:vAlign w:val="center"/>
          </w:tcPr>
          <w:p>
            <w:pPr>
              <w:jc w:val="center"/>
            </w:pPr>
            <w:r>
              <w:rPr>
                <w:rFonts w:eastAsiaTheme="minorEastAsia"/>
                <w:color w:val="000000"/>
                <w:sz w:val="24"/>
              </w:rPr>
              <w:t>128049</w:t>
            </w:r>
          </w:p>
        </w:tc>
        <w:tc>
          <w:tcPr>
            <w:vAlign w:val="center"/>
          </w:tcPr>
          <w:p>
            <w:pPr>
              <w:jc w:val="center"/>
            </w:pPr>
            <w:r>
              <w:rPr>
                <w:rFonts w:eastAsiaTheme="minorEastAsia"/>
                <w:color w:val="000000"/>
                <w:sz w:val="24"/>
              </w:rPr>
              <w:t>华源转债</w:t>
            </w:r>
          </w:p>
        </w:tc>
        <w:tc>
          <w:tcPr>
            <w:vAlign w:val="center"/>
          </w:tcPr>
          <w:p>
            <w:pPr>
              <w:jc w:val="right"/>
            </w:pPr>
            <w:r>
              <w:rPr>
                <w:rFonts w:eastAsiaTheme="minorEastAsia"/>
                <w:color w:val="000000"/>
                <w:sz w:val="24"/>
              </w:rPr>
              <w:t>123,345.60</w:t>
            </w:r>
          </w:p>
        </w:tc>
        <w:tc>
          <w:tcPr>
            <w:vAlign w:val="center"/>
          </w:tcPr>
          <w:p>
            <w:pPr>
              <w:jc w:val="right"/>
            </w:pPr>
            <w:r>
              <w:rPr>
                <w:rFonts w:eastAsiaTheme="minorEastAsia"/>
                <w:color w:val="000000"/>
                <w:sz w:val="24"/>
              </w:rPr>
              <w:t>0.41</w:t>
            </w:r>
          </w:p>
        </w:tc>
      </w:tr>
      <w:tr>
        <w:tc>
          <w:tcPr>
            <w:vAlign w:val="center"/>
          </w:tcPr>
          <w:p>
            <w:pPr>
              <w:jc w:val="center"/>
            </w:pPr>
            <w:r>
              <w:rPr>
                <w:rFonts w:eastAsiaTheme="minorEastAsia"/>
                <w:color w:val="000000"/>
                <w:sz w:val="24"/>
              </w:rPr>
              <w:t>35</w:t>
            </w:r>
          </w:p>
        </w:tc>
        <w:tc>
          <w:tcPr>
            <w:vAlign w:val="center"/>
          </w:tcPr>
          <w:p>
            <w:pPr>
              <w:jc w:val="center"/>
            </w:pPr>
            <w:r>
              <w:rPr>
                <w:rFonts w:eastAsiaTheme="minorEastAsia"/>
                <w:color w:val="000000"/>
                <w:sz w:val="24"/>
              </w:rPr>
              <w:t>113531</w:t>
            </w:r>
          </w:p>
        </w:tc>
        <w:tc>
          <w:tcPr>
            <w:vAlign w:val="center"/>
          </w:tcPr>
          <w:p>
            <w:pPr>
              <w:jc w:val="center"/>
            </w:pPr>
            <w:r>
              <w:rPr>
                <w:rFonts w:eastAsiaTheme="minorEastAsia"/>
                <w:color w:val="000000"/>
                <w:sz w:val="24"/>
              </w:rPr>
              <w:t>百姓转债</w:t>
            </w:r>
          </w:p>
        </w:tc>
        <w:tc>
          <w:tcPr>
            <w:vAlign w:val="center"/>
          </w:tcPr>
          <w:p>
            <w:pPr>
              <w:jc w:val="right"/>
            </w:pPr>
            <w:r>
              <w:rPr>
                <w:rFonts w:eastAsiaTheme="minorEastAsia"/>
                <w:color w:val="000000"/>
                <w:sz w:val="24"/>
              </w:rPr>
              <w:t>116,441.50</w:t>
            </w:r>
          </w:p>
        </w:tc>
        <w:tc>
          <w:tcPr>
            <w:vAlign w:val="center"/>
          </w:tcPr>
          <w:p>
            <w:pPr>
              <w:jc w:val="right"/>
            </w:pPr>
            <w:r>
              <w:rPr>
                <w:rFonts w:eastAsiaTheme="minorEastAsia"/>
                <w:color w:val="000000"/>
                <w:sz w:val="24"/>
              </w:rPr>
              <w:t>0.39</w:t>
            </w:r>
          </w:p>
        </w:tc>
      </w:tr>
      <w:tr>
        <w:tc>
          <w:tcPr>
            <w:vAlign w:val="center"/>
          </w:tcPr>
          <w:p>
            <w:pPr>
              <w:jc w:val="center"/>
            </w:pPr>
            <w:r>
              <w:rPr>
                <w:rFonts w:eastAsiaTheme="minorEastAsia"/>
                <w:color w:val="000000"/>
                <w:sz w:val="24"/>
              </w:rPr>
              <w:t>36</w:t>
            </w:r>
          </w:p>
        </w:tc>
        <w:tc>
          <w:tcPr>
            <w:vAlign w:val="center"/>
          </w:tcPr>
          <w:p>
            <w:pPr>
              <w:jc w:val="center"/>
            </w:pPr>
            <w:r>
              <w:rPr>
                <w:rFonts w:eastAsiaTheme="minorEastAsia"/>
                <w:color w:val="000000"/>
                <w:sz w:val="24"/>
              </w:rPr>
              <w:t>128075</w:t>
            </w:r>
          </w:p>
        </w:tc>
        <w:tc>
          <w:tcPr>
            <w:vAlign w:val="center"/>
          </w:tcPr>
          <w:p>
            <w:pPr>
              <w:jc w:val="center"/>
            </w:pPr>
            <w:r>
              <w:rPr>
                <w:rFonts w:eastAsiaTheme="minorEastAsia"/>
                <w:color w:val="000000"/>
                <w:sz w:val="24"/>
              </w:rPr>
              <w:t>远东转债</w:t>
            </w:r>
          </w:p>
        </w:tc>
        <w:tc>
          <w:tcPr>
            <w:vAlign w:val="center"/>
          </w:tcPr>
          <w:p>
            <w:pPr>
              <w:jc w:val="right"/>
            </w:pPr>
            <w:r>
              <w:rPr>
                <w:rFonts w:eastAsiaTheme="minorEastAsia"/>
                <w:color w:val="000000"/>
                <w:sz w:val="24"/>
              </w:rPr>
              <w:t>86,602.00</w:t>
            </w:r>
          </w:p>
        </w:tc>
        <w:tc>
          <w:tcPr>
            <w:vAlign w:val="center"/>
          </w:tcPr>
          <w:p>
            <w:pPr>
              <w:jc w:val="right"/>
            </w:pPr>
            <w:r>
              <w:rPr>
                <w:rFonts w:eastAsiaTheme="minorEastAsia"/>
                <w:color w:val="000000"/>
                <w:sz w:val="24"/>
              </w:rPr>
              <w:t>0.29</w:t>
            </w:r>
          </w:p>
        </w:tc>
      </w:tr>
      <w:tr>
        <w:tc>
          <w:tcPr>
            <w:vAlign w:val="center"/>
          </w:tcPr>
          <w:p>
            <w:pPr>
              <w:jc w:val="center"/>
            </w:pPr>
            <w:r>
              <w:rPr>
                <w:rFonts w:eastAsiaTheme="minorEastAsia"/>
                <w:color w:val="000000"/>
                <w:sz w:val="24"/>
              </w:rPr>
              <w:t>37</w:t>
            </w:r>
          </w:p>
        </w:tc>
        <w:tc>
          <w:tcPr>
            <w:vAlign w:val="center"/>
          </w:tcPr>
          <w:p>
            <w:pPr>
              <w:jc w:val="center"/>
            </w:pPr>
            <w:r>
              <w:rPr>
                <w:rFonts w:eastAsiaTheme="minorEastAsia"/>
                <w:color w:val="000000"/>
                <w:sz w:val="24"/>
              </w:rPr>
              <w:t>110053</w:t>
            </w:r>
          </w:p>
        </w:tc>
        <w:tc>
          <w:tcPr>
            <w:vAlign w:val="center"/>
          </w:tcPr>
          <w:p>
            <w:pPr>
              <w:jc w:val="center"/>
            </w:pPr>
            <w:r>
              <w:rPr>
                <w:rFonts w:eastAsiaTheme="minorEastAsia"/>
                <w:color w:val="000000"/>
                <w:sz w:val="24"/>
              </w:rPr>
              <w:t>苏银转债</w:t>
            </w:r>
          </w:p>
        </w:tc>
        <w:tc>
          <w:tcPr>
            <w:vAlign w:val="center"/>
          </w:tcPr>
          <w:p>
            <w:pPr>
              <w:jc w:val="right"/>
            </w:pPr>
            <w:r>
              <w:rPr>
                <w:rFonts w:eastAsiaTheme="minorEastAsia"/>
                <w:color w:val="000000"/>
                <w:sz w:val="24"/>
              </w:rPr>
              <w:t>13,460.40</w:t>
            </w:r>
          </w:p>
        </w:tc>
        <w:tc>
          <w:tcPr>
            <w:vAlign w:val="center"/>
          </w:tcPr>
          <w:p>
            <w:pPr>
              <w:jc w:val="right"/>
            </w:pPr>
            <w:r>
              <w:rPr>
                <w:rFonts w:eastAsiaTheme="minorEastAsia"/>
                <w:color w:val="000000"/>
                <w:sz w:val="24"/>
              </w:rPr>
              <w:t>0.04</w:t>
            </w:r>
          </w:p>
        </w:tc>
      </w:tr>
    </w:tbl>
    <w:p w:rsidP="007C14DF" w:rsidR="001D5CD0" w:rsidRDefault="001D5CD0" w:rsidRPr="007F52FA">
      <w:pPr>
        <w:autoSpaceDE w:val="0"/>
        <w:autoSpaceDN w:val="0"/>
        <w:adjustRightInd w:val="0"/>
        <w:spacing w:before="29" w:line="288" w:lineRule="auto"/>
        <w:jc w:val="left"/>
        <w:rPr>
          <w:rFonts w:eastAsiaTheme="minorEastAsia"/>
          <w:sz w:val="24"/>
        </w:rPr>
      </w:pPr>
    </w:p>
    <w:p w:rsidP="007C14DF" w:rsidR="001D5CD0" w:rsidRDefault="001D5CD0" w:rsidRPr="00143E9C">
      <w:pPr>
        <w:autoSpaceDE w:val="0"/>
        <w:autoSpaceDN w:val="0"/>
        <w:adjustRightInd w:val="0"/>
        <w:spacing w:before="29" w:line="288" w:lineRule="auto"/>
        <w:jc w:val="left"/>
        <w:rPr>
          <w:rFonts w:eastAsiaTheme="minorEastAsia"/>
          <w:b/>
          <w:bCs/>
          <w:sz w:val="24"/>
        </w:rPr>
      </w:pPr>
      <w:r w:rsidRPr="00143E9C">
        <w:rPr>
          <w:rFonts w:eastAsiaTheme="minorEastAsia"/>
          <w:b/>
          <w:kern w:val="0"/>
          <w:sz w:val="24"/>
        </w:rPr>
        <w:t>5.11.5</w:t>
      </w:r>
      <w:r w:rsidRPr="00143E9C">
        <w:rPr>
          <w:rFonts w:eastAsiaTheme="minorEastAsia"/>
          <w:b/>
          <w:bCs/>
          <w:sz w:val="24"/>
        </w:rPr>
        <w:t>期末前十名股票中存在流通受限情况的说明</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lastRenderedPageBreak/>
        <w:t>本基金本报告期末前十名股票中不存在流通受限情况。</w:t>
      </w:r>
    </w:p>
    <w:p w:rsidP="007C14DF" w:rsidR="001D5CD0" w:rsidRDefault="001D5CD0" w:rsidRPr="00901A22">
      <w:pPr>
        <w:spacing w:before="29" w:line="288" w:lineRule="auto"/>
        <w:rPr>
          <w:rFonts w:eastAsiaTheme="minorEastAsia"/>
          <w:b/>
          <w:color w:val="000000"/>
          <w:kern w:val="0"/>
          <w:sz w:val="24"/>
        </w:rPr>
      </w:pPr>
      <w:r w:rsidRPr="00901A22">
        <w:rPr>
          <w:rFonts w:eastAsiaTheme="minorEastAsia"/>
          <w:b/>
          <w:color w:val="000000"/>
          <w:kern w:val="0"/>
          <w:sz w:val="24"/>
        </w:rPr>
        <w:t/>
      </w:r>
      <w:r w:rsidRPr="00901A22">
        <w:rPr>
          <w:rFonts w:eastAsiaTheme="minorEastAsia"/>
          <w:b/>
          <w:kern w:val="0"/>
          <w:sz w:val="24"/>
        </w:rPr>
        <w:t>5.11.6</w:t>
      </w:r>
      <w:r w:rsidRPr="00901A22">
        <w:rPr>
          <w:rFonts w:eastAsiaTheme="minorEastAsia"/>
          <w:b/>
          <w:color w:val="000000"/>
          <w:kern w:val="0"/>
          <w:sz w:val="24"/>
        </w:rPr>
        <w:t>投资组合报告附注的其他文字描述部分</w:t>
      </w:r>
    </w:p>
    <w:p w:rsidP="00A0678E" w:rsidR="001D5CD0" w:rsidRDefault="001D5CD0" w:rsidRPr="007F52FA">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P="007C14DF" w:rsidR="00EB27DE" w:rsidRDefault="00EB27DE" w:rsidRPr="007F52FA">
      <w:pPr>
        <w:spacing w:before="29" w:line="288" w:lineRule="auto"/>
        <w:rPr>
          <w:rFonts w:eastAsiaTheme="minorEastAsia"/>
          <w:color w:val="000000"/>
          <w:sz w:val="24"/>
        </w:rPr>
      </w:pPr>
    </w:p>
    <w:p w:rsidP="000A2988" w:rsidR="009238DB" w:rsidRDefault="00C51B4E" w:rsidRPr="007F52FA">
      <w:pPr>
        <w:pStyle w:val="1"/>
        <w:spacing w:after="312" w:afterLines="100" w:before="312" w:beforeLines="100" w:line="288" w:lineRule="auto"/>
        <w:jc w:val="center"/>
        <w:rPr>
          <w:rFonts w:eastAsiaTheme="minorEastAsia"/>
          <w:color w:val="000000"/>
          <w:kern w:val="0"/>
          <w:sz w:val="24"/>
          <w:szCs w:val="24"/>
        </w:rPr>
      </w:pPr>
      <w:r w:rsidRPr="00C51B4E">
        <w:rPr>
          <w:rFonts w:eastAsiaTheme="minorEastAsia"/>
          <w:color w:themeColor="text1" w:val="000000"/>
          <w:kern w:val="0"/>
          <w:sz w:val="21"/>
          <w:szCs w:val="21"/>
        </w:rPr>
        <w:t>§6</w:t>
      </w:r>
      <w:r w:rsidRPr="00C51B4E">
        <w:rPr>
          <w:rFonts w:eastAsiaTheme="minorEastAsia" w:hint="eastAsia"/>
          <w:color w:themeColor="text1" w:val="000000"/>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P="007C14DF" w:rsidR="009238DB" w:rsidRDefault="009238DB" w:rsidRPr="007F52FA">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type="dxa" w:w="8868"/>
        <w:jc w:val="center"/>
        <w:tblLayout w:type="fixed"/>
        <w:tblLook w:firstColumn="0" w:firstRow="0" w:lastColumn="0" w:lastRow="0" w:noHBand="0" w:noVBand="0" w:val="0000"/>
      </w:tblPr>
      <w:tblGrid>
        <w:gridCol w:w="4006"/>
        <w:gridCol w:w="2431"/>
        <w:gridCol w:w="2431"/>
      </w:tblGrid>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type="dxa" w:w="2367"/>
            <w:tcBorders>
              <w:top w:color="000000" w:space="0" w:sz="8" w:val="single"/>
              <w:left w:color="000000" w:space="0" w:sz="8" w:val="single"/>
              <w:bottom w:color="000000" w:space="0" w:sz="8" w:val="single"/>
              <w:right w:color="000000" w:space="0" w:sz="8" w:val="single"/>
            </w:tcBorders>
            <w:vAlign w:val="center"/>
          </w:tcPr>
          <w:p w:rsidP="00690865" w:rsidR="00936D40" w:rsidRDefault="00936D40" w:rsidRPr="007F52FA">
            <w:pPr>
              <w:autoSpaceDE w:val="0"/>
              <w:autoSpaceDN w:val="0"/>
              <w:adjustRightInd w:val="0"/>
              <w:spacing w:before="29" w:line="288" w:lineRule="auto"/>
              <w:ind w:left="17"/>
              <w:jc w:val="left"/>
              <w:rPr>
                <w:rFonts w:eastAsiaTheme="minorEastAsia"/>
                <w:color w:val="000000"/>
                <w:sz w:val="24"/>
              </w:rPr>
            </w:pPr>
            <w:r w:rsidRPr="007F52FA">
              <w:rPr>
                <w:rFonts w:eastAsiaTheme="minorEastAsia"/>
                <w:color w:val="000000"/>
                <w:kern w:val="0"/>
                <w:sz w:val="24"/>
              </w:rPr>
              <w:t/>
            </w:r>
            <w:r w:rsidRPr="007F52FA">
              <w:rPr>
                <w:rFonts w:eastAsiaTheme="minorEastAsia"/>
                <w:sz w:val="24"/>
              </w:rPr>
              <w:t/>
            </w:r>
            <w:r w:rsidR="0042785F" w:rsidRPr="007F52FA">
              <w:rPr>
                <w:rFonts w:eastAsiaTheme="minorEastAsia"/>
                <w:sz w:val="24"/>
              </w:rPr>
              <w:t>交银增利增强债券A</w:t>
            </w:r>
          </w:p>
        </w:tc>
        <w:tc>
          <w:tcPr>
            <w:tcW w:type="dxa" w:w="2367"/>
            <w:tcBorders>
              <w:top w:color="000000" w:space="0" w:sz="8" w:val="single"/>
              <w:left w:color="000000" w:space="0" w:sz="8" w:val="single"/>
              <w:bottom w:color="000000" w:space="0" w:sz="8" w:val="single"/>
              <w:right w:color="000000" w:space="0" w:sz="8" w:val="single"/>
            </w:tcBorders>
            <w:vAlign w:val="center"/>
          </w:tcPr>
          <w:p w:rsidP="00690865" w:rsidR="00936D40" w:rsidRDefault="00936D40" w:rsidRPr="007F52FA">
            <w:pPr>
              <w:autoSpaceDE w:val="0"/>
              <w:autoSpaceDN w:val="0"/>
              <w:adjustRightInd w:val="0"/>
              <w:spacing w:before="29" w:line="288" w:lineRule="auto"/>
              <w:ind w:left="17"/>
              <w:jc w:val="left"/>
              <w:rPr>
                <w:rFonts w:eastAsiaTheme="minorEastAsia"/>
                <w:color w:val="000000"/>
                <w:sz w:val="24"/>
              </w:rPr>
            </w:pPr>
            <w:r w:rsidRPr="007F52FA">
              <w:rPr>
                <w:rFonts w:eastAsiaTheme="minorEastAsia"/>
                <w:color w:val="000000"/>
                <w:kern w:val="0"/>
                <w:sz w:val="24"/>
              </w:rPr>
              <w:t/>
            </w:r>
            <w:r w:rsidRPr="007F52FA">
              <w:rPr>
                <w:rFonts w:eastAsiaTheme="minorEastAsia"/>
                <w:sz w:val="24"/>
              </w:rPr>
              <w:t/>
            </w:r>
            <w:r w:rsidR="004D614E" w:rsidRPr="007F52FA">
              <w:rPr>
                <w:rFonts w:eastAsiaTheme="minorEastAsia"/>
                <w:sz w:val="24"/>
              </w:rPr>
              <w:t/>
            </w:r>
            <w:r w:rsidR="0042785F" w:rsidRPr="007F52FA">
              <w:rPr>
                <w:rFonts w:eastAsiaTheme="minorEastAsia"/>
                <w:sz w:val="24"/>
              </w:rPr>
              <w:t>交银增利增强债券C</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B011B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936D40" w:rsidRPr="007F52FA">
              <w:rPr>
                <w:rFonts w:eastAsiaTheme="minorEastAsia"/>
                <w:color w:val="000000"/>
                <w:sz w:val="24"/>
              </w:rPr>
              <w:t/>
            </w:r>
            <w:r w:rsidR="0042785F" w:rsidRPr="007F52FA">
              <w:rPr>
                <w:rFonts w:eastAsiaTheme="minorEastAsia"/>
                <w:color w:val="000000"/>
                <w:sz w:val="24"/>
              </w:rPr>
              <w:t>19,816,581.17</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B011B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936D40" w:rsidRPr="007F52FA">
              <w:rPr>
                <w:rFonts w:eastAsiaTheme="minorEastAsia"/>
                <w:color w:val="000000"/>
                <w:sz w:val="24"/>
              </w:rPr>
              <w:t/>
            </w:r>
            <w:r w:rsidR="00EA1D33" w:rsidRPr="007F52FA">
              <w:rPr>
                <w:rFonts w:eastAsiaTheme="minorEastAsia"/>
                <w:color w:val="000000"/>
                <w:sz w:val="24"/>
              </w:rPr>
              <w:t/>
            </w:r>
            <w:r w:rsidR="0042785F" w:rsidRPr="007F52FA">
              <w:rPr>
                <w:rFonts w:eastAsiaTheme="minorEastAsia"/>
                <w:color w:val="000000"/>
                <w:sz w:val="24"/>
              </w:rPr>
              <w:t>4,999,126.79</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F72579"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10,275,652.80</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5,249,133.61</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10,018,799.71</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5,742,078.91</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896AC6" w:rsidR="00936D40" w:rsidRDefault="00F72579"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
            </w:r>
            <w:r w:rsidR="0042785F" w:rsidRPr="007F52FA">
              <w:rPr>
                <w:rFonts w:eastAsiaTheme="minorEastAsia"/>
                <w:color w:val="000000"/>
                <w:sz w:val="24"/>
              </w:rPr>
              <w:lastRenderedPageBreak/>
              <w:t>20,073,434.26</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lastRenderedPageBreak/>
              <w:t/>
            </w:r>
            <w:r w:rsidR="004D614E" w:rsidRPr="007F52FA">
              <w:rPr>
                <w:rFonts w:eastAsiaTheme="minorEastAsia"/>
                <w:color w:val="000000"/>
                <w:sz w:val="24"/>
              </w:rPr>
              <w:t/>
            </w:r>
            <w:r w:rsidR="004D614E" w:rsidRPr="007F52FA">
              <w:rPr>
                <w:rFonts w:eastAsiaTheme="minorEastAsia"/>
                <w:color w:val="000000"/>
                <w:sz w:val="24"/>
              </w:rPr>
              <w:lastRenderedPageBreak/>
              <w:t/>
            </w:r>
            <w:r w:rsidR="0042785F" w:rsidRPr="007F52FA">
              <w:rPr>
                <w:rFonts w:eastAsiaTheme="minorEastAsia"/>
                <w:color w:val="000000"/>
                <w:sz w:val="24"/>
              </w:rPr>
              <w:t>4,506,181.49</w:t>
            </w:r>
          </w:p>
        </w:tc>
      </w:tr>
    </w:tbl>
    <w:p>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 xml:space="preserve">注：1、如果本报告期间发生转换入、红利再投业务，则总申购份额中包含该业务； </w:t>
      </w:r>
    </w:p>
    <w:p w:rsidP="007C14DF" w:rsidR="00FB3C94" w:rsidRDefault="00FB3C94"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lastRenderedPageBreak/>
        <w:t>2、如果本报告期间发生转换出业务，则总赎回份额中包含该业务。</w:t>
      </w:r>
    </w:p>
    <w:p w:rsidP="007C14DF" w:rsidR="00426568" w:rsidRDefault="00426568">
      <w:pPr>
        <w:autoSpaceDE w:val="0"/>
        <w:autoSpaceDN w:val="0"/>
        <w:adjustRightInd w:val="0"/>
        <w:spacing w:before="29" w:line="288" w:lineRule="auto"/>
        <w:jc w:val="left"/>
        <w:rPr>
          <w:rFonts w:eastAsiaTheme="minorEastAsia"/>
          <w:color w:val="000000"/>
          <w:sz w:val="24"/>
        </w:rPr>
      </w:pPr>
    </w:p>
    <w:p w:rsidP="000A2988" w:rsidR="000673DA" w:rsidRDefault="00C51B4E" w:rsidRPr="000673DA">
      <w:pPr>
        <w:pStyle w:val="1"/>
        <w:tabs>
          <w:tab w:pos="4156" w:val="center"/>
          <w:tab w:pos="8312" w:val="right"/>
        </w:tabs>
        <w:spacing w:after="312" w:afterLines="100" w:before="312" w:beforeLines="100" w:line="288" w:lineRule="auto"/>
        <w:jc w:val="center"/>
        <w:rPr>
          <w:sz w:val="24"/>
          <w:szCs w:val="24"/>
        </w:rPr>
      </w:pPr>
      <w:r>
        <w:rPr>
          <w:color w:val="000000"/>
          <w:kern w:val="0"/>
          <w:sz w:val="24"/>
          <w:szCs w:val="24"/>
        </w:rPr>
        <w:t>§</w:t>
      </w:r>
      <w:r>
        <w:rPr>
          <w:rFonts w:hint="eastAsia"/>
          <w:color w:val="000000"/>
          <w:kern w:val="0"/>
          <w:sz w:val="24"/>
          <w:szCs w:val="24"/>
        </w:rPr>
        <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P="007C14DF" w:rsidR="000673DA" w:rsidRDefault="000673DA" w:rsidRPr="000673DA">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P="007C14DF" w:rsidR="008A3BCC" w:rsidRDefault="00AE55CC" w:rsidRPr="00AE55CC">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P="007C14DF" w:rsidR="008A3BCC" w:rsidRDefault="008A3BCC">
      <w:pPr>
        <w:autoSpaceDE w:val="0"/>
        <w:autoSpaceDN w:val="0"/>
        <w:adjustRightInd w:val="0"/>
        <w:spacing w:before="29" w:line="288" w:lineRule="auto"/>
        <w:jc w:val="left"/>
        <w:rPr>
          <w:color w:val="000000"/>
          <w:sz w:val="24"/>
        </w:rPr>
      </w:pPr>
    </w:p>
    <w:p w:rsidP="00646AEE" w:rsidR="008A3BCC" w:rsidRDefault="000673DA" w:rsidRPr="008A3BCC">
      <w:pPr>
        <w:autoSpaceDE w:val="0"/>
        <w:autoSpaceDN w:val="0"/>
        <w:adjustRightInd w:val="0"/>
        <w:spacing w:before="29" w:line="288" w:lineRule="auto"/>
        <w:jc w:val="left"/>
        <w:rPr>
          <w:b/>
          <w:color w:val="000000"/>
          <w:sz w:val="24"/>
        </w:rPr>
      </w:pPr>
      <w:r w:rsidRPr="008A3BCC">
        <w:rPr>
          <w:b/>
          <w:sz w:val="24"/>
        </w:rPr>
        <w:t/>
      </w: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P="007C14DF" w:rsidR="00285618" w:rsidRDefault="00285618"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P="007C14DF" w:rsidR="00F2646E" w:rsidRDefault="00F2646E" w:rsidRPr="007F52FA">
      <w:pPr>
        <w:autoSpaceDE w:val="0"/>
        <w:autoSpaceDN w:val="0"/>
        <w:adjustRightInd w:val="0"/>
        <w:spacing w:before="29" w:line="288" w:lineRule="auto"/>
        <w:jc w:val="left"/>
        <w:rPr>
          <w:rFonts w:eastAsiaTheme="minorEastAsia"/>
          <w:color w:val="000000"/>
          <w:sz w:val="24"/>
        </w:rPr>
      </w:pPr>
    </w:p>
    <w:p w:rsidP="000A2988" w:rsidR="00175E3A" w:rsidRDefault="009238DB" w:rsidRPr="007032A6">
      <w:pPr>
        <w:pStyle w:val="1"/>
        <w:spacing w:after="312" w:afterLines="100" w:before="312" w:beforeLines="100"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
      </w:r>
      <w:r w:rsidR="00D13A01" w:rsidRPr="007F52FA">
        <w:rPr>
          <w:rFonts w:eastAsiaTheme="minorEastAsia"/>
          <w:color w:val="000000"/>
          <w:kern w:val="0"/>
          <w:sz w:val="24"/>
          <w:szCs w:val="24"/>
        </w:rPr>
        <w:t/>
      </w:r>
      <w:r w:rsidR="00A14399" w:rsidRPr="007F52FA">
        <w:rPr>
          <w:rFonts w:eastAsiaTheme="minorEastAsia"/>
          <w:color w:val="000000"/>
          <w:kern w:val="0"/>
          <w:sz w:val="24"/>
          <w:szCs w:val="24"/>
        </w:rPr>
        <w:t>8</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P="007C14DF" w:rsidR="00FB3C94" w:rsidRDefault="00A14399"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
      </w:r>
      <w:r w:rsidR="00D13A01" w:rsidRPr="007F52FA">
        <w:rPr>
          <w:rFonts w:eastAsiaTheme="minorEastAsia"/>
          <w:b/>
          <w:bCs/>
          <w:color w:val="000000"/>
          <w:kern w:val="0"/>
          <w:sz w:val="24"/>
        </w:rPr>
        <w:t/>
      </w:r>
      <w:r w:rsidRPr="007F52FA">
        <w:rPr>
          <w:rFonts w:eastAsiaTheme="minorEastAsia"/>
          <w:b/>
          <w:bCs/>
          <w:color w:val="000000"/>
          <w:kern w:val="0"/>
          <w:sz w:val="24"/>
        </w:rPr>
        <w:t>8.</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pPr>
        <w:spacing w:before="29" w:line="288" w:lineRule="auto"/>
        <w:ind w:firstLine="480" w:firstLineChars="200"/>
        <w:rPr>
          <w:rFonts w:eastAsiaTheme="minorEastAsia"/>
          <w:color w:val="000000"/>
          <w:sz w:val="24"/>
        </w:rPr>
      </w:pPr>
      <w:r>
        <w:rPr>
          <w:rFonts w:eastAsiaTheme="minorEastAsia"/>
          <w:color w:val="000000"/>
          <w:sz w:val="24"/>
        </w:rPr>
        <w:t xml:space="preserve">1、中国证监会准予交银施罗德增利增强债券型证券投资基金募集注册的文件； </w:t>
      </w:r>
    </w:p>
    <w:p>
      <w:pPr>
        <w:spacing w:before="29" w:line="288" w:lineRule="auto"/>
        <w:ind w:firstLine="480" w:firstLineChars="200"/>
        <w:rPr>
          <w:rFonts w:eastAsiaTheme="minorEastAsia"/>
          <w:color w:val="000000"/>
          <w:sz w:val="24"/>
        </w:rPr>
      </w:pPr>
      <w:r>
        <w:rPr>
          <w:rFonts w:eastAsiaTheme="minorEastAsia"/>
          <w:color w:val="000000"/>
          <w:sz w:val="24"/>
        </w:rPr>
        <w:t xml:space="preserve">2、《交银施罗德增利增强债券型证券投资基金基金合同》； </w:t>
      </w:r>
    </w:p>
    <w:p>
      <w:pPr>
        <w:spacing w:before="29" w:line="288" w:lineRule="auto"/>
        <w:ind w:firstLine="480" w:firstLineChars="200"/>
        <w:rPr>
          <w:rFonts w:eastAsiaTheme="minorEastAsia"/>
          <w:color w:val="000000"/>
          <w:sz w:val="24"/>
        </w:rPr>
      </w:pPr>
      <w:r>
        <w:rPr>
          <w:rFonts w:eastAsiaTheme="minorEastAsia"/>
          <w:color w:val="000000"/>
          <w:sz w:val="24"/>
        </w:rPr>
        <w:t xml:space="preserve">3、《交银施罗德增利增强债券型证券投资基金招募说明书》； </w:t>
      </w:r>
    </w:p>
    <w:p>
      <w:pPr>
        <w:spacing w:before="29" w:line="288" w:lineRule="auto"/>
        <w:ind w:firstLine="480" w:firstLineChars="200"/>
        <w:rPr>
          <w:rFonts w:eastAsiaTheme="minorEastAsia"/>
          <w:color w:val="000000"/>
          <w:sz w:val="24"/>
        </w:rPr>
      </w:pPr>
      <w:r>
        <w:rPr>
          <w:rFonts w:eastAsiaTheme="minorEastAsia"/>
          <w:color w:val="000000"/>
          <w:sz w:val="24"/>
        </w:rPr>
        <w:t xml:space="preserve">4、《交银施罗德增利增强债券型证券投资基金托管协议》； </w:t>
      </w:r>
    </w:p>
    <w:p>
      <w:pPr>
        <w:spacing w:before="29" w:line="288" w:lineRule="auto"/>
        <w:ind w:firstLine="480" w:firstLineChars="200"/>
        <w:rPr>
          <w:rFonts w:eastAsiaTheme="minorEastAsia"/>
          <w:color w:val="000000"/>
          <w:sz w:val="24"/>
        </w:rPr>
      </w:pPr>
      <w:r>
        <w:rPr>
          <w:rFonts w:eastAsiaTheme="minorEastAsia"/>
          <w:color w:val="000000"/>
          <w:sz w:val="24"/>
        </w:rPr>
        <w:t xml:space="preserve">5、关于申请募集注册交银施罗德增利增强债券型证券投资基金的法律意见书； </w:t>
      </w:r>
    </w:p>
    <w:p>
      <w:pPr>
        <w:spacing w:before="29" w:line="288" w:lineRule="auto"/>
        <w:ind w:firstLine="480" w:firstLineChars="200"/>
        <w:rPr>
          <w:rFonts w:eastAsiaTheme="minorEastAsia"/>
          <w:color w:val="000000"/>
          <w:sz w:val="24"/>
        </w:rPr>
      </w:pPr>
      <w:r>
        <w:rPr>
          <w:rFonts w:eastAsiaTheme="minorEastAsia"/>
          <w:color w:val="000000"/>
          <w:sz w:val="24"/>
        </w:rPr>
        <w:t xml:space="preserve">6、基金管理人业务资格批件、营业执照； </w:t>
      </w:r>
    </w:p>
    <w:p>
      <w:pPr>
        <w:spacing w:before="29" w:line="288" w:lineRule="auto"/>
        <w:ind w:firstLine="480" w:firstLineChars="200"/>
        <w:rPr>
          <w:rFonts w:eastAsiaTheme="minorEastAsia"/>
          <w:color w:val="000000"/>
          <w:sz w:val="24"/>
        </w:rPr>
      </w:pPr>
      <w:r>
        <w:rPr>
          <w:rFonts w:eastAsiaTheme="minorEastAsia"/>
          <w:color w:val="000000"/>
          <w:sz w:val="24"/>
        </w:rPr>
        <w:t xml:space="preserve">7、基金托管人业务资格批件、营业执照； </w:t>
      </w:r>
    </w:p>
    <w:p w:rsidP="007C14DF" w:rsidR="00FB3C94"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8、报告期内交银施罗德增利增强债券型证券投资基金在指定报刊上各项公告的原稿。</w:t>
      </w:r>
    </w:p>
    <w:p w:rsidP="007C14DF" w:rsidR="00F11783" w:rsidRDefault="00F11783" w:rsidRPr="007F52FA">
      <w:pPr>
        <w:spacing w:before="29" w:line="288" w:lineRule="auto"/>
        <w:ind w:firstLine="480" w:firstLineChars="200"/>
        <w:rPr>
          <w:rFonts w:eastAsiaTheme="minorEastAsia"/>
          <w:color w:val="000000"/>
          <w:sz w:val="24"/>
        </w:rPr>
      </w:pPr>
    </w:p>
    <w:p w:rsidP="007C14DF" w:rsidR="00FB3C94" w:rsidRDefault="00D13A01"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lastRenderedPageBreak/>
        <w:t>8.2</w:t>
      </w:r>
      <w:r w:rsidR="00FB3C94" w:rsidRPr="007F52FA">
        <w:rPr>
          <w:rFonts w:eastAsiaTheme="minorEastAsia"/>
          <w:b/>
          <w:bCs/>
          <w:color w:val="000000"/>
          <w:kern w:val="0"/>
          <w:sz w:val="24"/>
        </w:rPr>
        <w:t>存放地点</w:t>
      </w:r>
    </w:p>
    <w:p w:rsidP="007C14DF" w:rsidR="00FB3C94"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备查文件存放于基金管理人的办公场所。</w:t>
      </w:r>
    </w:p>
    <w:p w:rsidP="007C14DF" w:rsidR="00F11783" w:rsidRDefault="00F11783" w:rsidRPr="007F52FA">
      <w:pPr>
        <w:spacing w:before="29" w:line="288" w:lineRule="auto"/>
        <w:ind w:firstLine="480" w:firstLineChars="200"/>
        <w:rPr>
          <w:rFonts w:eastAsiaTheme="minorEastAsia"/>
          <w:color w:val="000000"/>
          <w:sz w:val="24"/>
        </w:rPr>
      </w:pPr>
    </w:p>
    <w:p w:rsidP="007C14DF" w:rsidR="00FB3C94" w:rsidRDefault="00D13A01"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8.3</w:t>
      </w:r>
      <w:r w:rsidR="00FB3C94" w:rsidRPr="007F52FA">
        <w:rPr>
          <w:rFonts w:eastAsiaTheme="minorEastAsia"/>
          <w:b/>
          <w:bCs/>
          <w:color w:val="000000"/>
          <w:kern w:val="0"/>
          <w:sz w:val="24"/>
        </w:rPr>
        <w:t>查阅方式</w:t>
      </w:r>
    </w:p>
    <w:p>
      <w:pPr>
        <w:spacing w:before="29" w:line="288" w:lineRule="auto"/>
        <w:ind w:firstLine="480" w:firstLineChars="200"/>
        <w:rPr>
          <w:rFonts w:eastAsiaTheme="minorEastAsia"/>
          <w:color w:val="000000"/>
          <w:sz w:val="24"/>
        </w:rPr>
      </w:pPr>
      <w:r>
        <w:rPr>
          <w:rFonts w:eastAsiaTheme="minorEastAsia"/>
          <w:color w:val="000000"/>
          <w:sz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7C14DF" w:rsidR="009238DB"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投资者对本报告书如有疑问，可咨询本基金管理人交银施罗德基金管理有限公司。本公司客户服务中心电话：400-700-5000（免长途话费），021-61055000，电子邮件：services@jysld.com。</w:t>
      </w:r>
    </w:p>
    <w:p w:rsidP="007C14DF" w:rsidR="004D36DF" w:rsidRDefault="004D36DF" w:rsidRPr="007F52FA">
      <w:pPr>
        <w:spacing w:before="29" w:line="288" w:lineRule="auto"/>
        <w:ind w:firstLine="480" w:firstLineChars="200"/>
        <w:rPr>
          <w:rFonts w:eastAsiaTheme="minorEastAsia"/>
          <w:color w:val="000000"/>
          <w:sz w:val="24"/>
        </w:rPr>
      </w:pPr>
    </w:p>
    <w:sectPr w:rsidR="004D36DF" w:rsidRPr="007F52FA" w:rsidSect="007A5233">
      <w:footerReference r:id="rId16" w:type="even"/>
      <w:pgSz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AD1" w:rsidRDefault="00685AD1">
      <w:r>
        <w:separator/>
      </w:r>
    </w:p>
  </w:endnote>
  <w:endnote w:type="continuationSeparator" w:id="0">
    <w:p w:rsidR="00685AD1" w:rsidRDefault="0068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F7094A" w:rsidR="007F50FB" w:rsidRDefault="007F50FB" w:rsidRPr="001D0DB0">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885AD9">
      <w:rPr>
        <w:noProof/>
        <w:kern w:val="0"/>
        <w:szCs w:val="21"/>
      </w:rPr>
      <w:t>19</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885AD9">
      <w:rPr>
        <w:noProof/>
        <w:kern w:val="0"/>
        <w:szCs w:val="21"/>
      </w:rPr>
      <w:t>27</w:t>
    </w:r>
    <w:r w:rsidR="0042114A">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6"/>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F50FB" w:rsidRDefault="0042114A">
    <w:pPr>
      <w:pStyle w:val="a6"/>
      <w:framePr w:hAnchor="margin" w:vAnchor="text" w:wrap="around"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R="00685AD1" w:rsidRDefault="00685AD1">
      <w:r>
        <w:separator/>
      </w:r>
    </w:p>
  </w:footnote>
  <w:footnote w:id="0" w:type="continuationSeparator">
    <w:p w:rsidR="00685AD1" w:rsidRDefault="00685AD1">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D3445F" w:rsidR="007F50FB" w:rsidRDefault="00D3445F" w:rsidRPr="00D3445F">
    <w:pPr>
      <w:spacing w:before="29" w:line="288" w:lineRule="auto"/>
      <w:jc w:val="right"/>
      <w:rPr>
        <w:rFonts w:eastAsiaTheme="minorEastAsia"/>
        <w:sz w:val="24"/>
      </w:rPr>
    </w:pPr>
    <w:r w:rsidRPr="00D3445F">
      <w:rPr>
        <w:rFonts w:eastAsiaTheme="minorEastAsia"/>
        <w:sz w:val="24"/>
      </w:rPr>
      <w:t>交银施罗德增利增强债券型证券投资基金2020年第1季度报告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cs="Times New Roman" w:eastAsia="宋体" w:hAnsi="Times New Roman" w:hint="default"/>
      </w:rPr>
    </w:lvl>
    <w:lvl w:ilvl="1" w:tentative="1" w:tplc="04090003">
      <w:start w:val="1"/>
      <w:numFmt w:val="bullet"/>
      <w:lvlText w:val=""/>
      <w:lvlJc w:val="left"/>
      <w:pPr>
        <w:tabs>
          <w:tab w:pos="1260" w:val="num"/>
        </w:tabs>
        <w:ind w:hanging="420" w:left="1260"/>
      </w:pPr>
      <w:rPr>
        <w:rFonts w:ascii="Wingdings" w:hAnsi="Wingdings" w:hint="default"/>
      </w:rPr>
    </w:lvl>
    <w:lvl w:ilvl="2" w:tentative="1" w:tplc="04090005">
      <w:start w:val="1"/>
      <w:numFmt w:val="bullet"/>
      <w:lvlText w:val=""/>
      <w:lvlJc w:val="left"/>
      <w:pPr>
        <w:tabs>
          <w:tab w:pos="1680" w:val="num"/>
        </w:tabs>
        <w:ind w:hanging="420" w:left="1680"/>
      </w:pPr>
      <w:rPr>
        <w:rFonts w:ascii="Wingdings" w:hAnsi="Wingdings" w:hint="default"/>
      </w:rPr>
    </w:lvl>
    <w:lvl w:ilvl="3" w:tentative="1" w:tplc="04090001">
      <w:start w:val="1"/>
      <w:numFmt w:val="bullet"/>
      <w:lvlText w:val=""/>
      <w:lvlJc w:val="left"/>
      <w:pPr>
        <w:tabs>
          <w:tab w:pos="2100" w:val="num"/>
        </w:tabs>
        <w:ind w:hanging="420" w:left="2100"/>
      </w:pPr>
      <w:rPr>
        <w:rFonts w:ascii="Wingdings" w:hAnsi="Wingdings" w:hint="default"/>
      </w:rPr>
    </w:lvl>
    <w:lvl w:ilvl="4" w:tentative="1" w:tplc="04090003">
      <w:start w:val="1"/>
      <w:numFmt w:val="bullet"/>
      <w:lvlText w:val=""/>
      <w:lvlJc w:val="left"/>
      <w:pPr>
        <w:tabs>
          <w:tab w:pos="2520" w:val="num"/>
        </w:tabs>
        <w:ind w:hanging="420" w:left="2520"/>
      </w:pPr>
      <w:rPr>
        <w:rFonts w:ascii="Wingdings" w:hAnsi="Wingdings" w:hint="default"/>
      </w:rPr>
    </w:lvl>
    <w:lvl w:ilvl="5" w:tentative="1" w:tplc="04090005">
      <w:start w:val="1"/>
      <w:numFmt w:val="bullet"/>
      <w:lvlText w:val=""/>
      <w:lvlJc w:val="left"/>
      <w:pPr>
        <w:tabs>
          <w:tab w:pos="2940" w:val="num"/>
        </w:tabs>
        <w:ind w:hanging="420" w:left="2940"/>
      </w:pPr>
      <w:rPr>
        <w:rFonts w:ascii="Wingdings" w:hAnsi="Wingdings" w:hint="default"/>
      </w:rPr>
    </w:lvl>
    <w:lvl w:ilvl="6" w:tentative="1" w:tplc="04090001">
      <w:start w:val="1"/>
      <w:numFmt w:val="bullet"/>
      <w:lvlText w:val=""/>
      <w:lvlJc w:val="left"/>
      <w:pPr>
        <w:tabs>
          <w:tab w:pos="3360" w:val="num"/>
        </w:tabs>
        <w:ind w:hanging="420" w:left="3360"/>
      </w:pPr>
      <w:rPr>
        <w:rFonts w:ascii="Wingdings" w:hAnsi="Wingdings" w:hint="default"/>
      </w:rPr>
    </w:lvl>
    <w:lvl w:ilvl="7" w:tentative="1" w:tplc="04090003">
      <w:start w:val="1"/>
      <w:numFmt w:val="bullet"/>
      <w:lvlText w:val=""/>
      <w:lvlJc w:val="left"/>
      <w:pPr>
        <w:tabs>
          <w:tab w:pos="3780" w:val="num"/>
        </w:tabs>
        <w:ind w:hanging="420" w:left="3780"/>
      </w:pPr>
      <w:rPr>
        <w:rFonts w:ascii="Wingdings" w:hAnsi="Wingdings" w:hint="default"/>
      </w:rPr>
    </w:lvl>
    <w:lvl w:ilvl="8" w:tentative="1" w:tplc="04090005">
      <w:start w:val="1"/>
      <w:numFmt w:val="bullet"/>
      <w:lvlText w:val=""/>
      <w:lvlJc w:val="left"/>
      <w:pPr>
        <w:tabs>
          <w:tab w:pos="4200" w:val="num"/>
        </w:tabs>
        <w:ind w:hanging="420" w:left="4200"/>
      </w:pPr>
      <w:rPr>
        <w:rFonts w:ascii="Wingdings" w:hAnsi="Wingdings" w:hint="default"/>
      </w:rPr>
    </w:lvl>
  </w:abstractNum>
  <w:abstractNum w15:restartNumberingAfterBreak="0" w:abstractNumId="1">
    <w:nsid w:val="2A93165E"/>
    <w:multiLevelType w:val="hybridMultilevel"/>
    <w:tmpl w:val="8F54F77E"/>
    <w:lvl w:ilvl="0" w:tplc="8996D53A">
      <w:start w:val="1"/>
      <w:numFmt w:val="japaneseCounting"/>
      <w:lvlText w:val="（%1）"/>
      <w:lvlJc w:val="left"/>
      <w:pPr>
        <w:tabs>
          <w:tab w:pos="1200" w:val="num"/>
        </w:tabs>
        <w:ind w:hanging="720" w:left="1200"/>
      </w:pPr>
      <w:rPr>
        <w:rFonts w:hAnsi="宋体" w:hint="default"/>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15:restartNumberingAfterBreak="0" w:abstractNumId="2">
    <w:nsid w:val="32C43FA3"/>
    <w:multiLevelType w:val="hybridMultilevel"/>
    <w:tmpl w:val="2658615A"/>
    <w:lvl w:ilvl="0" w:tplc="04090001">
      <w:start w:val="1"/>
      <w:numFmt w:val="bullet"/>
      <w:lvlText w:val=""/>
      <w:lvlJc w:val="left"/>
      <w:pPr>
        <w:tabs>
          <w:tab w:pos="420" w:val="num"/>
        </w:tabs>
        <w:ind w:hanging="420" w:left="420"/>
      </w:pPr>
      <w:rPr>
        <w:rFonts w:ascii="Wingdings" w:hAnsi="Wingdings" w:hint="default"/>
      </w:rPr>
    </w:lvl>
    <w:lvl w:ilvl="1" w:tentative="1" w:tplc="04090003">
      <w:start w:val="1"/>
      <w:numFmt w:val="bullet"/>
      <w:lvlText w:val=""/>
      <w:lvlJc w:val="left"/>
      <w:pPr>
        <w:tabs>
          <w:tab w:pos="840" w:val="num"/>
        </w:tabs>
        <w:ind w:hanging="420" w:left="840"/>
      </w:pPr>
      <w:rPr>
        <w:rFonts w:ascii="Wingdings" w:hAnsi="Wingdings" w:hint="default"/>
      </w:rPr>
    </w:lvl>
    <w:lvl w:ilvl="2" w:tentative="1" w:tplc="04090005">
      <w:start w:val="1"/>
      <w:numFmt w:val="bullet"/>
      <w:lvlText w:val=""/>
      <w:lvlJc w:val="left"/>
      <w:pPr>
        <w:tabs>
          <w:tab w:pos="1260" w:val="num"/>
        </w:tabs>
        <w:ind w:hanging="420" w:left="1260"/>
      </w:pPr>
      <w:rPr>
        <w:rFonts w:ascii="Wingdings" w:hAnsi="Wingdings" w:hint="default"/>
      </w:rPr>
    </w:lvl>
    <w:lvl w:ilvl="3" w:tentative="1" w:tplc="04090001">
      <w:start w:val="1"/>
      <w:numFmt w:val="bullet"/>
      <w:lvlText w:val=""/>
      <w:lvlJc w:val="left"/>
      <w:pPr>
        <w:tabs>
          <w:tab w:pos="1680" w:val="num"/>
        </w:tabs>
        <w:ind w:hanging="420" w:left="1680"/>
      </w:pPr>
      <w:rPr>
        <w:rFonts w:ascii="Wingdings" w:hAnsi="Wingdings" w:hint="default"/>
      </w:rPr>
    </w:lvl>
    <w:lvl w:ilvl="4" w:tentative="1" w:tplc="04090003">
      <w:start w:val="1"/>
      <w:numFmt w:val="bullet"/>
      <w:lvlText w:val=""/>
      <w:lvlJc w:val="left"/>
      <w:pPr>
        <w:tabs>
          <w:tab w:pos="2100" w:val="num"/>
        </w:tabs>
        <w:ind w:hanging="420" w:left="2100"/>
      </w:pPr>
      <w:rPr>
        <w:rFonts w:ascii="Wingdings" w:hAnsi="Wingdings" w:hint="default"/>
      </w:rPr>
    </w:lvl>
    <w:lvl w:ilvl="5" w:tentative="1" w:tplc="04090005">
      <w:start w:val="1"/>
      <w:numFmt w:val="bullet"/>
      <w:lvlText w:val=""/>
      <w:lvlJc w:val="left"/>
      <w:pPr>
        <w:tabs>
          <w:tab w:pos="2520" w:val="num"/>
        </w:tabs>
        <w:ind w:hanging="420" w:left="2520"/>
      </w:pPr>
      <w:rPr>
        <w:rFonts w:ascii="Wingdings" w:hAnsi="Wingdings" w:hint="default"/>
      </w:rPr>
    </w:lvl>
    <w:lvl w:ilvl="6" w:tentative="1" w:tplc="04090001">
      <w:start w:val="1"/>
      <w:numFmt w:val="bullet"/>
      <w:lvlText w:val=""/>
      <w:lvlJc w:val="left"/>
      <w:pPr>
        <w:tabs>
          <w:tab w:pos="2940" w:val="num"/>
        </w:tabs>
        <w:ind w:hanging="420" w:left="2940"/>
      </w:pPr>
      <w:rPr>
        <w:rFonts w:ascii="Wingdings" w:hAnsi="Wingdings" w:hint="default"/>
      </w:rPr>
    </w:lvl>
    <w:lvl w:ilvl="7" w:tentative="1" w:tplc="04090003">
      <w:start w:val="1"/>
      <w:numFmt w:val="bullet"/>
      <w:lvlText w:val=""/>
      <w:lvlJc w:val="left"/>
      <w:pPr>
        <w:tabs>
          <w:tab w:pos="3360" w:val="num"/>
        </w:tabs>
        <w:ind w:hanging="420" w:left="3360"/>
      </w:pPr>
      <w:rPr>
        <w:rFonts w:ascii="Wingdings" w:hAnsi="Wingdings" w:hint="default"/>
      </w:rPr>
    </w:lvl>
    <w:lvl w:ilvl="8" w:tentative="1" w:tplc="04090005">
      <w:start w:val="1"/>
      <w:numFmt w:val="bullet"/>
      <w:lvlText w:val=""/>
      <w:lvlJc w:val="left"/>
      <w:pPr>
        <w:tabs>
          <w:tab w:pos="3780" w:val="num"/>
        </w:tabs>
        <w:ind w:hanging="420" w:left="3780"/>
      </w:pPr>
      <w:rPr>
        <w:rFonts w:ascii="Wingdings" w:hAnsi="Wingdings" w:hint="default"/>
      </w:rPr>
    </w:lvl>
  </w:abstractNum>
  <w:abstractNum w15:restartNumberingAfterBreak="0" w:abstractNumId="3">
    <w:nsid w:val="45342383"/>
    <w:multiLevelType w:val="multilevel"/>
    <w:tmpl w:val="0409001D"/>
    <w:styleLink w:val="5"/>
    <w:lvl w:ilvl="0">
      <w:start w:val="1"/>
      <w:numFmt w:val="decimal"/>
      <w:lvlText w:val="%1"/>
      <w:lvlJc w:val="left"/>
      <w:pPr>
        <w:tabs>
          <w:tab w:pos="425" w:val="num"/>
        </w:tabs>
        <w:ind w:hanging="425" w:left="425"/>
      </w:pPr>
    </w:lvl>
    <w:lvl w:ilvl="1">
      <w:start w:val="1"/>
      <w:numFmt w:val="decimal"/>
      <w:lvlText w:val="%1.%2"/>
      <w:lvlJc w:val="left"/>
      <w:pPr>
        <w:tabs>
          <w:tab w:pos="992" w:val="num"/>
        </w:tabs>
        <w:ind w:hanging="567" w:left="992"/>
      </w:pPr>
    </w:lvl>
    <w:lvl w:ilvl="2">
      <w:start w:val="1"/>
      <w:numFmt w:val="decimal"/>
      <w:lvlText w:val="%1.%2.%3"/>
      <w:lvlJc w:val="left"/>
      <w:pPr>
        <w:tabs>
          <w:tab w:pos="1418" w:val="num"/>
        </w:tabs>
        <w:ind w:hanging="567" w:left="1418"/>
      </w:pPr>
    </w:lvl>
    <w:lvl w:ilvl="3">
      <w:start w:val="1"/>
      <w:numFmt w:val="decimal"/>
      <w:lvlText w:val="%1.%2.%3.%4"/>
      <w:lvlJc w:val="left"/>
      <w:pPr>
        <w:tabs>
          <w:tab w:pos="1984" w:val="num"/>
        </w:tabs>
        <w:ind w:hanging="708" w:left="1984"/>
      </w:pPr>
    </w:lvl>
    <w:lvl w:ilvl="4">
      <w:start w:val="1"/>
      <w:numFmt w:val="decimal"/>
      <w:lvlText w:val="%1.%2.%3.%4.%5"/>
      <w:lvlJc w:val="left"/>
      <w:pPr>
        <w:tabs>
          <w:tab w:pos="2551" w:val="num"/>
        </w:tabs>
        <w:ind w:hanging="850" w:left="2551"/>
      </w:pPr>
    </w:lvl>
    <w:lvl w:ilvl="5">
      <w:start w:val="1"/>
      <w:numFmt w:val="decimal"/>
      <w:lvlText w:val="%1.%2.%3.%4.%5.%6"/>
      <w:lvlJc w:val="left"/>
      <w:pPr>
        <w:tabs>
          <w:tab w:pos="3260" w:val="num"/>
        </w:tabs>
        <w:ind w:hanging="1134" w:left="3260"/>
      </w:pPr>
    </w:lvl>
    <w:lvl w:ilvl="6">
      <w:start w:val="1"/>
      <w:numFmt w:val="decimal"/>
      <w:lvlText w:val="%1.%2.%3.%4.%5.%6.%7"/>
      <w:lvlJc w:val="left"/>
      <w:pPr>
        <w:tabs>
          <w:tab w:pos="3827" w:val="num"/>
        </w:tabs>
        <w:ind w:hanging="1276" w:left="3827"/>
      </w:pPr>
    </w:lvl>
    <w:lvl w:ilvl="7">
      <w:start w:val="1"/>
      <w:numFmt w:val="decimal"/>
      <w:lvlText w:val="%1.%2.%3.%4.%5.%6.%7.%8"/>
      <w:lvlJc w:val="left"/>
      <w:pPr>
        <w:tabs>
          <w:tab w:pos="4394" w:val="num"/>
        </w:tabs>
        <w:ind w:hanging="1418" w:left="4394"/>
      </w:pPr>
    </w:lvl>
    <w:lvl w:ilvl="8">
      <w:start w:val="1"/>
      <w:numFmt w:val="decimal"/>
      <w:lvlText w:val="%1.%2.%3.%4.%5.%6.%7.%8.%9"/>
      <w:lvlJc w:val="left"/>
      <w:pPr>
        <w:tabs>
          <w:tab w:pos="5102" w:val="num"/>
        </w:tabs>
        <w:ind w:hanging="1700" w:left="5102"/>
      </w:pPr>
    </w:lvl>
  </w:abstractNum>
  <w:abstractNum w15:restartNumberingAfterBreak="0" w:abstractNumId="4">
    <w:nsid w:val="57E8240C"/>
    <w:multiLevelType w:val="hybridMultilevel"/>
    <w:tmpl w:val="300A7112"/>
    <w:lvl w:ilvl="0" w:tplc="3782FDB8">
      <w:start w:val="1"/>
      <w:numFmt w:val="decimal"/>
      <w:lvlText w:val="（%1）"/>
      <w:lvlJc w:val="left"/>
      <w:pPr>
        <w:tabs>
          <w:tab w:pos="1200" w:val="num"/>
        </w:tabs>
        <w:ind w:hanging="720" w:left="1200"/>
      </w:pPr>
      <w:rPr>
        <w:rFonts w:hint="eastAsia"/>
        <w:sz w:val="24"/>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15:restartNumberingAfterBreak="0" w:abstractNumId="5">
    <w:nsid w:val="64C22724"/>
    <w:multiLevelType w:val="multilevel"/>
    <w:tmpl w:val="0409001D"/>
    <w:numStyleLink w:val="5"/>
  </w:abstractNum>
  <w:abstractNum w15:restartNumberingAfterBreak="0" w:abstractNumId="6">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pos="992" w:val="num"/>
          </w:tabs>
          <w:ind w:hanging="567" w:left="992"/>
        </w:pPr>
      </w:lvl>
    </w:lvlOverride>
    <w:lvlOverride w:ilvl="2">
      <w:lvl w:ilvl="2">
        <w:start w:val="1"/>
        <w:numFmt w:val="decimal"/>
        <w:lvlText w:val="%1.%2.%3"/>
        <w:lvlJc w:val="left"/>
        <w:pPr>
          <w:tabs>
            <w:tab w:pos="1418" w:val="num"/>
          </w:tabs>
          <w:ind w:hanging="567" w:left="1418"/>
        </w:pPr>
      </w:lvl>
    </w:lvlOverride>
  </w:num>
  <w:num w:numId="8">
    <w:abstractNumId w:val="3"/>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intPostScriptOverText/>
  <w:bordersDoNotSurroundHeader/>
  <w:bordersDoNotSurroundFooter/>
  <w:attachedTemplate r:id="rId1"/>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6398"/>
    <w:rsid w:val="000871DB"/>
    <w:rsid w:val="000922C5"/>
    <w:rsid w:val="0009314F"/>
    <w:rsid w:val="00093A23"/>
    <w:rsid w:val="0009582E"/>
    <w:rsid w:val="000A08FC"/>
    <w:rsid w:val="000A15F1"/>
    <w:rsid w:val="000A1617"/>
    <w:rsid w:val="000A2988"/>
    <w:rsid w:val="000A2E22"/>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3F6E"/>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3E9C"/>
    <w:rsid w:val="00145E5B"/>
    <w:rsid w:val="001461A4"/>
    <w:rsid w:val="00147319"/>
    <w:rsid w:val="00147551"/>
    <w:rsid w:val="0015012F"/>
    <w:rsid w:val="00150C2E"/>
    <w:rsid w:val="0015170D"/>
    <w:rsid w:val="001517AE"/>
    <w:rsid w:val="00154FA5"/>
    <w:rsid w:val="0015531A"/>
    <w:rsid w:val="00156508"/>
    <w:rsid w:val="00156F9D"/>
    <w:rsid w:val="00157535"/>
    <w:rsid w:val="001602E3"/>
    <w:rsid w:val="00160539"/>
    <w:rsid w:val="00161548"/>
    <w:rsid w:val="00163D88"/>
    <w:rsid w:val="0017176A"/>
    <w:rsid w:val="00172B54"/>
    <w:rsid w:val="00175E3A"/>
    <w:rsid w:val="00176874"/>
    <w:rsid w:val="0017725A"/>
    <w:rsid w:val="0018052A"/>
    <w:rsid w:val="00180952"/>
    <w:rsid w:val="0018191A"/>
    <w:rsid w:val="00183C5B"/>
    <w:rsid w:val="001843E2"/>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1D2"/>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77C6E"/>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324E6"/>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1E42"/>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AD1"/>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0963"/>
    <w:rsid w:val="006A120B"/>
    <w:rsid w:val="006A4828"/>
    <w:rsid w:val="006A5FE0"/>
    <w:rsid w:val="006A6D35"/>
    <w:rsid w:val="006A7C09"/>
    <w:rsid w:val="006B046C"/>
    <w:rsid w:val="006B252F"/>
    <w:rsid w:val="006B25AD"/>
    <w:rsid w:val="006B2CE8"/>
    <w:rsid w:val="006B32A4"/>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059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5AD9"/>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4965"/>
    <w:rsid w:val="008F61C4"/>
    <w:rsid w:val="008F6228"/>
    <w:rsid w:val="008F7763"/>
    <w:rsid w:val="009007CB"/>
    <w:rsid w:val="009009DC"/>
    <w:rsid w:val="009010F0"/>
    <w:rsid w:val="00901162"/>
    <w:rsid w:val="00901A22"/>
    <w:rsid w:val="00901D46"/>
    <w:rsid w:val="009028E2"/>
    <w:rsid w:val="00903692"/>
    <w:rsid w:val="00904E07"/>
    <w:rsid w:val="009050AB"/>
    <w:rsid w:val="00910F55"/>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44D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577"/>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247"/>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87429"/>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11B9"/>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martTagType w:name="chsdate" w:namespaceuri="urn:schemas-microsoft-com:office:smarttags"/>
  <w:shapeDefaults>
    <o:shapedefaults spidmax="2049" v:ext="edit"/>
    <o:shapelayout v:ext="edit">
      <o:idmap data="1" v:ext="edit"/>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cs="Times New Roman" w:eastAsia="宋体" w:hAnsi="Times New Roman"/>
        <w:lang w:bidi="ar-SA" w:eastAsia="zh-CN" w:val="en-US"/>
      </w:rPr>
    </w:rPrDefault>
    <w:pPrDefault/>
  </w:docDefaults>
  <w:latentStyles w:count="371" w:defLockedState="0" w:defQFormat="0" w:defSemiHidden="0" w:defUIPriority="0" w:defUnhideWhenUsed="0">
    <w:lsdException w:name="Normal" w:qFormat="1"/>
    <w:lsdException w:name="heading 1" w:qFormat="1" w:uiPriority="99"/>
    <w:lsdException w:name="heading 2" w:qFormat="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6A4828"/>
    <w:pPr>
      <w:widowControl w:val="0"/>
      <w:jc w:val="both"/>
    </w:pPr>
    <w:rPr>
      <w:kern w:val="2"/>
      <w:sz w:val="21"/>
      <w:szCs w:val="24"/>
    </w:rPr>
  </w:style>
  <w:style w:styleId="1" w:type="paragraph">
    <w:name w:val="heading 1"/>
    <w:basedOn w:val="a"/>
    <w:next w:val="a"/>
    <w:link w:val="1Char"/>
    <w:uiPriority w:val="99"/>
    <w:qFormat/>
    <w:rsid w:val="00180952"/>
    <w:pPr>
      <w:keepNext/>
      <w:keepLines/>
      <w:spacing w:after="330" w:before="340" w:line="578" w:lineRule="auto"/>
      <w:outlineLvl w:val="0"/>
    </w:pPr>
    <w:rPr>
      <w:b/>
      <w:bCs/>
      <w:kern w:val="44"/>
      <w:sz w:val="44"/>
      <w:szCs w:val="44"/>
    </w:rPr>
  </w:style>
  <w:style w:styleId="2" w:type="paragraph">
    <w:name w:val="heading 2"/>
    <w:basedOn w:val="a"/>
    <w:next w:val="a0"/>
    <w:qFormat/>
    <w:rsid w:val="006A4828"/>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rsid w:val="006A4828"/>
    <w:pPr>
      <w:ind w:firstLine="420" w:firstLineChars="200"/>
    </w:pPr>
  </w:style>
  <w:style w:styleId="a4" w:type="paragraph">
    <w:name w:val="Body Text Indent"/>
    <w:basedOn w:val="a"/>
    <w:rsid w:val="006A4828"/>
    <w:pPr>
      <w:widowControl/>
      <w:spacing w:after="100" w:afterAutospacing="1" w:before="100" w:beforeAutospacing="1"/>
      <w:jc w:val="left"/>
    </w:pPr>
    <w:rPr>
      <w:rFonts w:ascii="Arial Unicode MS" w:cs="Arial Unicode MS" w:eastAsia="Arial Unicode MS" w:hAnsi="Arial Unicode MS"/>
      <w:kern w:val="0"/>
      <w:sz w:val="24"/>
    </w:rPr>
  </w:style>
  <w:style w:styleId="a5" w:type="paragraph">
    <w:name w:val="Plain Text"/>
    <w:basedOn w:val="a"/>
    <w:link w:val="Char"/>
    <w:uiPriority w:val="99"/>
    <w:rsid w:val="006A4828"/>
    <w:rPr>
      <w:rFonts w:ascii="宋体" w:hAnsi="Courier New"/>
      <w:szCs w:val="21"/>
    </w:rPr>
  </w:style>
  <w:style w:styleId="20" w:type="paragraph">
    <w:name w:val="Body Text Indent 2"/>
    <w:basedOn w:val="a"/>
    <w:rsid w:val="006A4828"/>
    <w:pPr>
      <w:spacing w:line="560" w:lineRule="exact"/>
      <w:ind w:firstLine="480" w:firstLineChars="200"/>
    </w:pPr>
    <w:rPr>
      <w:rFonts w:ascii="宋体" w:hAnsi="宋体"/>
      <w:color w:val="FF0000"/>
      <w:sz w:val="24"/>
    </w:rPr>
  </w:style>
  <w:style w:styleId="a6" w:type="paragraph">
    <w:name w:val="footer"/>
    <w:basedOn w:val="a"/>
    <w:rsid w:val="006A4828"/>
    <w:pPr>
      <w:tabs>
        <w:tab w:pos="4153" w:val="center"/>
        <w:tab w:pos="8306" w:val="right"/>
      </w:tabs>
      <w:snapToGrid w:val="0"/>
      <w:jc w:val="left"/>
    </w:pPr>
    <w:rPr>
      <w:sz w:val="18"/>
      <w:szCs w:val="18"/>
    </w:rPr>
  </w:style>
  <w:style w:styleId="a7" w:type="character">
    <w:name w:val="page number"/>
    <w:basedOn w:val="a1"/>
    <w:rsid w:val="006A4828"/>
  </w:style>
  <w:style w:styleId="a8" w:type="character">
    <w:name w:val="Hyperlink"/>
    <w:basedOn w:val="a1"/>
    <w:rsid w:val="006A4828"/>
    <w:rPr>
      <w:color w:val="0000FF"/>
      <w:u w:val="single"/>
    </w:rPr>
  </w:style>
  <w:style w:styleId="3" w:type="paragraph">
    <w:name w:val="Body Text Indent 3"/>
    <w:basedOn w:val="a"/>
    <w:rsid w:val="006A4828"/>
    <w:pPr>
      <w:spacing w:line="560" w:lineRule="exact"/>
      <w:ind w:firstLine="420" w:firstLineChars="200"/>
    </w:pPr>
    <w:rPr>
      <w:rFonts w:ascii="Arial" w:cs="Arial" w:hAnsi="Arial"/>
      <w:color w:val="FF0000"/>
    </w:rPr>
  </w:style>
  <w:style w:styleId="a9" w:type="paragraph">
    <w:name w:val="header"/>
    <w:basedOn w:val="a"/>
    <w:link w:val="Char0"/>
    <w:uiPriority w:val="99"/>
    <w:rsid w:val="006A4828"/>
    <w:pPr>
      <w:pBdr>
        <w:bottom w:color="auto" w:space="1" w:sz="6" w:val="single"/>
      </w:pBdr>
      <w:tabs>
        <w:tab w:pos="4153" w:val="center"/>
        <w:tab w:pos="8306" w:val="right"/>
      </w:tabs>
      <w:snapToGrid w:val="0"/>
      <w:jc w:val="center"/>
    </w:pPr>
    <w:rPr>
      <w:sz w:val="18"/>
      <w:szCs w:val="18"/>
    </w:rPr>
  </w:style>
  <w:style w:customStyle="1" w:styleId="10" w:type="character">
    <w:name w:val="已访问的超链接1"/>
    <w:basedOn w:val="a1"/>
    <w:rsid w:val="006A4828"/>
    <w:rPr>
      <w:color w:val="800080"/>
      <w:u w:val="single"/>
    </w:rPr>
  </w:style>
  <w:style w:styleId="aa" w:type="paragraph">
    <w:name w:val="List"/>
    <w:basedOn w:val="ab"/>
    <w:rsid w:val="006A4828"/>
    <w:pPr>
      <w:spacing w:after="220" w:line="220" w:lineRule="atLeast"/>
      <w:ind w:hanging="360" w:left="1440"/>
    </w:pPr>
    <w:rPr>
      <w:szCs w:val="20"/>
    </w:rPr>
  </w:style>
  <w:style w:styleId="ab" w:type="paragraph">
    <w:name w:val="Body Text"/>
    <w:basedOn w:val="a"/>
    <w:rsid w:val="006A4828"/>
    <w:pPr>
      <w:spacing w:after="120"/>
    </w:pPr>
  </w:style>
  <w:style w:styleId="ac" w:type="paragraph">
    <w:name w:val="Date"/>
    <w:basedOn w:val="a"/>
    <w:next w:val="a"/>
    <w:link w:val="Char1"/>
    <w:rsid w:val="006A4828"/>
    <w:rPr>
      <w:sz w:val="24"/>
      <w:szCs w:val="20"/>
    </w:rPr>
  </w:style>
  <w:style w:customStyle="1" w:styleId="c1" w:type="character">
    <w:name w:val="c1"/>
    <w:basedOn w:val="a1"/>
    <w:rsid w:val="006A4828"/>
    <w:rPr>
      <w:color w:val="000000"/>
      <w:sz w:val="18"/>
      <w:szCs w:val="18"/>
    </w:rPr>
  </w:style>
  <w:style w:styleId="11" w:type="paragraph">
    <w:name w:val="index 1"/>
    <w:basedOn w:val="a"/>
    <w:next w:val="a"/>
    <w:autoRedefine/>
    <w:semiHidden/>
    <w:rsid w:val="006A4828"/>
    <w:pPr>
      <w:jc w:val="right"/>
    </w:pPr>
    <w:rPr>
      <w:color w:val="008000"/>
    </w:rPr>
  </w:style>
  <w:style w:customStyle="1" w:styleId="font5" w:type="paragraph">
    <w:name w:val="font5"/>
    <w:basedOn w:val="a"/>
    <w:rsid w:val="006A4828"/>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rsid w:val="006A4828"/>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d" w:type="paragraph">
    <w:name w:val="Balloon Text"/>
    <w:basedOn w:val="a"/>
    <w:semiHidden/>
    <w:rsid w:val="006A4828"/>
    <w:rPr>
      <w:sz w:val="18"/>
      <w:szCs w:val="18"/>
    </w:rPr>
  </w:style>
  <w:style w:styleId="ae" w:type="character">
    <w:name w:val="annotation reference"/>
    <w:basedOn w:val="a1"/>
    <w:uiPriority w:val="99"/>
    <w:semiHidden/>
    <w:rsid w:val="006A4828"/>
    <w:rPr>
      <w:sz w:val="21"/>
      <w:szCs w:val="21"/>
    </w:rPr>
  </w:style>
  <w:style w:styleId="af" w:type="paragraph">
    <w:name w:val="annotation text"/>
    <w:basedOn w:val="a"/>
    <w:link w:val="Char2"/>
    <w:uiPriority w:val="99"/>
    <w:semiHidden/>
    <w:rsid w:val="006A4828"/>
    <w:pPr>
      <w:jc w:val="left"/>
    </w:pPr>
  </w:style>
  <w:style w:styleId="af0" w:type="paragraph">
    <w:name w:val="annotation subject"/>
    <w:basedOn w:val="af"/>
    <w:next w:val="af"/>
    <w:semiHidden/>
    <w:rsid w:val="006A4828"/>
    <w:rPr>
      <w:b/>
      <w:bCs/>
    </w:rPr>
  </w:style>
  <w:style w:customStyle="1" w:styleId="Char3" w:type="paragraph">
    <w:name w:val="Char"/>
    <w:basedOn w:val="a"/>
    <w:rsid w:val="006A4828"/>
  </w:style>
  <w:style w:styleId="af1" w:type="paragraph">
    <w:name w:val="Document Map"/>
    <w:basedOn w:val="a"/>
    <w:semiHidden/>
    <w:rsid w:val="000A549A"/>
    <w:pPr>
      <w:shd w:color="auto" w:fill="000080" w:val="clear"/>
    </w:pPr>
  </w:style>
  <w:style w:styleId="af2" w:type="table">
    <w:name w:val="Table Grid"/>
    <w:basedOn w:val="a2"/>
    <w:qFormat/>
    <w:rsid w:val="009A31AF"/>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af3" w:type="paragraph">
    <w:name w:val="footnote text"/>
    <w:basedOn w:val="a"/>
    <w:link w:val="Char4"/>
    <w:rsid w:val="000B251E"/>
    <w:pPr>
      <w:snapToGrid w:val="0"/>
      <w:jc w:val="left"/>
    </w:pPr>
    <w:rPr>
      <w:sz w:val="18"/>
      <w:szCs w:val="18"/>
    </w:rPr>
  </w:style>
  <w:style w:styleId="af4" w:type="character">
    <w:name w:val="footnote reference"/>
    <w:basedOn w:val="a1"/>
    <w:rsid w:val="000B251E"/>
    <w:rPr>
      <w:vertAlign w:val="superscript"/>
    </w:rPr>
  </w:style>
  <w:style w:styleId="af5" w:type="paragraph">
    <w:name w:val="Normal (Web)"/>
    <w:basedOn w:val="a"/>
    <w:rsid w:val="00B25807"/>
    <w:pPr>
      <w:widowControl/>
      <w:spacing w:after="100" w:afterAutospacing="1" w:before="100" w:beforeAutospacing="1"/>
      <w:jc w:val="left"/>
    </w:pPr>
    <w:rPr>
      <w:rFonts w:ascii="宋体" w:hAnsi="宋体"/>
      <w:kern w:val="0"/>
      <w:sz w:val="24"/>
    </w:rPr>
  </w:style>
  <w:style w:customStyle="1" w:styleId="Char5" w:type="paragraph">
    <w:name w:val="Char"/>
    <w:basedOn w:val="a"/>
    <w:rsid w:val="00D97213"/>
  </w:style>
  <w:style w:customStyle="1" w:styleId="5" w:type="numbering">
    <w:name w:val="样式5"/>
    <w:rsid w:val="00952A72"/>
    <w:pPr>
      <w:numPr>
        <w:numId w:val="8"/>
      </w:numPr>
    </w:pPr>
  </w:style>
  <w:style w:customStyle="1" w:styleId="t1" w:type="character">
    <w:name w:val="t1"/>
    <w:basedOn w:val="a1"/>
    <w:rsid w:val="002D2A00"/>
    <w:rPr>
      <w:color w:val="990000"/>
    </w:rPr>
  </w:style>
  <w:style w:customStyle="1" w:styleId="Char" w:type="character">
    <w:name w:val="纯文本 Char"/>
    <w:basedOn w:val="a1"/>
    <w:link w:val="a5"/>
    <w:uiPriority w:val="99"/>
    <w:rsid w:val="009A045B"/>
    <w:rPr>
      <w:rFonts w:ascii="宋体" w:hAnsi="Courier New"/>
      <w:kern w:val="2"/>
      <w:sz w:val="21"/>
      <w:szCs w:val="21"/>
    </w:rPr>
  </w:style>
  <w:style w:customStyle="1" w:styleId="Char4" w:type="character">
    <w:name w:val="脚注文本 Char"/>
    <w:basedOn w:val="a1"/>
    <w:link w:val="af3"/>
    <w:rsid w:val="00CB481C"/>
    <w:rPr>
      <w:kern w:val="2"/>
      <w:sz w:val="18"/>
      <w:szCs w:val="18"/>
    </w:rPr>
  </w:style>
  <w:style w:customStyle="1" w:styleId="Default" w:type="paragraph">
    <w:name w:val="Default"/>
    <w:rsid w:val="00CB481C"/>
    <w:pPr>
      <w:widowControl w:val="0"/>
      <w:autoSpaceDE w:val="0"/>
      <w:autoSpaceDN w:val="0"/>
      <w:adjustRightInd w:val="0"/>
    </w:pPr>
    <w:rPr>
      <w:rFonts w:ascii="FangSong" w:cs="FangSong" w:hAnsi="FangSong"/>
      <w:color w:val="000000"/>
      <w:sz w:val="24"/>
      <w:szCs w:val="24"/>
    </w:rPr>
  </w:style>
  <w:style w:customStyle="1" w:styleId="Char0" w:type="character">
    <w:name w:val="页眉 Char"/>
    <w:basedOn w:val="a1"/>
    <w:link w:val="a9"/>
    <w:uiPriority w:val="99"/>
    <w:rsid w:val="001207F2"/>
    <w:rPr>
      <w:kern w:val="2"/>
      <w:sz w:val="18"/>
      <w:szCs w:val="18"/>
    </w:rPr>
  </w:style>
  <w:style w:customStyle="1" w:styleId="1Char" w:type="character">
    <w:name w:val="标题 1 Char"/>
    <w:basedOn w:val="a1"/>
    <w:link w:val="1"/>
    <w:uiPriority w:val="99"/>
    <w:rsid w:val="00180952"/>
    <w:rPr>
      <w:b/>
      <w:bCs/>
      <w:kern w:val="44"/>
      <w:sz w:val="44"/>
      <w:szCs w:val="44"/>
    </w:rPr>
  </w:style>
  <w:style w:customStyle="1" w:styleId="Char1" w:type="character">
    <w:name w:val="日期 Char"/>
    <w:basedOn w:val="a1"/>
    <w:link w:val="ac"/>
    <w:rsid w:val="00D66685"/>
    <w:rPr>
      <w:kern w:val="2"/>
      <w:sz w:val="24"/>
    </w:rPr>
  </w:style>
  <w:style w:styleId="af6" w:type="character">
    <w:name w:val="Strong"/>
    <w:basedOn w:val="a1"/>
    <w:uiPriority w:val="22"/>
    <w:qFormat/>
    <w:rsid w:val="00C02900"/>
    <w:rPr>
      <w:b/>
      <w:bCs/>
    </w:rPr>
  </w:style>
  <w:style w:customStyle="1" w:styleId="Char2" w:type="character">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media/image2.jpeg" Type="http://schemas.openxmlformats.org/officeDocument/2006/relationships/image"/>
<Relationship Id="rId16" Target="footer4.xml" Type="http://schemas.openxmlformats.org/officeDocument/2006/relationships/footer"/>
<Relationship Id="rId17" Target="fontTable.xml" Type="http://schemas.openxmlformats.org/officeDocument/2006/relationships/fontTable"/>
<Relationship Id="rId18"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settings.xml.rels><?xml version="1.0" encoding="UTF-8" standalone="yes"?>
<Relationships xmlns="http://schemas.openxmlformats.org/package/2006/relationships">
<Relationship Id="rId1" Target="file:///C:/Users/Administrator/Desktop/abc&#23395;&#25253;.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82FB8-C167-4963-8B27-9929FDC0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254</TotalTime>
  <Pages>27</Pages>
  <Words>4295</Words>
  <Characters>24488</Characters>
  <Application>Microsoft Office Word</Application>
  <DocSecurity>0</DocSecurity>
  <Lines>204</Lines>
  <Paragraphs>57</Paragraphs>
  <ScaleCrop>false</ScaleCrop>
  <Company>TRT. Ltd. Co.</Company>
  <LinksUpToDate>false</LinksUpToDate>
  <CharactersWithSpaces>28726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2014-01-17T06:19:00Z</dcterms:created>
  <dc:creator>bonnieliu</dc:creator>
  <cp:lastModifiedBy>业务系统</cp:lastModifiedBy>
  <cp:lastPrinted>2007-07-19T00:46:00Z</cp:lastPrinted>
  <dcterms:modified xsi:type="dcterms:W3CDTF">2020-03-05T08:23:00Z</dcterms:modified>
  <cp:revision>404</cp:revision>
</cp:coreProperties>
</file>