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交银施罗德裕利纯债债券型证券投资基金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2020年第1季度报告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2020年3月31日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中国建设银行股份有限公司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二〇二〇年四月二十二日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基金托管人中国建设银行股份有限公司根据本基金合同规定，于2020年4月21日复核了本报告中的财务指标、净值表现和投资组合报告等内容，保证复核内容不存在虚假记载、误导性陈述或者重大遗漏。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本报告期自2020年1月1日起至3月31日止。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交银裕利纯债债券</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519786</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2016年11月23日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3,382,782,525.72</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本基金在严格控制风险和保持资产流动性的基础上，通过积极主动的投资管理，力争持续稳定地实现超越业绩比较基准的投资回报。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中债综合全价指数收益率</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本基金是一只债券型基金，其风险与预期收益高于货币市场基金，低于混合型基金和股票型基金，属于证券投资基金中中低风险的品种。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交银裕利纯债债券A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交银裕利纯债债券C</w:t>
            </w:r>
          </w:p>
        </w:tc>
      </w:tr>
      <w:tr w:rsidR="00C23B30" w:rsidRPr="007F52FA" w:rsidTr="009416C9">
        <w:trPr>
          <w:jc w:val="center"/>
        </w:trPr>
        <w:tc>
          <w:tcPr>
            <w:tcW w:type="dxa" w:w="3023"/>
            <w:vAlign w:val="center"/>
          </w:tcPr>
          <w:p w:rsidP="007C14DF" w:rsidR="00C23B30" w:rsidRDefault="007C3DC6">
            <w:pPr>
              <w:adjustRightInd w:val="0"/>
              <w:spacing w:before="29" w:line="288" w:lineRule="auto"/>
              <w:ind w:left="17"/>
              <w:jc w:val="left"/>
              <w:rPr>
                <w:color w:val="000000"/>
                <w:sz w:val="24"/>
              </w:rPr>
            </w:pPr>
            <w:r w:rsidRPr="007F52FA">
              <w:rPr>
                <w:color w:val="000000"/>
                <w:sz w:val="24"/>
              </w:rPr>
              <w:t>下属两级基金的交易代码</w:t>
            </w:r>
          </w:p>
          <w:p w:rsidP="00C01EF2" w:rsidR="00C01EF2" w:rsidRDefault="00C01EF2" w:rsidRPr="007F52FA">
            <w:pPr>
              <w:adjustRightInd w:val="0"/>
              <w:spacing w:before="29" w:line="288" w:lineRule="auto"/>
              <w:ind w:left="17"/>
              <w:jc w:val="left"/>
              <w:rPr>
                <w:color w:val="000000"/>
                <w:sz w:val="24"/>
              </w:rPr>
            </w:pPr>
            <w:r w:rsidRPr="007F52FA">
              <w:rPr>
                <w:color w:themeColor="text1" w:val="000000"/>
                <w:sz w:val="24"/>
              </w:rPr>
              <w:t/>
            </w:r>
            <w:r w:rsidRPr="000E4C40">
              <w:rPr>
                <w:color w:val="000000"/>
                <w:kern w:val="0"/>
                <w:sz w:val="24"/>
              </w:rPr>
              <w:t/>
            </w:r>
            <w:r>
              <w:rPr>
                <w:rFonts w:hint="eastAsia"/>
                <w:color w:val="000000"/>
                <w:kern w:val="0"/>
                <w:sz w:val="24"/>
              </w:rPr>
              <w:t/>
            </w:r>
            <w:r w:rsidRPr="000E4C40">
              <w:rPr>
                <w:sz w:val="24"/>
              </w:rPr>
              <w:t/>
            </w:r>
          </w:p>
        </w:tc>
        <w:tc>
          <w:tcPr>
            <w:tcW w:type="dxa" w:w="2922"/>
            <w:vAlign w:val="center"/>
          </w:tcPr>
          <w:p w:rsidP="007F50FB" w:rsidR="00C23B30" w:rsidRDefault="00C23B30"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519786</w:t>
            </w:r>
          </w:p>
        </w:tc>
        <w:tc>
          <w:tcPr>
            <w:tcW w:type="dxa" w:w="3048"/>
            <w:vAlign w:val="center"/>
          </w:tcPr>
          <w:p w:rsidP="00A52A9E" w:rsidR="00C23B30" w:rsidRDefault="00261F47" w:rsidRPr="000E4C40">
            <w:pPr>
              <w:spacing w:before="29" w:line="288" w:lineRule="auto"/>
              <w:jc w:val="left"/>
              <w:rPr>
                <w:sz w:val="24"/>
              </w:rPr>
            </w:pPr>
            <w:r w:rsidRPr="007F52FA">
              <w:rPr>
                <w:color w:themeColor="text1" w:val="000000"/>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519787</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w:t>
            </w:r>
            <w:r w:rsidRPr="007F52FA">
              <w:rPr>
                <w:color w:val="000000"/>
                <w:sz w:val="24"/>
              </w:rPr>
              <w:lastRenderedPageBreak/>
              <w:t>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3,382,768,485.29</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14,040.43</w:t>
            </w:r>
            <w:r w:rsidRPr="007F52FA">
              <w:rPr>
                <w:color w:val="000000"/>
                <w:kern w:val="0"/>
                <w:sz w:val="24"/>
              </w:rPr>
              <w:t>份</w:t>
            </w:r>
          </w:p>
        </w:tc>
      </w:tr>
    </w:tbl>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(2020年1月1日-2020年3月31日)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交银裕利纯债债券A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交银裕利纯债债券C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32,423,453.43</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182.76</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51,246,690.21</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316.86</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0.0151</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0.0154</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3,641,964,153.90</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15,944.74</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1.0766</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1.1356</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注：1、上述基金业绩指标不包括持有人认购或交易基金的各项费用，计入费用后的实际收益水平要低于所列数字；</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交银裕利纯债债券A</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1.42%</w:t>
            </w:r>
          </w:p>
        </w:tc>
        <w:tc>
          <w:tcPr>
            <w:vAlign w:val="center"/>
          </w:tcPr>
          <w:p>
            <w:pPr>
              <w:jc w:val="center"/>
            </w:pPr>
            <w:r>
              <w:rPr>
                <w:color w:val="000000"/>
                <w:sz w:val="24"/>
              </w:rPr>
              <w:t>0.03%</w:t>
            </w:r>
          </w:p>
        </w:tc>
        <w:tc>
          <w:tcPr>
            <w:vAlign w:val="center"/>
          </w:tcPr>
          <w:p>
            <w:pPr>
              <w:jc w:val="center"/>
            </w:pPr>
            <w:r>
              <w:rPr>
                <w:color w:val="000000"/>
                <w:sz w:val="24"/>
              </w:rPr>
              <w:t>1.85%</w:t>
            </w:r>
          </w:p>
        </w:tc>
        <w:tc>
          <w:tcPr>
            <w:vAlign w:val="center"/>
          </w:tcPr>
          <w:p>
            <w:pPr>
              <w:jc w:val="center"/>
            </w:pPr>
            <w:r>
              <w:rPr>
                <w:color w:val="000000"/>
                <w:sz w:val="24"/>
              </w:rPr>
              <w:t>0.10%</w:t>
            </w:r>
          </w:p>
        </w:tc>
        <w:tc>
          <w:tcPr>
            <w:vAlign w:val="center"/>
          </w:tcPr>
          <w:p>
            <w:pPr>
              <w:jc w:val="center"/>
            </w:pPr>
            <w:r>
              <w:rPr>
                <w:color w:val="000000"/>
                <w:sz w:val="24"/>
              </w:rPr>
              <w:t>-0.43%</w:t>
            </w:r>
          </w:p>
        </w:tc>
        <w:tc>
          <w:tcPr>
            <w:vAlign w:val="center"/>
          </w:tcPr>
          <w:p>
            <w:pPr>
              <w:jc w:val="center"/>
            </w:pPr>
            <w:r>
              <w:rPr>
                <w:color w:val="000000"/>
                <w:sz w:val="24"/>
              </w:rPr>
              <w:t>-0.07%</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交银裕利纯债债券C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1.32%</w:t>
            </w:r>
          </w:p>
        </w:tc>
        <w:tc>
          <w:tcPr>
            <w:vAlign w:val="center"/>
          </w:tcPr>
          <w:p>
            <w:pPr>
              <w:jc w:val="center"/>
            </w:pPr>
            <w:r>
              <w:rPr>
                <w:color w:val="000000"/>
                <w:sz w:val="24"/>
              </w:rPr>
              <w:t>0.03%</w:t>
            </w:r>
          </w:p>
        </w:tc>
        <w:tc>
          <w:tcPr>
            <w:vAlign w:val="center"/>
          </w:tcPr>
          <w:p>
            <w:pPr>
              <w:jc w:val="center"/>
            </w:pPr>
            <w:r>
              <w:rPr>
                <w:color w:val="000000"/>
                <w:sz w:val="24"/>
              </w:rPr>
              <w:t>1.85%</w:t>
            </w:r>
          </w:p>
        </w:tc>
        <w:tc>
          <w:tcPr>
            <w:vAlign w:val="center"/>
          </w:tcPr>
          <w:p>
            <w:pPr>
              <w:jc w:val="center"/>
            </w:pPr>
            <w:r>
              <w:rPr>
                <w:color w:val="000000"/>
                <w:sz w:val="24"/>
              </w:rPr>
              <w:t>0.10%</w:t>
            </w:r>
          </w:p>
        </w:tc>
        <w:tc>
          <w:tcPr>
            <w:vAlign w:val="center"/>
          </w:tcPr>
          <w:p>
            <w:pPr>
              <w:jc w:val="center"/>
            </w:pPr>
            <w:r>
              <w:rPr>
                <w:color w:val="000000"/>
                <w:sz w:val="24"/>
              </w:rPr>
              <w:t>-0.53%</w:t>
            </w:r>
          </w:p>
        </w:tc>
        <w:tc>
          <w:tcPr>
            <w:vAlign w:val="center"/>
          </w:tcPr>
          <w:p>
            <w:pPr>
              <w:jc w:val="center"/>
            </w:pPr>
            <w:r>
              <w:rPr>
                <w:color w:val="000000"/>
                <w:sz w:val="24"/>
              </w:rPr>
              <w:t>-0.07%</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交银施罗德裕利纯债债券型证券投资基金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2016年11月23日</w:t>
      </w:r>
      <w:r w:rsidR="009A045B" w:rsidRPr="007F52FA">
        <w:rPr>
          <w:rFonts w:ascii="Times New Roman" w:hAnsi="Times New Roman"/>
          <w:sz w:val="24"/>
          <w:szCs w:val="24"/>
        </w:rPr>
        <w:t>至</w:t>
      </w:r>
      <w:r w:rsidRPr="007F52FA">
        <w:rPr>
          <w:rFonts w:ascii="Times New Roman" w:hAnsi="Times New Roman"/>
          <w:sz w:val="24"/>
          <w:szCs w:val="24"/>
        </w:rPr>
        <w:t>2020年3月31日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交银裕利纯债债券A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交银裕利纯债债券C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连端清</w:t>
            </w:r>
          </w:p>
        </w:tc>
        <w:tc>
          <w:tcPr>
            <w:vAlign w:val="center"/>
          </w:tcPr>
          <w:p>
            <w:pPr>
              <w:jc w:val="center"/>
            </w:pPr>
            <w:r>
              <w:rPr>
                <w:color w:val="000000"/>
                <w:sz w:val="24"/>
              </w:rPr>
              <w:t>交银理财60天债券、交银丰盈收益债券、交银丰润收益债券、交银活期通货币、交银裕盈纯债债券、交银裕利纯债债券的基金经理</w:t>
            </w:r>
          </w:p>
        </w:tc>
        <w:tc>
          <w:tcPr>
            <w:vAlign w:val="center"/>
          </w:tcPr>
          <w:p>
            <w:pPr>
              <w:jc w:val="center"/>
            </w:pPr>
            <w:r>
              <w:rPr>
                <w:color w:val="000000"/>
                <w:sz w:val="24"/>
              </w:rPr>
              <w:t>2017-03-31</w:t>
            </w:r>
          </w:p>
        </w:tc>
        <w:tc>
          <w:tcPr>
            <w:vAlign w:val="center"/>
          </w:tcPr>
          <w:p>
            <w:pPr>
              <w:jc w:val="center"/>
            </w:pPr>
            <w:r>
              <w:rPr>
                <w:color w:val="000000"/>
                <w:sz w:val="24"/>
              </w:rPr>
              <w:t>-</w:t>
            </w:r>
          </w:p>
        </w:tc>
        <w:tc>
          <w:tcPr>
            <w:vAlign w:val="center"/>
          </w:tcPr>
          <w:p>
            <w:pPr>
              <w:jc w:val="center"/>
            </w:pPr>
            <w:r>
              <w:rPr>
                <w:color w:val="000000"/>
                <w:sz w:val="24"/>
              </w:rPr>
              <w:t>7年</w:t>
            </w:r>
          </w:p>
        </w:tc>
        <w:tc>
          <w:tcPr>
            <w:vAlign w:val="center"/>
          </w:tcPr>
          <w:p>
            <w:pPr>
              <w:jc w:val="both"/>
            </w:pPr>
            <w:r>
              <w:rPr>
                <w:color w:val="000000"/>
                <w:sz w:val="24"/>
              </w:rPr>
              <w:t>连端清先生，复旦大学经济学博士。历任交通银行总行金融市场部、湘财证券研究所研究员、中航信托资产管理部投资经理。2015年加入交银施罗德基金管理有限公司。2017年3月31日至2018年8月23日担任交银施罗德裕兴纯债债券型证券投资基金的基金经理。2015年8月4日至2019年8月2日担任交银施罗德现金宝货币市场基金的基金经理。2015年10月16日至2019年8月2日担任交银施罗德货币市场证券投资基金的基金经理。2016年12月7日至2019年8月2日担任交银施罗德天鑫宝货币市场基金的基金经理。2017年12月29日至2019年8月2日担任交银施罗德天运宝货币市场基金的基金经理。2016年10月19日至2019年9月29日担任交银施罗德天利宝货币市场基金的基金经理。2016年11月28日至2019年9月29日担任交银施罗德裕隆纯债债券型证券投资基金的基金经理。2016年12月20日至2019年9月29日担任交银施罗德天益宝货币市场基金的基金经理。2017年3月3日至2019年9月29日担任交银施罗德境尚收益债券型证券投资基金的基金经理。</w:t>
            </w:r>
          </w:p>
        </w:tc>
      </w:tr>
    </w:tbl>
    <w:p>
      <w:pPr>
        <w:autoSpaceDE w:val="0"/>
        <w:autoSpaceDN w:val="0"/>
        <w:adjustRightInd w:val="0"/>
        <w:spacing w:before="29" w:line="288" w:lineRule="auto"/>
        <w:jc w:val="left"/>
        <w:rPr>
          <w:color w:val="000000"/>
          <w:sz w:val="24"/>
        </w:rPr>
      </w:pPr>
      <w:r>
        <w:rPr>
          <w:color w:val="000000"/>
          <w:sz w:val="24"/>
        </w:rPr>
        <w:t>注：1、本表所列基金经理（助理）任职日期和离职日期均以基金合同生效日或公司作出决定并公告(如适用)之日为准；</w:t>
      </w:r>
    </w:p>
    <w:p>
      <w:pPr>
        <w:autoSpaceDE w:val="0"/>
        <w:autoSpaceDN w:val="0"/>
        <w:adjustRightInd w:val="0"/>
        <w:spacing w:before="29" w:line="288" w:lineRule="auto"/>
        <w:jc w:val="left"/>
        <w:rPr>
          <w:color w:val="000000"/>
          <w:sz w:val="24"/>
        </w:rPr>
      </w:pPr>
      <w:r>
        <w:rPr>
          <w:color w:val="000000"/>
          <w:sz w:val="24"/>
        </w:rPr>
        <w:t xml:space="preserve">2、本表所列基金经理（助理）证券从业年限中的“证券从业”的含义遵从中国证券业协会《证券业从业人员资格管理办法》的相关规定； </w:t>
      </w:r>
    </w:p>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3、基金经理（或基金经理小组）期后变动（如有）敬请关注基金管理人发布的相关公告。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2020年一季度，突如其来的新冠疫情改变了世界，抗击疫情成了海内外最大的基本面。新冠病毒的快速传播完全打乱世界各国的正常活动。一月下旬新冠病毒在武汉爆发，我国迅速进入抗击疫情模式，经济活动基本处于冰封状态。二月中下旬，我国疫情防控形势逐步好转，复工复产逐渐开启。但是，此时新冠病毒在海外开始大规模传播，韩国、伊朗、意大利与西班牙等国家纷纷沦陷。随着感染人数大幅上升，这些国家也被迫按下了社会经济活动暂停键。疫情冲击导致我国经济大幅下行，一至二月社会消费品零售总额同比下降20.5%，FAI同比下降24.5%，出口同比下降17.2%。</w:t>
      </w:r>
    </w:p>
    <w:p>
      <w:pPr>
        <w:spacing w:before="29" w:line="288" w:lineRule="auto"/>
        <w:ind w:firstLine="480" w:firstLineChars="200"/>
        <w:rPr>
          <w:color w:val="000000"/>
          <w:sz w:val="24"/>
        </w:rPr>
      </w:pPr>
      <w:r>
        <w:rPr>
          <w:color w:val="000000"/>
          <w:sz w:val="24"/>
        </w:rPr>
        <w:t>货币政策与财政政策宽松力度均加大，以应对疫情造成的经济冲击。货币政策方面，2020年2月3日央行在公开市场上投放7天与14天逆回购，并且下调7天与14天逆回购操作利率10个BP；2020年3月16日，央行实施定向降准0.5至1个百分点，释放长期资金5500亿；三月下旬央行加大了公开市场降息幅度，2020年3月30日再次调降7天逆回购操作20个BP；同时通过专项再贷款等政策工具以及政策性银行支持实体企业。财政政策方面，财政部实施减税降费、财政贴息、缓缴税款等措施。三月，欧美等疫情严重的国家大规模实施超宽松的货币与财政政策，美联储两次大幅降息，将利率降至零附近，并且推出无限量化宽松政策。</w:t>
      </w:r>
    </w:p>
    <w:p>
      <w:pPr>
        <w:spacing w:before="29" w:line="288" w:lineRule="auto"/>
        <w:ind w:firstLine="480" w:firstLineChars="200"/>
        <w:rPr>
          <w:color w:val="000000"/>
          <w:sz w:val="24"/>
        </w:rPr>
      </w:pPr>
      <w:r>
        <w:rPr>
          <w:color w:val="000000"/>
          <w:sz w:val="24"/>
        </w:rPr>
        <w:t>资金面上，二月以来货币市场资金面非常宽松，存单等货币品种收益率降至历史低位；三个月股份制银行存单收益率三月末较去年底下降110个BP以上。由于疫情冲击导致的货币宽松及经济大幅下滑，一季度债券市场大幅上涨，三月末十年期国开债YTM较去年底下降60个BP以上。</w:t>
      </w:r>
    </w:p>
    <w:p>
      <w:pPr>
        <w:spacing w:before="29" w:line="288" w:lineRule="auto"/>
        <w:ind w:firstLine="480" w:firstLineChars="200"/>
        <w:rPr>
          <w:color w:val="000000"/>
          <w:sz w:val="24"/>
        </w:rPr>
      </w:pPr>
      <w:r>
        <w:rPr>
          <w:color w:val="000000"/>
          <w:sz w:val="24"/>
        </w:rPr>
        <w:t>基金操作方面，报告期内本基金把握市场走势，择机调整组合杠杆与持仓债券，管控信用风险，为持有人创造稳健的回报。</w:t>
      </w:r>
    </w:p>
    <w:p w:rsidP="007C14DF" w:rsidR="00952A72" w:rsidRDefault="00323F25" w:rsidRPr="007F52FA">
      <w:pPr>
        <w:spacing w:before="29" w:line="288" w:lineRule="auto"/>
        <w:ind w:firstLine="480" w:firstLineChars="200"/>
        <w:rPr>
          <w:color w:val="000000"/>
          <w:sz w:val="24"/>
        </w:rPr>
      </w:pPr>
      <w:r w:rsidRPr="007F52FA">
        <w:rPr>
          <w:color w:val="000000"/>
          <w:sz w:val="24"/>
        </w:rPr>
        <w:t>展望2020年二季度，尽管国内疫情防控已取得初步胜利，而且随着复工复产的深入，国内经济在逐步修复中；但是，二季度国内经济形势仍不容乐观，经济修复压力可能较大。海外疫情可能将持续一段时间，欧美的经济下滑幅度可能较大，我国外贸与企业供应链将经历严峻考验，预计短期内央行货币政策将保持宽松。我们将密切关注全球主要国家疫情防控的进展，及其对金融市场与实体经济的冲击。组合管理方面，本基金将紧密跟踪研判宏观经济走势与央行货币政策操作，管控风险，积极跟踪把握市场机会，努力为投资者创造稳健的回报。</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本基金本报告期内曾连续二十个工作日以上出现基金份额持有人数量不满200人的情形，截至本报告期末，本基金基金份额持有人数量已高于200人。</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3,612,998,000.00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98.45</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3,530,506,000.00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96.20</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82,492,000.00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2.25</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977,430.50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0.03</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55,833,562.00</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1.52</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3,669,808,992.50</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1,643,189,000.00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45.12</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515,054,000.00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14.14</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195,453,000.00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5.37</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270,861,000.00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7.44</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1,421,003,000.00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39.02</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3,530,506,000.00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96.94</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110207</w:t>
            </w:r>
          </w:p>
        </w:tc>
        <w:tc>
          <w:tcPr>
            <w:vAlign w:val="center"/>
          </w:tcPr>
          <w:p>
            <w:pPr>
              <w:jc w:val="center"/>
            </w:pPr>
            <w:r>
              <w:rPr>
                <w:color w:val="000000"/>
                <w:sz w:val="24"/>
              </w:rPr>
              <w:t>11国开07</w:t>
            </w:r>
          </w:p>
        </w:tc>
        <w:tc>
          <w:tcPr>
            <w:vAlign w:val="center"/>
          </w:tcPr>
          <w:p>
            <w:pPr>
              <w:jc w:val="right"/>
            </w:pPr>
            <w:r>
              <w:rPr>
                <w:color w:val="000000"/>
                <w:sz w:val="24"/>
              </w:rPr>
              <w:t>4,000,000</w:t>
            </w:r>
          </w:p>
        </w:tc>
        <w:tc>
          <w:tcPr>
            <w:vAlign w:val="center"/>
          </w:tcPr>
          <w:p>
            <w:pPr>
              <w:jc w:val="right"/>
            </w:pPr>
            <w:r>
              <w:rPr>
                <w:color w:val="000000"/>
                <w:sz w:val="24"/>
              </w:rPr>
              <w:t>401,640,000.00</w:t>
            </w:r>
          </w:p>
        </w:tc>
        <w:tc>
          <w:tcPr>
            <w:vAlign w:val="center"/>
          </w:tcPr>
          <w:p>
            <w:pPr>
              <w:jc w:val="right"/>
            </w:pPr>
            <w:r>
              <w:rPr>
                <w:color w:val="000000"/>
                <w:sz w:val="24"/>
              </w:rPr>
              <w:t>11.03</w:t>
            </w:r>
          </w:p>
        </w:tc>
      </w:tr>
      <w:tr>
        <w:tc>
          <w:tcPr>
            <w:vAlign w:val="center"/>
          </w:tcPr>
          <w:p>
            <w:pPr>
              <w:jc w:val="center"/>
            </w:pPr>
            <w:r>
              <w:rPr>
                <w:color w:val="000000"/>
                <w:sz w:val="24"/>
              </w:rPr>
              <w:t>2</w:t>
            </w:r>
          </w:p>
        </w:tc>
        <w:tc>
          <w:tcPr>
            <w:vAlign w:val="center"/>
          </w:tcPr>
          <w:p>
            <w:pPr>
              <w:jc w:val="center"/>
            </w:pPr>
            <w:r>
              <w:rPr>
                <w:color w:val="000000"/>
                <w:sz w:val="24"/>
              </w:rPr>
              <w:t>091701002</w:t>
            </w:r>
          </w:p>
        </w:tc>
        <w:tc>
          <w:tcPr>
            <w:vAlign w:val="center"/>
          </w:tcPr>
          <w:p>
            <w:pPr>
              <w:jc w:val="center"/>
            </w:pPr>
            <w:r>
              <w:rPr>
                <w:color w:val="000000"/>
                <w:sz w:val="24"/>
              </w:rPr>
              <w:t>17中国信达债02</w:t>
            </w:r>
          </w:p>
        </w:tc>
        <w:tc>
          <w:tcPr>
            <w:vAlign w:val="center"/>
          </w:tcPr>
          <w:p>
            <w:pPr>
              <w:jc w:val="right"/>
            </w:pPr>
            <w:r>
              <w:rPr>
                <w:color w:val="000000"/>
                <w:sz w:val="24"/>
              </w:rPr>
              <w:t>3,000,000</w:t>
            </w:r>
          </w:p>
        </w:tc>
        <w:tc>
          <w:tcPr>
            <w:vAlign w:val="center"/>
          </w:tcPr>
          <w:p>
            <w:pPr>
              <w:jc w:val="right"/>
            </w:pPr>
            <w:r>
              <w:rPr>
                <w:color w:val="000000"/>
                <w:sz w:val="24"/>
              </w:rPr>
              <w:t>312,240,000.00</w:t>
            </w:r>
          </w:p>
        </w:tc>
        <w:tc>
          <w:tcPr>
            <w:vAlign w:val="center"/>
          </w:tcPr>
          <w:p>
            <w:pPr>
              <w:jc w:val="right"/>
            </w:pPr>
            <w:r>
              <w:rPr>
                <w:color w:val="000000"/>
                <w:sz w:val="24"/>
              </w:rPr>
              <w:t>8.57</w:t>
            </w:r>
          </w:p>
        </w:tc>
      </w:tr>
      <w:tr>
        <w:tc>
          <w:tcPr>
            <w:vAlign w:val="center"/>
          </w:tcPr>
          <w:p>
            <w:pPr>
              <w:jc w:val="center"/>
            </w:pPr>
            <w:r>
              <w:rPr>
                <w:color w:val="000000"/>
                <w:sz w:val="24"/>
              </w:rPr>
              <w:t>3</w:t>
            </w:r>
          </w:p>
        </w:tc>
        <w:tc>
          <w:tcPr>
            <w:vAlign w:val="center"/>
          </w:tcPr>
          <w:p>
            <w:pPr>
              <w:jc w:val="center"/>
            </w:pPr>
            <w:r>
              <w:rPr>
                <w:color w:val="000000"/>
                <w:sz w:val="24"/>
              </w:rPr>
              <w:t>1728015</w:t>
            </w:r>
          </w:p>
        </w:tc>
        <w:tc>
          <w:tcPr>
            <w:vAlign w:val="center"/>
          </w:tcPr>
          <w:p>
            <w:pPr>
              <w:jc w:val="center"/>
            </w:pPr>
            <w:r>
              <w:rPr>
                <w:color w:val="000000"/>
                <w:sz w:val="24"/>
              </w:rPr>
              <w:t>17招商银行02</w:t>
            </w:r>
          </w:p>
        </w:tc>
        <w:tc>
          <w:tcPr>
            <w:vAlign w:val="center"/>
          </w:tcPr>
          <w:p>
            <w:pPr>
              <w:jc w:val="right"/>
            </w:pPr>
            <w:r>
              <w:rPr>
                <w:color w:val="000000"/>
                <w:sz w:val="24"/>
              </w:rPr>
              <w:t>3,000,000</w:t>
            </w:r>
          </w:p>
        </w:tc>
        <w:tc>
          <w:tcPr>
            <w:vAlign w:val="center"/>
          </w:tcPr>
          <w:p>
            <w:pPr>
              <w:jc w:val="right"/>
            </w:pPr>
            <w:r>
              <w:rPr>
                <w:color w:val="000000"/>
                <w:sz w:val="24"/>
              </w:rPr>
              <w:t>304,560,000.00</w:t>
            </w:r>
          </w:p>
        </w:tc>
        <w:tc>
          <w:tcPr>
            <w:vAlign w:val="center"/>
          </w:tcPr>
          <w:p>
            <w:pPr>
              <w:jc w:val="right"/>
            </w:pPr>
            <w:r>
              <w:rPr>
                <w:color w:val="000000"/>
                <w:sz w:val="24"/>
              </w:rPr>
              <w:t>8.36</w:t>
            </w:r>
          </w:p>
        </w:tc>
      </w:tr>
      <w:tr>
        <w:tc>
          <w:tcPr>
            <w:vAlign w:val="center"/>
          </w:tcPr>
          <w:p>
            <w:pPr>
              <w:jc w:val="center"/>
            </w:pPr>
            <w:r>
              <w:rPr>
                <w:color w:val="000000"/>
                <w:sz w:val="24"/>
              </w:rPr>
              <w:t>4</w:t>
            </w:r>
          </w:p>
        </w:tc>
        <w:tc>
          <w:tcPr>
            <w:vAlign w:val="center"/>
          </w:tcPr>
          <w:p>
            <w:pPr>
              <w:jc w:val="center"/>
            </w:pPr>
            <w:r>
              <w:rPr>
                <w:color w:val="000000"/>
                <w:sz w:val="24"/>
              </w:rPr>
              <w:t>101652017</w:t>
            </w:r>
          </w:p>
        </w:tc>
        <w:tc>
          <w:tcPr>
            <w:vAlign w:val="center"/>
          </w:tcPr>
          <w:p>
            <w:pPr>
              <w:jc w:val="center"/>
            </w:pPr>
            <w:r>
              <w:rPr>
                <w:color w:val="000000"/>
                <w:sz w:val="24"/>
              </w:rPr>
              <w:t>16首旅MTN001</w:t>
            </w:r>
          </w:p>
        </w:tc>
        <w:tc>
          <w:tcPr>
            <w:vAlign w:val="center"/>
          </w:tcPr>
          <w:p>
            <w:pPr>
              <w:jc w:val="right"/>
            </w:pPr>
            <w:r>
              <w:rPr>
                <w:color w:val="000000"/>
                <w:sz w:val="24"/>
              </w:rPr>
              <w:t>2,400,000</w:t>
            </w:r>
          </w:p>
        </w:tc>
        <w:tc>
          <w:tcPr>
            <w:vAlign w:val="center"/>
          </w:tcPr>
          <w:p>
            <w:pPr>
              <w:jc w:val="right"/>
            </w:pPr>
            <w:r>
              <w:rPr>
                <w:color w:val="000000"/>
                <w:sz w:val="24"/>
              </w:rPr>
              <w:t>244,392,000.00</w:t>
            </w:r>
          </w:p>
        </w:tc>
        <w:tc>
          <w:tcPr>
            <w:vAlign w:val="center"/>
          </w:tcPr>
          <w:p>
            <w:pPr>
              <w:jc w:val="right"/>
            </w:pPr>
            <w:r>
              <w:rPr>
                <w:color w:val="000000"/>
                <w:sz w:val="24"/>
              </w:rPr>
              <w:t>6.71</w:t>
            </w:r>
          </w:p>
        </w:tc>
      </w:tr>
      <w:tr>
        <w:tc>
          <w:tcPr>
            <w:vAlign w:val="center"/>
          </w:tcPr>
          <w:p>
            <w:pPr>
              <w:jc w:val="center"/>
            </w:pPr>
            <w:r>
              <w:rPr>
                <w:color w:val="000000"/>
                <w:sz w:val="24"/>
              </w:rPr>
              <w:t>5</w:t>
            </w:r>
          </w:p>
        </w:tc>
        <w:tc>
          <w:tcPr>
            <w:vAlign w:val="center"/>
          </w:tcPr>
          <w:p>
            <w:pPr>
              <w:jc w:val="center"/>
            </w:pPr>
            <w:r>
              <w:rPr>
                <w:color w:val="000000"/>
                <w:sz w:val="24"/>
              </w:rPr>
              <w:t>101553028</w:t>
            </w:r>
          </w:p>
        </w:tc>
        <w:tc>
          <w:tcPr>
            <w:vAlign w:val="center"/>
          </w:tcPr>
          <w:p>
            <w:pPr>
              <w:jc w:val="center"/>
            </w:pPr>
            <w:r>
              <w:rPr>
                <w:color w:val="000000"/>
                <w:sz w:val="24"/>
              </w:rPr>
              <w:t>15川发展MTN002</w:t>
            </w:r>
          </w:p>
        </w:tc>
        <w:tc>
          <w:tcPr>
            <w:vAlign w:val="center"/>
          </w:tcPr>
          <w:p>
            <w:pPr>
              <w:jc w:val="right"/>
            </w:pPr>
            <w:r>
              <w:rPr>
                <w:color w:val="000000"/>
                <w:sz w:val="24"/>
              </w:rPr>
              <w:t>2,100,000</w:t>
            </w:r>
          </w:p>
        </w:tc>
        <w:tc>
          <w:tcPr>
            <w:vAlign w:val="center"/>
          </w:tcPr>
          <w:p>
            <w:pPr>
              <w:jc w:val="right"/>
            </w:pPr>
            <w:r>
              <w:rPr>
                <w:color w:val="000000"/>
                <w:sz w:val="24"/>
              </w:rPr>
              <w:t>212,961,000.00</w:t>
            </w:r>
          </w:p>
        </w:tc>
        <w:tc>
          <w:tcPr>
            <w:vAlign w:val="center"/>
          </w:tcPr>
          <w:p>
            <w:pPr>
              <w:jc w:val="right"/>
            </w:pPr>
            <w:r>
              <w:rPr>
                <w:color w:val="000000"/>
                <w:sz w:val="24"/>
              </w:rPr>
              <w:t>5.85</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085115" w:rsidR="00085115" w:rsidRDefault="00085115" w:rsidRPr="00085115">
      <w:pPr>
        <w:autoSpaceDE w:val="0"/>
        <w:autoSpaceDN w:val="0"/>
        <w:adjustRightInd w:val="0"/>
        <w:spacing w:before="29" w:line="288" w:lineRule="auto"/>
        <w:jc w:val="right"/>
        <w:rPr>
          <w:color w:val="000000"/>
          <w:kern w:val="0"/>
          <w:sz w:val="24"/>
        </w:rPr>
      </w:pPr>
      <w:r w:rsidRPr="00085115">
        <w:rPr>
          <w:rFonts w:hint="eastAsia"/>
          <w:color w:val="000000"/>
          <w:kern w:val="0"/>
          <w:sz w:val="24"/>
        </w:rPr>
        <w:t/>
      </w:r>
      <w:r w:rsidRPr="00085115">
        <w:rPr>
          <w:rFonts w:hint="eastAsia"/>
          <w:color w:val="000000"/>
          <w:kern w:val="0"/>
          <w:sz w:val="24"/>
        </w:rPr>
        <w:t>金额单位：人民币元</w:t>
      </w:r>
    </w:p>
    <w:tbl>
      <w:tblPr>
        <w:tblStyle w:val="af2"/>
        <w:tblW w:type="dxa" w:w="8868"/>
        <w:jc w:val="center"/>
        <w:tblCellMar>
          <w:top w:type="dxa" w:w="57"/>
          <w:bottom w:type="dxa" w:w="57"/>
        </w:tblCellMar>
        <w:tblLook w:firstColumn="1" w:firstRow="1" w:lastColumn="0" w:lastRow="0" w:noHBand="0" w:noVBand="1" w:val="04A0"/>
      </w:tblPr>
      <w:tblGrid>
        <w:gridCol w:w="1491"/>
        <w:gridCol w:w="1491"/>
        <w:gridCol w:w="1491"/>
        <w:gridCol w:w="1599"/>
        <w:gridCol w:w="1599"/>
        <w:gridCol w:w="1571"/>
      </w:tblGrid>
      <w:tr w:rsidR="009A0513" w:rsidRPr="007F52FA" w:rsidTr="00B236A5">
        <w:trPr>
          <w:jc w:val="center"/>
        </w:trPr>
        <w:tc>
          <w:tcPr>
            <w:tcW w:type="dxa" w:w="1504"/>
            <w:vAlign w:val="center"/>
          </w:tcPr>
          <w:p w:rsidP="007C14DF" w:rsidR="009A0513" w:rsidRDefault="009A0513"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04"/>
            <w:vAlign w:val="center"/>
          </w:tcPr>
          <w:p w:rsidP="007C14DF" w:rsidR="009A0513" w:rsidRDefault="009A0513"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type="dxa" w:w="1504"/>
            <w:vAlign w:val="center"/>
          </w:tcPr>
          <w:p w:rsidP="007C14DF" w:rsidR="009A0513" w:rsidRDefault="009A0513"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type="dxa" w:w="1503"/>
            <w:vAlign w:val="center"/>
          </w:tcPr>
          <w:p w:rsidP="005324E6" w:rsidR="009A0513" w:rsidRDefault="009A0513"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1315E1">
              <w:rPr>
                <w:rFonts w:hint="eastAsia"/>
                <w:color w:val="000000"/>
                <w:kern w:val="0"/>
                <w:sz w:val="24"/>
              </w:rPr>
              <w:t>(</w:t>
            </w:r>
            <w:r w:rsidR="001315E1">
              <w:rPr>
                <w:rFonts w:hint="eastAsia"/>
                <w:color w:val="000000"/>
                <w:kern w:val="0"/>
                <w:sz w:val="24"/>
              </w:rPr>
              <w:t>份</w:t>
            </w:r>
            <w:r w:rsidR="001315E1">
              <w:rPr>
                <w:rFonts w:hint="eastAsia"/>
                <w:color w:val="000000"/>
                <w:kern w:val="0"/>
                <w:sz w:val="24"/>
              </w:rPr>
              <w:t>)</w:t>
            </w:r>
          </w:p>
        </w:tc>
        <w:tc>
          <w:tcPr>
            <w:tcW w:type="dxa" w:w="1503"/>
            <w:vAlign w:val="center"/>
          </w:tcPr>
          <w:p w:rsidP="00430A5C" w:rsidR="009A0513" w:rsidRDefault="009A0513"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430A5C">
              <w:rPr>
                <w:rFonts w:hint="eastAsia"/>
                <w:color w:val="000000"/>
                <w:kern w:val="0"/>
                <w:sz w:val="24"/>
              </w:rPr>
              <w:t>(</w:t>
            </w:r>
            <w:r w:rsidR="00430A5C">
              <w:rPr>
                <w:rFonts w:hint="eastAsia"/>
                <w:color w:val="000000"/>
                <w:kern w:val="0"/>
                <w:sz w:val="24"/>
              </w:rPr>
              <w:t>元</w:t>
            </w:r>
            <w:r w:rsidR="00430A5C">
              <w:rPr>
                <w:color w:val="000000"/>
                <w:kern w:val="0"/>
                <w:sz w:val="24"/>
              </w:rPr>
              <w:t>)</w:t>
            </w:r>
          </w:p>
        </w:tc>
        <w:tc>
          <w:tcPr>
            <w:tcW w:type="dxa" w:w="1503"/>
            <w:vAlign w:val="center"/>
          </w:tcPr>
          <w:p w:rsidP="007C14DF" w:rsidR="009A0513" w:rsidRDefault="009A0513"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87122">
              <w:rPr>
                <w:rFonts w:hint="eastAsia"/>
                <w:color w:val="000000"/>
                <w:kern w:val="0"/>
                <w:sz w:val="24"/>
              </w:rPr>
              <w:t>(</w:t>
            </w:r>
            <w:r w:rsidR="00187122">
              <w:rPr>
                <w:color w:val="000000"/>
                <w:kern w:val="0"/>
                <w:sz w:val="24"/>
              </w:rPr>
              <w:t>%</w:t>
            </w:r>
            <w:r w:rsidR="00187122">
              <w:rPr>
                <w:rFonts w:hint="eastAsia"/>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1889203</w:t>
            </w:r>
          </w:p>
        </w:tc>
        <w:tc>
          <w:tcPr>
            <w:vAlign w:val="center"/>
          </w:tcPr>
          <w:p>
            <w:pPr>
              <w:jc w:val="center"/>
            </w:pPr>
            <w:r>
              <w:rPr>
                <w:color w:val="000000"/>
                <w:sz w:val="24"/>
              </w:rPr>
              <w:t>18工元9A1</w:t>
            </w:r>
          </w:p>
        </w:tc>
        <w:tc>
          <w:tcPr>
            <w:vAlign w:val="center"/>
          </w:tcPr>
          <w:p>
            <w:pPr>
              <w:jc w:val="right"/>
            </w:pPr>
            <w:r>
              <w:rPr>
                <w:color w:val="000000"/>
                <w:sz w:val="24"/>
              </w:rPr>
              <w:t>2,400,000</w:t>
            </w:r>
          </w:p>
        </w:tc>
        <w:tc>
          <w:tcPr>
            <w:vAlign w:val="center"/>
          </w:tcPr>
          <w:p>
            <w:pPr>
              <w:jc w:val="right"/>
            </w:pPr>
            <w:r>
              <w:rPr>
                <w:color w:val="000000"/>
                <w:sz w:val="24"/>
              </w:rPr>
              <w:t>72,672,000.00</w:t>
            </w:r>
          </w:p>
        </w:tc>
        <w:tc>
          <w:tcPr>
            <w:vAlign w:val="center"/>
          </w:tcPr>
          <w:p>
            <w:pPr>
              <w:jc w:val="right"/>
            </w:pPr>
            <w:r>
              <w:rPr>
                <w:color w:val="000000"/>
                <w:sz w:val="24"/>
              </w:rPr>
              <w:t>2.00</w:t>
            </w:r>
          </w:p>
        </w:tc>
      </w:tr>
      <w:tr>
        <w:tc>
          <w:tcPr>
            <w:vAlign w:val="center"/>
          </w:tcPr>
          <w:p>
            <w:pPr>
              <w:jc w:val="center"/>
            </w:pPr>
            <w:r>
              <w:rPr>
                <w:color w:val="000000"/>
                <w:sz w:val="24"/>
              </w:rPr>
              <w:t>2</w:t>
            </w:r>
          </w:p>
        </w:tc>
        <w:tc>
          <w:tcPr>
            <w:vAlign w:val="center"/>
          </w:tcPr>
          <w:p>
            <w:pPr>
              <w:jc w:val="center"/>
            </w:pPr>
            <w:r>
              <w:rPr>
                <w:color w:val="000000"/>
                <w:sz w:val="24"/>
              </w:rPr>
              <w:t>1889284</w:t>
            </w:r>
          </w:p>
        </w:tc>
        <w:tc>
          <w:tcPr>
            <w:vAlign w:val="center"/>
          </w:tcPr>
          <w:p>
            <w:pPr>
              <w:jc w:val="center"/>
            </w:pPr>
            <w:r>
              <w:rPr>
                <w:color w:val="000000"/>
                <w:sz w:val="24"/>
              </w:rPr>
              <w:t>18开元2A</w:t>
            </w:r>
          </w:p>
        </w:tc>
        <w:tc>
          <w:tcPr>
            <w:vAlign w:val="center"/>
          </w:tcPr>
          <w:p>
            <w:pPr>
              <w:jc w:val="right"/>
            </w:pPr>
            <w:r>
              <w:rPr>
                <w:color w:val="000000"/>
                <w:sz w:val="24"/>
              </w:rPr>
              <w:t>2,000,000</w:t>
            </w:r>
          </w:p>
        </w:tc>
        <w:tc>
          <w:tcPr>
            <w:vAlign w:val="center"/>
          </w:tcPr>
          <w:p>
            <w:pPr>
              <w:jc w:val="right"/>
            </w:pPr>
            <w:r>
              <w:rPr>
                <w:color w:val="000000"/>
                <w:sz w:val="24"/>
              </w:rPr>
              <w:t>9,820,000.00</w:t>
            </w:r>
          </w:p>
        </w:tc>
        <w:tc>
          <w:tcPr>
            <w:vAlign w:val="center"/>
          </w:tcPr>
          <w:p>
            <w:pPr>
              <w:jc w:val="right"/>
            </w:pPr>
            <w:r>
              <w:rPr>
                <w:color w:val="000000"/>
                <w:sz w:val="24"/>
              </w:rPr>
              <w:t>0.27</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bookmarkStart w:id="2" w:name="_GoBack"/>
      <w:r w:rsidRPr="00885AD9">
        <w:rPr>
          <w:b/>
          <w:kern w:val="0"/>
          <w:sz w:val="24"/>
        </w:rPr>
        <w:t>5.11.3</w:t>
      </w:r>
      <w:bookmarkEnd w:id="2"/>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55,833,562.00</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55,833,562.00</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本基金本报告期末未持有股票。</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交银裕利纯债债券A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交银裕利纯债债券C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3,382,765,165.87</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24,599.61</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57,064.89</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141.71</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53,745.47</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10,700.89</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3,382,768,485.29</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14,040.43</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注：1、如果本报告期间发生转换入、红利再投业务，则总申购份额中包含该业务；</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§8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ED0E09" w:rsidTr="00ED0E09">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type="dxa" w:w="993"/>
            <w:vMerge/>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2020/1/1-2020/3/31</w:t>
            </w:r>
          </w:p>
        </w:tc>
        <w:tc>
          <w:tcPr>
            <w:vAlign w:val="center"/>
          </w:tcPr>
          <w:p>
            <w:pPr>
              <w:jc w:val="center"/>
            </w:pPr>
            <w:r>
              <w:rPr>
                <w:rFonts w:ascii="宋体" w:hAnsi="宋体" w:hint="eastAsia"/>
                <w:color w:val="000000"/>
                <w:kern w:val="0"/>
                <w:szCs w:val="21"/>
              </w:rPr>
              <w:t>3,382,690,550.12</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3,382,690,550.12</w:t>
            </w:r>
          </w:p>
        </w:tc>
        <w:tc>
          <w:tcPr>
            <w:vAlign w:val="center"/>
          </w:tcPr>
          <w:p>
            <w:pPr>
              <w:jc w:val="center"/>
            </w:pPr>
            <w:r>
              <w:rPr>
                <w:rFonts w:ascii="宋体" w:hAnsi="宋体" w:hint="eastAsia"/>
                <w:color w:val="000000"/>
                <w:kern w:val="0"/>
                <w:szCs w:val="21"/>
              </w:rPr>
              <w:t>100.00%</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1、中国证监会准予交银施罗德裕利纯债债券型证券投资基金募集注册的文件；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2、《交银施罗德裕利纯债债券型证券投资基金基金合同》；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3、《交银施罗德裕利纯债债券型证券投资基金招募说明书》；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4、《交银施罗德裕利纯债债券型证券投资基金托管协议》；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5、关于申请募集注册交银施罗德裕利纯债债券型证券投资基金的法律意见书；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8、报告期内交银施罗德裕利纯债债券型证券投资基金在指定报刊上各项公告的原稿。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AD1" w:rsidRDefault="00685AD1">
      <w:r>
        <w:separator/>
      </w:r>
    </w:p>
  </w:endnote>
  <w:endnote w:type="continuationSeparator" w:id="0">
    <w:p w:rsidR="00685AD1" w:rsidRDefault="0068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885AD9">
      <w:rPr>
        <w:noProof/>
        <w:kern w:val="0"/>
        <w:szCs w:val="21"/>
      </w:rPr>
      <w:t>19</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885AD9">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685AD1" w:rsidRDefault="00685AD1">
      <w:r>
        <w:separator/>
      </w:r>
    </w:p>
  </w:footnote>
  <w:footnote w:id="0" w:type="continuationSeparator">
    <w:p w:rsidR="00685AD1" w:rsidRDefault="00685AD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交银施罗德裕利纯债债券型证券投资基金2020年第1季度报告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82FB8-C167-4963-8B27-9929FDC0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254</TotalTime>
  <Pages>27</Pages>
  <Words>4295</Words>
  <Characters>24488</Characters>
  <Application>Microsoft Office Word</Application>
  <DocSecurity>0</DocSecurity>
  <Lines>204</Lines>
  <Paragraphs>57</Paragraphs>
  <ScaleCrop>false</ScaleCrop>
  <Company>TRT. Ltd. Co.</Company>
  <LinksUpToDate>false</LinksUpToDate>
  <CharactersWithSpaces>28726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2020-03-05T08:23:00Z</dcterms:modified>
  <cp:revision>404</cp:revision>
</cp:coreProperties>
</file>