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交银施罗德优择回报灵活配置混合型证券投资基金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交银优择回报灵活配置混合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2016年4月22日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709,237,154.95</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交银优择回报灵活配置混合A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交银优择回报灵活配置混合C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519770</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519771</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702,280,255.02</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6,956,899.93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(2020年1月1日-2020年3月31日)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交银优择回报灵活配置混合A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交银优择回报灵活配置混合C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17,876,018.49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116,167.09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15,124,216.77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61,655.08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0.0216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0.0122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819,412,799.86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8,193,732.42</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1.167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1.178</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交银优择回报灵活配置混合A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1.92%</w:t>
            </w:r>
          </w:p>
        </w:tc>
        <w:tc>
          <w:tcPr>
            <w:vAlign w:val="center"/>
          </w:tcPr>
          <w:p>
            <w:pPr>
              <w:jc w:val="center"/>
            </w:pPr>
            <w:r>
              <w:rPr>
                <w:color w:val="000000"/>
                <w:sz w:val="24"/>
              </w:rPr>
              <w:t>0.20%</w:t>
            </w:r>
          </w:p>
        </w:tc>
        <w:tc>
          <w:tcPr>
            <w:vAlign w:val="center"/>
          </w:tcPr>
          <w:p>
            <w:pPr>
              <w:jc w:val="center"/>
            </w:pPr>
            <w:r>
              <w:rPr>
                <w:color w:val="000000"/>
                <w:sz w:val="24"/>
              </w:rPr>
              <w:t>-3.98%</w:t>
            </w:r>
          </w:p>
        </w:tc>
        <w:tc>
          <w:tcPr>
            <w:vAlign w:val="center"/>
          </w:tcPr>
          <w:p>
            <w:pPr>
              <w:jc w:val="center"/>
            </w:pPr>
            <w:r>
              <w:rPr>
                <w:color w:val="000000"/>
                <w:sz w:val="24"/>
              </w:rPr>
              <w:t>0.95%</w:t>
            </w:r>
          </w:p>
        </w:tc>
        <w:tc>
          <w:tcPr>
            <w:vAlign w:val="center"/>
          </w:tcPr>
          <w:p>
            <w:pPr>
              <w:jc w:val="center"/>
            </w:pPr>
            <w:r>
              <w:rPr>
                <w:color w:val="000000"/>
                <w:sz w:val="24"/>
              </w:rPr>
              <w:t>5.90%</w:t>
            </w:r>
          </w:p>
        </w:tc>
        <w:tc>
          <w:tcPr>
            <w:vAlign w:val="center"/>
          </w:tcPr>
          <w:p>
            <w:pPr>
              <w:jc w:val="center"/>
            </w:pPr>
            <w:r>
              <w:rPr>
                <w:color w:val="000000"/>
                <w:sz w:val="24"/>
              </w:rPr>
              <w:t>-0.75%</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交银优择回报灵活配置混合C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1.90%</w:t>
            </w:r>
          </w:p>
        </w:tc>
        <w:tc>
          <w:tcPr>
            <w:vAlign w:val="center"/>
          </w:tcPr>
          <w:p>
            <w:pPr>
              <w:jc w:val="center"/>
            </w:pPr>
            <w:r>
              <w:rPr>
                <w:color w:val="000000"/>
                <w:sz w:val="24"/>
              </w:rPr>
              <w:t>0.20%</w:t>
            </w:r>
          </w:p>
        </w:tc>
        <w:tc>
          <w:tcPr>
            <w:vAlign w:val="center"/>
          </w:tcPr>
          <w:p>
            <w:pPr>
              <w:jc w:val="center"/>
            </w:pPr>
            <w:r>
              <w:rPr>
                <w:color w:val="000000"/>
                <w:sz w:val="24"/>
              </w:rPr>
              <w:t>-3.98%</w:t>
            </w:r>
          </w:p>
        </w:tc>
        <w:tc>
          <w:tcPr>
            <w:vAlign w:val="center"/>
          </w:tcPr>
          <w:p>
            <w:pPr>
              <w:jc w:val="center"/>
            </w:pPr>
            <w:r>
              <w:rPr>
                <w:color w:val="000000"/>
                <w:sz w:val="24"/>
              </w:rPr>
              <w:t>0.95%</w:t>
            </w:r>
          </w:p>
        </w:tc>
        <w:tc>
          <w:tcPr>
            <w:vAlign w:val="center"/>
          </w:tcPr>
          <w:p>
            <w:pPr>
              <w:jc w:val="center"/>
            </w:pPr>
            <w:r>
              <w:rPr>
                <w:color w:val="000000"/>
                <w:sz w:val="24"/>
              </w:rPr>
              <w:t>5.88%</w:t>
            </w:r>
          </w:p>
        </w:tc>
        <w:tc>
          <w:tcPr>
            <w:vAlign w:val="center"/>
          </w:tcPr>
          <w:p>
            <w:pPr>
              <w:jc w:val="center"/>
            </w:pPr>
            <w:r>
              <w:rPr>
                <w:color w:val="000000"/>
                <w:sz w:val="24"/>
              </w:rPr>
              <w:t>-0.75%</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交银施罗德优择回报灵活配置混合型证券投资基金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2016年4月22日</w:t>
      </w:r>
      <w:r w:rsidR="009A045B" w:rsidRPr="007F52FA">
        <w:rPr>
          <w:rFonts w:ascii="Times New Roman" w:hAnsi="Times New Roman"/>
          <w:sz w:val="24"/>
          <w:szCs w:val="24"/>
        </w:rPr>
        <w:t>至</w:t>
      </w:r>
      <w:r w:rsidRPr="007F52FA">
        <w:rPr>
          <w:rFonts w:ascii="Times New Roman" w:hAnsi="Times New Roman"/>
          <w:sz w:val="24"/>
          <w:szCs w:val="24"/>
        </w:rPr>
        <w:t>2020年3月31日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交银优择回报灵活配置混合C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2016-04-22</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受资金面宽裕、新冠疫情等因素影响，收益率呈现趋势下行走势。一月，因市场资金面相对宽裕，债市基本维持平稳，新冠疫情开始出现，并在下半月开始日趋严重；二月伊始，国内疫情发酵，在市场资金面宽裕的背景下，债市收益率开始不断下行；进入三月，资金面进一步宽松，虽然国内疫情逐步缓解，但国外新冠疫情开始逐步发酵，全球央行开始普遍降息，受其影响债券收益率逐步降至年内低位，全月维持低位震荡。</w:t>
      </w:r>
    </w:p>
    <w:p>
      <w:pPr>
        <w:spacing w:before="29" w:line="288" w:lineRule="auto"/>
        <w:ind w:firstLine="480" w:firstLineChars="200"/>
        <w:rPr>
          <w:color w:val="000000"/>
          <w:sz w:val="24"/>
        </w:rPr>
      </w:pPr>
      <w:r>
        <w:rPr>
          <w:color w:val="000000"/>
          <w:sz w:val="24"/>
        </w:rPr>
        <w:t>一季度，权益市场前期走势较为良好，在新冠疫情逐步发酵后，出现危机式下跌模式，国际主要指数跌幅均超过20%以上，由于国内疫情控制相对及时果断，主要指数跌幅相对较少。一月，科技、传媒以及新能源车板块表现突出，二月国内新冠疫情冲击应对措施及时果断，对市场也相对冲击短暂，科技类品种依然表现亮眼。步入三月之后，国外疫情开始逐步发酵并且形势急剧恶化，主要国家股指均出现危机式快速大幅下跌，国内指数也受其情绪影响和对经济的担忧出现同步回落，但总体回落幅度相对较小，前期涨幅较大的科技类、新能源车板块出现较大幅度回调。</w:t>
      </w:r>
    </w:p>
    <w:p>
      <w:pPr>
        <w:spacing w:before="29" w:line="288" w:lineRule="auto"/>
        <w:ind w:firstLine="480" w:firstLineChars="200"/>
        <w:rPr>
          <w:color w:val="000000"/>
          <w:sz w:val="24"/>
        </w:rPr>
      </w:pPr>
      <w:r>
        <w:rPr>
          <w:color w:val="000000"/>
          <w:sz w:val="24"/>
        </w:rPr>
        <w:t>在基金操作中，债券部分我们维持中短久期高等级信用债的底仓配置，以获取稳定的票息收益。权益方面，随着市场波动率的加大，对新冠疫情冲击较大的部分传统行业和前期涨幅较大科技类品种进行了及时规避，持仓比例和品种更加趋于稳健。此外，组合积极参与权益及转债的一级申购，以增厚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二季度，在新冠疫情的冲击下，国内外经济均面临较为严峻的冲击，无论是企业还是民众的生活压力都有明显上升，宏观逆周期调控政策发力迫在眉睫。资金面维持宽松的格局下，如何传导到实体经济，解决经济增长困境和缓解就业压力将是二季度政府的主要工作重点和目标。考虑到债券收益率受疫情悲观预期影响已经处于历史低位附近，加之逆周期调控政策的逐步推出，市场悲观情绪或会有所缓和，因此我们对二季度债券市场维持低位震荡的观点，维持底仓配置中短久期高等级信用债品种，以获取票息收益，并根据市场变化动态调整组合久期。权益方面，我们将继续维持稳健品种配置，并在行业的选择中，持续关注新冠疫情对各行业的冲击影响及其受冲击程度和后期逐步恢复的情况。同时积极关注逆周期调控政策发力背景下可能受益板块的相关投资机会。我们将继续积极参加权益及转债的一级申购，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82,910,584.42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9.32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82,910,584.42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9.32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782,596,522.20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87.93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782,596,522.20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87.93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11,070,748.08</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13,472,890.17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890,050,744.87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3,489,511.00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0.42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18,697,565.45</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2.26</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3,066,475.98</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0.37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6,887,395.31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0.83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8,992,959.16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1.09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1,176,791.00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0.14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24,853,724.02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3.00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15,610,526.00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1.89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17,552.98</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118,083.52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82,910,584.42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10.02</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1,049,800</w:t>
            </w:r>
          </w:p>
        </w:tc>
        <w:tc>
          <w:tcPr>
            <w:vAlign w:val="center"/>
          </w:tcPr>
          <w:p>
            <w:pPr>
              <w:jc w:val="right"/>
            </w:pPr>
            <w:r>
              <w:rPr>
                <w:color w:val="000000"/>
                <w:sz w:val="24"/>
              </w:rPr>
              <w:t>15,610,526.00</w:t>
            </w:r>
          </w:p>
        </w:tc>
        <w:tc>
          <w:tcPr>
            <w:vAlign w:val="center"/>
          </w:tcPr>
          <w:p>
            <w:pPr>
              <w:jc w:val="right"/>
            </w:pPr>
            <w:r>
              <w:rPr>
                <w:color w:val="000000"/>
                <w:sz w:val="24"/>
              </w:rPr>
              <w:t>1.89</w:t>
            </w:r>
          </w:p>
        </w:tc>
      </w:tr>
      <w:tr>
        <w:tc>
          <w:tcPr>
            <w:vAlign w:val="center"/>
          </w:tcPr>
          <w:p>
            <w:pPr>
              <w:jc w:val="center"/>
            </w:pPr>
            <w:r>
              <w:rPr>
                <w:color w:val="000000"/>
                <w:sz w:val="24"/>
              </w:rPr>
              <w:t>2</w:t>
            </w:r>
          </w:p>
        </w:tc>
        <w:tc>
          <w:tcPr>
            <w:vAlign w:val="center"/>
          </w:tcPr>
          <w:p>
            <w:pPr>
              <w:jc w:val="center"/>
            </w:pPr>
            <w:r>
              <w:rPr>
                <w:color w:val="000000"/>
                <w:sz w:val="24"/>
              </w:rPr>
              <w:t>601288</w:t>
            </w:r>
          </w:p>
        </w:tc>
        <w:tc>
          <w:tcPr>
            <w:vAlign w:val="center"/>
          </w:tcPr>
          <w:p>
            <w:pPr>
              <w:jc w:val="center"/>
            </w:pPr>
            <w:r>
              <w:rPr>
                <w:color w:val="000000"/>
                <w:sz w:val="24"/>
              </w:rPr>
              <w:t>农业银行</w:t>
            </w:r>
          </w:p>
        </w:tc>
        <w:tc>
          <w:tcPr>
            <w:vAlign w:val="center"/>
          </w:tcPr>
          <w:p>
            <w:pPr>
              <w:jc w:val="right"/>
            </w:pPr>
            <w:r>
              <w:rPr>
                <w:color w:val="000000"/>
                <w:sz w:val="24"/>
              </w:rPr>
              <w:t>3,275,900</w:t>
            </w:r>
          </w:p>
        </w:tc>
        <w:tc>
          <w:tcPr>
            <w:vAlign w:val="center"/>
          </w:tcPr>
          <w:p>
            <w:pPr>
              <w:jc w:val="right"/>
            </w:pPr>
            <w:r>
              <w:rPr>
                <w:color w:val="000000"/>
                <w:sz w:val="24"/>
              </w:rPr>
              <w:t>11,039,783.00</w:t>
            </w:r>
          </w:p>
        </w:tc>
        <w:tc>
          <w:tcPr>
            <w:vAlign w:val="center"/>
          </w:tcPr>
          <w:p>
            <w:pPr>
              <w:jc w:val="right"/>
            </w:pPr>
            <w:r>
              <w:rPr>
                <w:color w:val="000000"/>
                <w:sz w:val="24"/>
              </w:rPr>
              <w:t>1.33</w:t>
            </w:r>
          </w:p>
        </w:tc>
      </w:tr>
      <w:tr>
        <w:tc>
          <w:tcPr>
            <w:vAlign w:val="center"/>
          </w:tcPr>
          <w:p>
            <w:pPr>
              <w:jc w:val="center"/>
            </w:pPr>
            <w:r>
              <w:rPr>
                <w:color w:val="000000"/>
                <w:sz w:val="24"/>
              </w:rPr>
              <w:t>3</w:t>
            </w:r>
          </w:p>
        </w:tc>
        <w:tc>
          <w:tcPr>
            <w:vAlign w:val="center"/>
          </w:tcPr>
          <w:p>
            <w:pPr>
              <w:jc w:val="center"/>
            </w:pPr>
            <w:r>
              <w:rPr>
                <w:color w:val="000000"/>
                <w:sz w:val="24"/>
              </w:rPr>
              <w:t>601628</w:t>
            </w:r>
          </w:p>
        </w:tc>
        <w:tc>
          <w:tcPr>
            <w:vAlign w:val="center"/>
          </w:tcPr>
          <w:p>
            <w:pPr>
              <w:jc w:val="center"/>
            </w:pPr>
            <w:r>
              <w:rPr>
                <w:color w:val="000000"/>
                <w:sz w:val="24"/>
              </w:rPr>
              <w:t>中国人寿</w:t>
            </w:r>
          </w:p>
        </w:tc>
        <w:tc>
          <w:tcPr>
            <w:vAlign w:val="center"/>
          </w:tcPr>
          <w:p>
            <w:pPr>
              <w:jc w:val="right"/>
            </w:pPr>
            <w:r>
              <w:rPr>
                <w:color w:val="000000"/>
                <w:sz w:val="24"/>
              </w:rPr>
              <w:t>250,600</w:t>
            </w:r>
          </w:p>
        </w:tc>
        <w:tc>
          <w:tcPr>
            <w:vAlign w:val="center"/>
          </w:tcPr>
          <w:p>
            <w:pPr>
              <w:jc w:val="right"/>
            </w:pPr>
            <w:r>
              <w:rPr>
                <w:color w:val="000000"/>
                <w:sz w:val="24"/>
              </w:rPr>
              <w:t>6,600,804.00</w:t>
            </w:r>
          </w:p>
        </w:tc>
        <w:tc>
          <w:tcPr>
            <w:vAlign w:val="center"/>
          </w:tcPr>
          <w:p>
            <w:pPr>
              <w:jc w:val="right"/>
            </w:pPr>
            <w:r>
              <w:rPr>
                <w:color w:val="000000"/>
                <w:sz w:val="24"/>
              </w:rPr>
              <w:t>0.80</w:t>
            </w:r>
          </w:p>
        </w:tc>
      </w:tr>
      <w:tr>
        <w:tc>
          <w:tcPr>
            <w:vAlign w:val="center"/>
          </w:tcPr>
          <w:p>
            <w:pPr>
              <w:jc w:val="center"/>
            </w:pPr>
            <w:r>
              <w:rPr>
                <w:color w:val="000000"/>
                <w:sz w:val="24"/>
              </w:rPr>
              <w:t>4</w:t>
            </w:r>
          </w:p>
        </w:tc>
        <w:tc>
          <w:tcPr>
            <w:vAlign w:val="center"/>
          </w:tcPr>
          <w:p>
            <w:pPr>
              <w:jc w:val="center"/>
            </w:pPr>
            <w:r>
              <w:rPr>
                <w:color w:val="000000"/>
                <w:sz w:val="24"/>
              </w:rPr>
              <w:t>001965</w:t>
            </w:r>
          </w:p>
        </w:tc>
        <w:tc>
          <w:tcPr>
            <w:vAlign w:val="center"/>
          </w:tcPr>
          <w:p>
            <w:pPr>
              <w:jc w:val="center"/>
            </w:pPr>
            <w:r>
              <w:rPr>
                <w:color w:val="000000"/>
                <w:sz w:val="24"/>
              </w:rPr>
              <w:t>招商公路</w:t>
            </w:r>
          </w:p>
        </w:tc>
        <w:tc>
          <w:tcPr>
            <w:vAlign w:val="center"/>
          </w:tcPr>
          <w:p>
            <w:pPr>
              <w:jc w:val="right"/>
            </w:pPr>
            <w:r>
              <w:rPr>
                <w:color w:val="000000"/>
                <w:sz w:val="24"/>
              </w:rPr>
              <w:t>930,100</w:t>
            </w:r>
          </w:p>
        </w:tc>
        <w:tc>
          <w:tcPr>
            <w:vAlign w:val="center"/>
          </w:tcPr>
          <w:p>
            <w:pPr>
              <w:jc w:val="right"/>
            </w:pPr>
            <w:r>
              <w:rPr>
                <w:color w:val="000000"/>
                <w:sz w:val="24"/>
              </w:rPr>
              <w:t>6,445,593.00</w:t>
            </w:r>
          </w:p>
        </w:tc>
        <w:tc>
          <w:tcPr>
            <w:vAlign w:val="center"/>
          </w:tcPr>
          <w:p>
            <w:pPr>
              <w:jc w:val="right"/>
            </w:pPr>
            <w:r>
              <w:rPr>
                <w:color w:val="000000"/>
                <w:sz w:val="24"/>
              </w:rPr>
              <w:t>0.78</w:t>
            </w:r>
          </w:p>
        </w:tc>
      </w:tr>
      <w:tr>
        <w:tc>
          <w:tcPr>
            <w:vAlign w:val="center"/>
          </w:tcPr>
          <w:p>
            <w:pPr>
              <w:jc w:val="center"/>
            </w:pPr>
            <w:r>
              <w:rPr>
                <w:color w:val="000000"/>
                <w:sz w:val="24"/>
              </w:rPr>
              <w:t>5</w:t>
            </w:r>
          </w:p>
        </w:tc>
        <w:tc>
          <w:tcPr>
            <w:vAlign w:val="center"/>
          </w:tcPr>
          <w:p>
            <w:pPr>
              <w:jc w:val="center"/>
            </w:pPr>
            <w:r>
              <w:rPr>
                <w:color w:val="000000"/>
                <w:sz w:val="24"/>
              </w:rPr>
              <w:t>601933</w:t>
            </w:r>
          </w:p>
        </w:tc>
        <w:tc>
          <w:tcPr>
            <w:vAlign w:val="center"/>
          </w:tcPr>
          <w:p>
            <w:pPr>
              <w:jc w:val="center"/>
            </w:pPr>
            <w:r>
              <w:rPr>
                <w:color w:val="000000"/>
                <w:sz w:val="24"/>
              </w:rPr>
              <w:t>永辉超市</w:t>
            </w:r>
          </w:p>
        </w:tc>
        <w:tc>
          <w:tcPr>
            <w:vAlign w:val="center"/>
          </w:tcPr>
          <w:p>
            <w:pPr>
              <w:jc w:val="right"/>
            </w:pPr>
            <w:r>
              <w:rPr>
                <w:color w:val="000000"/>
                <w:sz w:val="24"/>
              </w:rPr>
              <w:t>592,700</w:t>
            </w:r>
          </w:p>
        </w:tc>
        <w:tc>
          <w:tcPr>
            <w:vAlign w:val="center"/>
          </w:tcPr>
          <w:p>
            <w:pPr>
              <w:jc w:val="right"/>
            </w:pPr>
            <w:r>
              <w:rPr>
                <w:color w:val="000000"/>
                <w:sz w:val="24"/>
              </w:rPr>
              <w:t>6,069,248.00</w:t>
            </w:r>
          </w:p>
        </w:tc>
        <w:tc>
          <w:tcPr>
            <w:vAlign w:val="center"/>
          </w:tcPr>
          <w:p>
            <w:pPr>
              <w:jc w:val="right"/>
            </w:pPr>
            <w:r>
              <w:rPr>
                <w:color w:val="000000"/>
                <w:sz w:val="24"/>
              </w:rPr>
              <w:t>0.73</w:t>
            </w:r>
          </w:p>
        </w:tc>
      </w:tr>
      <w:tr>
        <w:tc>
          <w:tcPr>
            <w:vAlign w:val="center"/>
          </w:tcPr>
          <w:p>
            <w:pPr>
              <w:jc w:val="center"/>
            </w:pPr>
            <w:r>
              <w:rPr>
                <w:color w:val="000000"/>
                <w:sz w:val="24"/>
              </w:rPr>
              <w:t>6</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164,320</w:t>
            </w:r>
          </w:p>
        </w:tc>
        <w:tc>
          <w:tcPr>
            <w:vAlign w:val="center"/>
          </w:tcPr>
          <w:p>
            <w:pPr>
              <w:jc w:val="right"/>
            </w:pPr>
            <w:r>
              <w:rPr>
                <w:color w:val="000000"/>
                <w:sz w:val="24"/>
              </w:rPr>
              <w:t>5,591,809.60</w:t>
            </w:r>
          </w:p>
        </w:tc>
        <w:tc>
          <w:tcPr>
            <w:vAlign w:val="center"/>
          </w:tcPr>
          <w:p>
            <w:pPr>
              <w:jc w:val="right"/>
            </w:pPr>
            <w:r>
              <w:rPr>
                <w:color w:val="000000"/>
                <w:sz w:val="24"/>
              </w:rPr>
              <w:t>0.68</w:t>
            </w:r>
          </w:p>
        </w:tc>
      </w:tr>
      <w:tr>
        <w:tc>
          <w:tcPr>
            <w:vAlign w:val="center"/>
          </w:tcPr>
          <w:p>
            <w:pPr>
              <w:jc w:val="center"/>
            </w:pPr>
            <w:r>
              <w:rPr>
                <w:color w:val="000000"/>
                <w:sz w:val="24"/>
              </w:rPr>
              <w:t>7</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5,000</w:t>
            </w:r>
          </w:p>
        </w:tc>
        <w:tc>
          <w:tcPr>
            <w:vAlign w:val="center"/>
          </w:tcPr>
          <w:p>
            <w:pPr>
              <w:jc w:val="right"/>
            </w:pPr>
            <w:r>
              <w:rPr>
                <w:color w:val="000000"/>
                <w:sz w:val="24"/>
              </w:rPr>
              <w:t>5,555,000.00</w:t>
            </w:r>
          </w:p>
        </w:tc>
        <w:tc>
          <w:tcPr>
            <w:vAlign w:val="center"/>
          </w:tcPr>
          <w:p>
            <w:pPr>
              <w:jc w:val="right"/>
            </w:pPr>
            <w:r>
              <w:rPr>
                <w:color w:val="000000"/>
                <w:sz w:val="24"/>
              </w:rPr>
              <w:t>0.67</w:t>
            </w:r>
          </w:p>
        </w:tc>
      </w:tr>
      <w:tr>
        <w:tc>
          <w:tcPr>
            <w:vAlign w:val="center"/>
          </w:tcPr>
          <w:p>
            <w:pPr>
              <w:jc w:val="center"/>
            </w:pPr>
            <w:r>
              <w:rPr>
                <w:color w:val="000000"/>
                <w:sz w:val="24"/>
              </w:rPr>
              <w:t>8</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1,000,000</w:t>
            </w:r>
          </w:p>
        </w:tc>
        <w:tc>
          <w:tcPr>
            <w:vAlign w:val="center"/>
          </w:tcPr>
          <w:p>
            <w:pPr>
              <w:jc w:val="right"/>
            </w:pPr>
            <w:r>
              <w:rPr>
                <w:color w:val="000000"/>
                <w:sz w:val="24"/>
              </w:rPr>
              <w:t>5,150,000.00</w:t>
            </w:r>
          </w:p>
        </w:tc>
        <w:tc>
          <w:tcPr>
            <w:vAlign w:val="center"/>
          </w:tcPr>
          <w:p>
            <w:pPr>
              <w:jc w:val="right"/>
            </w:pPr>
            <w:r>
              <w:rPr>
                <w:color w:val="000000"/>
                <w:sz w:val="24"/>
              </w:rPr>
              <w:t>0.62</w:t>
            </w:r>
          </w:p>
        </w:tc>
      </w:tr>
      <w:tr>
        <w:tc>
          <w:tcPr>
            <w:vAlign w:val="center"/>
          </w:tcPr>
          <w:p>
            <w:pPr>
              <w:jc w:val="center"/>
            </w:pPr>
            <w:r>
              <w:rPr>
                <w:color w:val="000000"/>
                <w:sz w:val="24"/>
              </w:rPr>
              <w:t>9</w:t>
            </w:r>
          </w:p>
        </w:tc>
        <w:tc>
          <w:tcPr>
            <w:vAlign w:val="center"/>
          </w:tcPr>
          <w:p>
            <w:pPr>
              <w:jc w:val="center"/>
            </w:pPr>
            <w:r>
              <w:rPr>
                <w:color w:val="000000"/>
                <w:sz w:val="24"/>
              </w:rPr>
              <w:t>600028</w:t>
            </w:r>
          </w:p>
        </w:tc>
        <w:tc>
          <w:tcPr>
            <w:vAlign w:val="center"/>
          </w:tcPr>
          <w:p>
            <w:pPr>
              <w:jc w:val="center"/>
            </w:pPr>
            <w:r>
              <w:rPr>
                <w:color w:val="000000"/>
                <w:sz w:val="24"/>
              </w:rPr>
              <w:t>中国石化</w:t>
            </w:r>
          </w:p>
        </w:tc>
        <w:tc>
          <w:tcPr>
            <w:vAlign w:val="center"/>
          </w:tcPr>
          <w:p>
            <w:pPr>
              <w:jc w:val="right"/>
            </w:pPr>
            <w:r>
              <w:rPr>
                <w:color w:val="000000"/>
                <w:sz w:val="24"/>
              </w:rPr>
              <w:t>787,700</w:t>
            </w:r>
          </w:p>
        </w:tc>
        <w:tc>
          <w:tcPr>
            <w:vAlign w:val="center"/>
          </w:tcPr>
          <w:p>
            <w:pPr>
              <w:jc w:val="right"/>
            </w:pPr>
            <w:r>
              <w:rPr>
                <w:color w:val="000000"/>
                <w:sz w:val="24"/>
              </w:rPr>
              <w:t>3,489,511.00</w:t>
            </w:r>
          </w:p>
        </w:tc>
        <w:tc>
          <w:tcPr>
            <w:vAlign w:val="center"/>
          </w:tcPr>
          <w:p>
            <w:pPr>
              <w:jc w:val="right"/>
            </w:pPr>
            <w:r>
              <w:rPr>
                <w:color w:val="000000"/>
                <w:sz w:val="24"/>
              </w:rPr>
              <w:t>0.42</w:t>
            </w:r>
          </w:p>
        </w:tc>
      </w:tr>
      <w:tr>
        <w:tc>
          <w:tcPr>
            <w:vAlign w:val="center"/>
          </w:tcPr>
          <w:p>
            <w:pPr>
              <w:jc w:val="center"/>
            </w:pPr>
            <w:r>
              <w:rPr>
                <w:color w:val="000000"/>
                <w:sz w:val="24"/>
              </w:rPr>
              <w:t>10</w:t>
            </w:r>
          </w:p>
        </w:tc>
        <w:tc>
          <w:tcPr>
            <w:vAlign w:val="center"/>
          </w:tcPr>
          <w:p>
            <w:pPr>
              <w:jc w:val="center"/>
            </w:pPr>
            <w:r>
              <w:rPr>
                <w:color w:val="000000"/>
                <w:sz w:val="24"/>
              </w:rPr>
              <w:t>601668</w:t>
            </w:r>
          </w:p>
        </w:tc>
        <w:tc>
          <w:tcPr>
            <w:vAlign w:val="center"/>
          </w:tcPr>
          <w:p>
            <w:pPr>
              <w:jc w:val="center"/>
            </w:pPr>
            <w:r>
              <w:rPr>
                <w:color w:val="000000"/>
                <w:sz w:val="24"/>
              </w:rPr>
              <w:t>中国建筑</w:t>
            </w:r>
          </w:p>
        </w:tc>
        <w:tc>
          <w:tcPr>
            <w:vAlign w:val="center"/>
          </w:tcPr>
          <w:p>
            <w:pPr>
              <w:jc w:val="right"/>
            </w:pPr>
            <w:r>
              <w:rPr>
                <w:color w:val="000000"/>
                <w:sz w:val="24"/>
              </w:rPr>
              <w:t>581,874</w:t>
            </w:r>
          </w:p>
        </w:tc>
        <w:tc>
          <w:tcPr>
            <w:vAlign w:val="center"/>
          </w:tcPr>
          <w:p>
            <w:pPr>
              <w:jc w:val="right"/>
            </w:pPr>
            <w:r>
              <w:rPr>
                <w:color w:val="000000"/>
                <w:sz w:val="24"/>
              </w:rPr>
              <w:t>3,066,475.98</w:t>
            </w:r>
          </w:p>
        </w:tc>
        <w:tc>
          <w:tcPr>
            <w:vAlign w:val="center"/>
          </w:tcPr>
          <w:p>
            <w:pPr>
              <w:jc w:val="right"/>
            </w:pPr>
            <w:r>
              <w:rPr>
                <w:color w:val="000000"/>
                <w:sz w:val="24"/>
              </w:rPr>
              <w:t>0.37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44,429,742.50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5.37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44,429,742.50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5.37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411,220,500.00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49.69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326,944,000.00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39.50</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2,279.70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0.00</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782,596,522.20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94.56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101900121</w:t>
            </w:r>
          </w:p>
        </w:tc>
        <w:tc>
          <w:tcPr>
            <w:vAlign w:val="center"/>
          </w:tcPr>
          <w:p>
            <w:pPr>
              <w:jc w:val="center"/>
            </w:pPr>
            <w:r>
              <w:rPr>
                <w:color w:val="000000"/>
                <w:sz w:val="24"/>
              </w:rPr>
              <w:t>19中电信MTN001</w:t>
            </w:r>
          </w:p>
        </w:tc>
        <w:tc>
          <w:tcPr>
            <w:vAlign w:val="center"/>
          </w:tcPr>
          <w:p>
            <w:pPr>
              <w:jc w:val="right"/>
            </w:pPr>
            <w:r>
              <w:rPr>
                <w:color w:val="000000"/>
                <w:sz w:val="24"/>
              </w:rPr>
              <w:t>500,000</w:t>
            </w:r>
          </w:p>
        </w:tc>
        <w:tc>
          <w:tcPr>
            <w:vAlign w:val="center"/>
          </w:tcPr>
          <w:p>
            <w:pPr>
              <w:jc w:val="right"/>
            </w:pPr>
            <w:r>
              <w:rPr>
                <w:color w:val="000000"/>
                <w:sz w:val="24"/>
              </w:rPr>
              <w:t>50,700,000.00</w:t>
            </w:r>
          </w:p>
        </w:tc>
        <w:tc>
          <w:tcPr>
            <w:vAlign w:val="center"/>
          </w:tcPr>
          <w:p>
            <w:pPr>
              <w:jc w:val="right"/>
            </w:pPr>
            <w:r>
              <w:rPr>
                <w:color w:val="000000"/>
                <w:sz w:val="24"/>
              </w:rPr>
              <w:t>6.13</w:t>
            </w:r>
          </w:p>
        </w:tc>
      </w:tr>
      <w:tr>
        <w:tc>
          <w:tcPr>
            <w:vAlign w:val="center"/>
          </w:tcPr>
          <w:p>
            <w:pPr>
              <w:jc w:val="center"/>
            </w:pPr>
            <w:r>
              <w:rPr>
                <w:color w:val="000000"/>
                <w:sz w:val="24"/>
              </w:rPr>
              <w:t>2</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440,990</w:t>
            </w:r>
          </w:p>
        </w:tc>
        <w:tc>
          <w:tcPr>
            <w:vAlign w:val="center"/>
          </w:tcPr>
          <w:p>
            <w:pPr>
              <w:jc w:val="right"/>
            </w:pPr>
            <w:r>
              <w:rPr>
                <w:color w:val="000000"/>
                <w:sz w:val="24"/>
              </w:rPr>
              <w:t>44,429,742.50</w:t>
            </w:r>
          </w:p>
        </w:tc>
        <w:tc>
          <w:tcPr>
            <w:vAlign w:val="center"/>
          </w:tcPr>
          <w:p>
            <w:pPr>
              <w:jc w:val="right"/>
            </w:pPr>
            <w:r>
              <w:rPr>
                <w:color w:val="000000"/>
                <w:sz w:val="24"/>
              </w:rPr>
              <w:t>5.37</w:t>
            </w:r>
          </w:p>
        </w:tc>
      </w:tr>
      <w:tr>
        <w:tc>
          <w:tcPr>
            <w:vAlign w:val="center"/>
          </w:tcPr>
          <w:p>
            <w:pPr>
              <w:jc w:val="center"/>
            </w:pPr>
            <w:r>
              <w:rPr>
                <w:color w:val="000000"/>
                <w:sz w:val="24"/>
              </w:rPr>
              <w:t>3</w:t>
            </w:r>
          </w:p>
        </w:tc>
        <w:tc>
          <w:tcPr>
            <w:vAlign w:val="center"/>
          </w:tcPr>
          <w:p>
            <w:pPr>
              <w:jc w:val="center"/>
            </w:pPr>
            <w:r>
              <w:rPr>
                <w:color w:val="000000"/>
                <w:sz w:val="24"/>
              </w:rPr>
              <w:t>143746</w:t>
            </w:r>
          </w:p>
        </w:tc>
        <w:tc>
          <w:tcPr>
            <w:vAlign w:val="center"/>
          </w:tcPr>
          <w:p>
            <w:pPr>
              <w:jc w:val="center"/>
            </w:pPr>
            <w:r>
              <w:rPr>
                <w:color w:val="000000"/>
                <w:sz w:val="24"/>
              </w:rPr>
              <w:t>18光明02</w:t>
            </w:r>
          </w:p>
        </w:tc>
        <w:tc>
          <w:tcPr>
            <w:vAlign w:val="center"/>
          </w:tcPr>
          <w:p>
            <w:pPr>
              <w:jc w:val="right"/>
            </w:pPr>
            <w:r>
              <w:rPr>
                <w:color w:val="000000"/>
                <w:sz w:val="24"/>
              </w:rPr>
              <w:t>400,000</w:t>
            </w:r>
          </w:p>
        </w:tc>
        <w:tc>
          <w:tcPr>
            <w:vAlign w:val="center"/>
          </w:tcPr>
          <w:p>
            <w:pPr>
              <w:jc w:val="right"/>
            </w:pPr>
            <w:r>
              <w:rPr>
                <w:color w:val="000000"/>
                <w:sz w:val="24"/>
              </w:rPr>
              <w:t>40,760,000.00</w:t>
            </w:r>
          </w:p>
        </w:tc>
        <w:tc>
          <w:tcPr>
            <w:vAlign w:val="center"/>
          </w:tcPr>
          <w:p>
            <w:pPr>
              <w:jc w:val="right"/>
            </w:pPr>
            <w:r>
              <w:rPr>
                <w:color w:val="000000"/>
                <w:sz w:val="24"/>
              </w:rPr>
              <w:t>4.93</w:t>
            </w:r>
          </w:p>
        </w:tc>
      </w:tr>
      <w:tr>
        <w:tc>
          <w:tcPr>
            <w:vAlign w:val="center"/>
          </w:tcPr>
          <w:p>
            <w:pPr>
              <w:jc w:val="center"/>
            </w:pPr>
            <w:r>
              <w:rPr>
                <w:color w:val="000000"/>
                <w:sz w:val="24"/>
              </w:rPr>
              <w:t>4</w:t>
            </w:r>
          </w:p>
        </w:tc>
        <w:tc>
          <w:tcPr>
            <w:vAlign w:val="center"/>
          </w:tcPr>
          <w:p>
            <w:pPr>
              <w:jc w:val="center"/>
            </w:pPr>
            <w:r>
              <w:rPr>
                <w:color w:val="000000"/>
                <w:sz w:val="24"/>
              </w:rPr>
              <w:t>136827</w:t>
            </w:r>
          </w:p>
        </w:tc>
        <w:tc>
          <w:tcPr>
            <w:vAlign w:val="center"/>
          </w:tcPr>
          <w:p>
            <w:pPr>
              <w:jc w:val="center"/>
            </w:pPr>
            <w:r>
              <w:rPr>
                <w:color w:val="000000"/>
                <w:sz w:val="24"/>
              </w:rPr>
              <w:t>16国网02</w:t>
            </w:r>
          </w:p>
        </w:tc>
        <w:tc>
          <w:tcPr>
            <w:vAlign w:val="center"/>
          </w:tcPr>
          <w:p>
            <w:pPr>
              <w:jc w:val="right"/>
            </w:pPr>
            <w:r>
              <w:rPr>
                <w:color w:val="000000"/>
                <w:sz w:val="24"/>
              </w:rPr>
              <w:t>400,000</w:t>
            </w:r>
          </w:p>
        </w:tc>
        <w:tc>
          <w:tcPr>
            <w:vAlign w:val="center"/>
          </w:tcPr>
          <w:p>
            <w:pPr>
              <w:jc w:val="right"/>
            </w:pPr>
            <w:r>
              <w:rPr>
                <w:color w:val="000000"/>
                <w:sz w:val="24"/>
              </w:rPr>
              <w:t>40,312,000.00</w:t>
            </w:r>
          </w:p>
        </w:tc>
        <w:tc>
          <w:tcPr>
            <w:vAlign w:val="center"/>
          </w:tcPr>
          <w:p>
            <w:pPr>
              <w:jc w:val="right"/>
            </w:pPr>
            <w:r>
              <w:rPr>
                <w:color w:val="000000"/>
                <w:sz w:val="24"/>
              </w:rPr>
              <w:t>4.87</w:t>
            </w:r>
          </w:p>
        </w:tc>
      </w:tr>
      <w:tr>
        <w:tc>
          <w:tcPr>
            <w:vAlign w:val="center"/>
          </w:tcPr>
          <w:p>
            <w:pPr>
              <w:jc w:val="center"/>
            </w:pPr>
            <w:r>
              <w:rPr>
                <w:color w:val="000000"/>
                <w:sz w:val="24"/>
              </w:rPr>
              <w:t>5</w:t>
            </w:r>
          </w:p>
        </w:tc>
        <w:tc>
          <w:tcPr>
            <w:vAlign w:val="center"/>
          </w:tcPr>
          <w:p>
            <w:pPr>
              <w:jc w:val="center"/>
            </w:pPr>
            <w:r>
              <w:rPr>
                <w:color w:val="000000"/>
                <w:sz w:val="24"/>
              </w:rPr>
              <w:t>101800480</w:t>
            </w:r>
          </w:p>
        </w:tc>
        <w:tc>
          <w:tcPr>
            <w:vAlign w:val="center"/>
          </w:tcPr>
          <w:p>
            <w:pPr>
              <w:jc w:val="center"/>
            </w:pPr>
            <w:r>
              <w:rPr>
                <w:color w:val="000000"/>
                <w:sz w:val="24"/>
              </w:rPr>
              <w:t>18物产中大MTN001</w:t>
            </w:r>
          </w:p>
        </w:tc>
        <w:tc>
          <w:tcPr>
            <w:vAlign w:val="center"/>
          </w:tcPr>
          <w:p>
            <w:pPr>
              <w:jc w:val="right"/>
            </w:pPr>
            <w:r>
              <w:rPr>
                <w:color w:val="000000"/>
                <w:sz w:val="24"/>
              </w:rPr>
              <w:t>300,000</w:t>
            </w:r>
          </w:p>
        </w:tc>
        <w:tc>
          <w:tcPr>
            <w:vAlign w:val="center"/>
          </w:tcPr>
          <w:p>
            <w:pPr>
              <w:jc w:val="right"/>
            </w:pPr>
            <w:r>
              <w:rPr>
                <w:color w:val="000000"/>
                <w:sz w:val="24"/>
              </w:rPr>
              <w:t>30,996,000.00</w:t>
            </w:r>
          </w:p>
        </w:tc>
        <w:tc>
          <w:tcPr>
            <w:vAlign w:val="center"/>
          </w:tcPr>
          <w:p>
            <w:pPr>
              <w:jc w:val="right"/>
            </w:pPr>
            <w:r>
              <w:rPr>
                <w:color w:val="000000"/>
                <w:sz w:val="24"/>
              </w:rPr>
              <w:t>3.75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39,148.55</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594,764.15</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12,706,983.87</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131,993.60</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13,472,890.17</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交银优择回报灵活配置混合A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交银优择回报灵活配置混合C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697,300,462.81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3,008,096.81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7,213,073.95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6,602,249.17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2,233,281.74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2,653,446.05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702,280,255.02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6,956,899.93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2020/1/1-2020/3/31</w:t>
            </w:r>
          </w:p>
        </w:tc>
        <w:tc>
          <w:tcPr>
            <w:vAlign w:val="center"/>
          </w:tcPr>
          <w:p>
            <w:pPr>
              <w:jc w:val="center"/>
            </w:pPr>
            <w:r>
              <w:rPr>
                <w:rFonts w:ascii="宋体" w:hAnsi="宋体" w:hint="eastAsia"/>
                <w:color w:val="000000"/>
                <w:kern w:val="0"/>
                <w:szCs w:val="21"/>
              </w:rPr>
              <w:t>500,044,000.00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500,044,000.00</w:t>
            </w:r>
          </w:p>
        </w:tc>
        <w:tc>
          <w:tcPr>
            <w:vAlign w:val="center"/>
          </w:tcPr>
          <w:p>
            <w:pPr>
              <w:jc w:val="center"/>
            </w:pPr>
            <w:r>
              <w:rPr>
                <w:rFonts w:ascii="宋体" w:hAnsi="宋体" w:hint="eastAsia"/>
                <w:color w:val="000000"/>
                <w:kern w:val="0"/>
                <w:szCs w:val="21"/>
              </w:rPr>
              <w:t>70.50%</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2020/1/1-2020/3/31</w:t>
            </w:r>
          </w:p>
        </w:tc>
        <w:tc>
          <w:tcPr>
            <w:vAlign w:val="center"/>
          </w:tcPr>
          <w:p>
            <w:pPr>
              <w:jc w:val="center"/>
            </w:pPr>
            <w:r>
              <w:rPr>
                <w:rFonts w:ascii="宋体" w:hAnsi="宋体" w:hint="eastAsia"/>
                <w:color w:val="000000"/>
                <w:kern w:val="0"/>
                <w:szCs w:val="21"/>
              </w:rPr>
              <w:t>193,609,874.15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193,609,874.15</w:t>
            </w:r>
          </w:p>
        </w:tc>
        <w:tc>
          <w:tcPr>
            <w:vAlign w:val="center"/>
          </w:tcPr>
          <w:p>
            <w:pPr>
              <w:jc w:val="center"/>
            </w:pPr>
            <w:r>
              <w:rPr>
                <w:rFonts w:ascii="宋体" w:hAnsi="宋体" w:hint="eastAsia"/>
                <w:color w:val="000000"/>
                <w:kern w:val="0"/>
                <w:szCs w:val="21"/>
              </w:rPr>
              <w:t>27.30%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1、中国证监会准予交银施罗德优择回报灵活配置混合型证券投资基金募集注册的文件；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2、《交银施罗德优择回报灵活配置混合型证券投资基金基金合同》；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3、《交银施罗德优择回报灵活配置混合型证券投资基金招募说明书》；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4、《交银施罗德优择回报灵活配置混合型证券投资基金托管协议》；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5、关于申请募集注册交银施罗德优择回报灵活配置混合型证券投资基金的法律意见书；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8、报告期内交银施罗德优择回报灵活配置混合型证券投资基金在指定报刊上各项公告的原稿。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交银施罗德优择回报灵活配置混合型证券投资基金2020年第1季度报告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