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D4DD9" w:rsidRDefault="007C717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D4DD9" w:rsidRDefault="007C717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D4DD9" w:rsidRDefault="007C717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D4DD9" w:rsidRDefault="007C7178">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8D4DD9" w:rsidRDefault="007C717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350,927,349.31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25D61" w:rsidRPr="00414345" w:rsidTr="00825D6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25D61" w:rsidRPr="00414345" w:rsidTr="00825D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72,769,640.25</w:t>
            </w:r>
          </w:p>
        </w:tc>
      </w:tr>
      <w:tr w:rsidR="00825D61" w:rsidRPr="00414345" w:rsidTr="00825D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-2,858,675.01</w:t>
            </w:r>
          </w:p>
        </w:tc>
      </w:tr>
      <w:tr w:rsidR="00825D61" w:rsidRPr="00414345" w:rsidTr="00825D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-0.0075</w:t>
            </w:r>
          </w:p>
        </w:tc>
      </w:tr>
      <w:tr w:rsidR="00825D61" w:rsidRPr="00414345" w:rsidTr="00825D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497,375,457.24</w:t>
            </w:r>
          </w:p>
        </w:tc>
      </w:tr>
      <w:tr w:rsidR="00825D61" w:rsidRPr="00414345" w:rsidTr="00825D6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1.4173</w:t>
            </w:r>
          </w:p>
        </w:tc>
      </w:tr>
    </w:tbl>
    <w:p w:rsidR="008D4DD9" w:rsidRDefault="007C71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D4DD9">
        <w:trPr>
          <w:jc w:val="center"/>
        </w:trPr>
        <w:tc>
          <w:tcPr>
            <w:tcW w:w="1701" w:type="dxa"/>
            <w:vAlign w:val="center"/>
          </w:tcPr>
          <w:p w:rsidR="008D4DD9" w:rsidRDefault="007C7178">
            <w:pPr>
              <w:jc w:val="left"/>
            </w:pPr>
            <w:r>
              <w:rPr>
                <w:color w:val="000000"/>
                <w:sz w:val="24"/>
                <w:szCs w:val="24"/>
              </w:rPr>
              <w:t>过去三个月</w:t>
            </w:r>
          </w:p>
        </w:tc>
        <w:tc>
          <w:tcPr>
            <w:tcW w:w="1045" w:type="dxa"/>
            <w:vAlign w:val="center"/>
          </w:tcPr>
          <w:p w:rsidR="008D4DD9" w:rsidRDefault="007C7178">
            <w:pPr>
              <w:jc w:val="center"/>
            </w:pPr>
            <w:r>
              <w:rPr>
                <w:color w:val="000000"/>
                <w:sz w:val="24"/>
                <w:szCs w:val="24"/>
              </w:rPr>
              <w:t>-2.11%</w:t>
            </w:r>
          </w:p>
        </w:tc>
        <w:tc>
          <w:tcPr>
            <w:tcW w:w="1344" w:type="dxa"/>
            <w:vAlign w:val="center"/>
          </w:tcPr>
          <w:p w:rsidR="008D4DD9" w:rsidRDefault="007C7178">
            <w:pPr>
              <w:jc w:val="center"/>
            </w:pPr>
            <w:r>
              <w:rPr>
                <w:color w:val="000000"/>
                <w:sz w:val="24"/>
                <w:szCs w:val="24"/>
              </w:rPr>
              <w:t>2.33%</w:t>
            </w:r>
          </w:p>
        </w:tc>
        <w:tc>
          <w:tcPr>
            <w:tcW w:w="1194" w:type="dxa"/>
            <w:vAlign w:val="center"/>
          </w:tcPr>
          <w:p w:rsidR="008D4DD9" w:rsidRDefault="007C7178">
            <w:pPr>
              <w:jc w:val="center"/>
            </w:pPr>
            <w:r>
              <w:rPr>
                <w:color w:val="000000"/>
                <w:sz w:val="24"/>
                <w:szCs w:val="24"/>
              </w:rPr>
              <w:t>-2.59%</w:t>
            </w:r>
          </w:p>
        </w:tc>
        <w:tc>
          <w:tcPr>
            <w:tcW w:w="1492" w:type="dxa"/>
            <w:vAlign w:val="center"/>
          </w:tcPr>
          <w:p w:rsidR="008D4DD9" w:rsidRDefault="007C7178">
            <w:pPr>
              <w:jc w:val="center"/>
            </w:pPr>
            <w:r>
              <w:rPr>
                <w:color w:val="000000"/>
                <w:sz w:val="24"/>
                <w:szCs w:val="24"/>
              </w:rPr>
              <w:t>1.65%</w:t>
            </w:r>
          </w:p>
        </w:tc>
        <w:tc>
          <w:tcPr>
            <w:tcW w:w="1194" w:type="dxa"/>
            <w:vAlign w:val="center"/>
          </w:tcPr>
          <w:p w:rsidR="008D4DD9" w:rsidRDefault="007C7178">
            <w:pPr>
              <w:jc w:val="center"/>
            </w:pPr>
            <w:r>
              <w:rPr>
                <w:color w:val="000000"/>
                <w:sz w:val="24"/>
                <w:szCs w:val="24"/>
              </w:rPr>
              <w:t>0.48%</w:t>
            </w:r>
          </w:p>
        </w:tc>
        <w:tc>
          <w:tcPr>
            <w:tcW w:w="898" w:type="dxa"/>
            <w:vAlign w:val="center"/>
          </w:tcPr>
          <w:p w:rsidR="008D4DD9" w:rsidRDefault="007C7178">
            <w:pPr>
              <w:jc w:val="center"/>
            </w:pPr>
            <w:r>
              <w:rPr>
                <w:color w:val="000000"/>
                <w:sz w:val="24"/>
                <w:szCs w:val="24"/>
              </w:rPr>
              <w:t>0.68%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D4DD9">
        <w:trPr>
          <w:jc w:val="center"/>
        </w:trPr>
        <w:tc>
          <w:tcPr>
            <w:tcW w:w="846" w:type="dxa"/>
            <w:vAlign w:val="center"/>
          </w:tcPr>
          <w:p w:rsidR="008D4DD9" w:rsidRDefault="007C7178">
            <w:pPr>
              <w:jc w:val="center"/>
            </w:pPr>
            <w:r>
              <w:rPr>
                <w:color w:val="000000"/>
                <w:sz w:val="24"/>
                <w:szCs w:val="24"/>
              </w:rPr>
              <w:t>芮晨</w:t>
            </w:r>
          </w:p>
        </w:tc>
        <w:tc>
          <w:tcPr>
            <w:tcW w:w="845" w:type="dxa"/>
            <w:vAlign w:val="center"/>
          </w:tcPr>
          <w:p w:rsidR="008D4DD9" w:rsidRDefault="007C7178">
            <w:pPr>
              <w:jc w:val="center"/>
            </w:pPr>
            <w:r>
              <w:rPr>
                <w:color w:val="000000"/>
                <w:sz w:val="24"/>
                <w:szCs w:val="24"/>
              </w:rPr>
              <w:t>交银先锋混合、交银科技创新灵活</w:t>
            </w:r>
            <w:r>
              <w:rPr>
                <w:color w:val="000000"/>
                <w:sz w:val="24"/>
                <w:szCs w:val="24"/>
              </w:rPr>
              <w:lastRenderedPageBreak/>
              <w:t>配置混合的基金经理</w:t>
            </w:r>
          </w:p>
        </w:tc>
        <w:tc>
          <w:tcPr>
            <w:tcW w:w="1549" w:type="dxa"/>
            <w:vAlign w:val="center"/>
          </w:tcPr>
          <w:p w:rsidR="008D4DD9" w:rsidRDefault="007C7178">
            <w:pPr>
              <w:jc w:val="center"/>
            </w:pPr>
            <w:r>
              <w:rPr>
                <w:color w:val="000000"/>
                <w:sz w:val="24"/>
                <w:szCs w:val="24"/>
              </w:rPr>
              <w:lastRenderedPageBreak/>
              <w:t>2015-05-18</w:t>
            </w:r>
          </w:p>
        </w:tc>
        <w:tc>
          <w:tcPr>
            <w:tcW w:w="1548" w:type="dxa"/>
            <w:vAlign w:val="center"/>
          </w:tcPr>
          <w:p w:rsidR="008D4DD9" w:rsidRDefault="007C7178">
            <w:pPr>
              <w:jc w:val="center"/>
            </w:pPr>
            <w:r>
              <w:rPr>
                <w:color w:val="000000"/>
                <w:sz w:val="24"/>
                <w:szCs w:val="24"/>
              </w:rPr>
              <w:t>-</w:t>
            </w:r>
          </w:p>
        </w:tc>
        <w:tc>
          <w:tcPr>
            <w:tcW w:w="1407" w:type="dxa"/>
            <w:vAlign w:val="center"/>
          </w:tcPr>
          <w:p w:rsidR="008D4DD9" w:rsidRDefault="007C7178">
            <w:pPr>
              <w:jc w:val="center"/>
            </w:pPr>
            <w:r>
              <w:rPr>
                <w:color w:val="000000"/>
                <w:sz w:val="24"/>
                <w:szCs w:val="24"/>
              </w:rPr>
              <w:t>13</w:t>
            </w:r>
            <w:r>
              <w:rPr>
                <w:color w:val="000000"/>
                <w:sz w:val="24"/>
                <w:szCs w:val="24"/>
              </w:rPr>
              <w:t>年</w:t>
            </w:r>
          </w:p>
        </w:tc>
        <w:tc>
          <w:tcPr>
            <w:tcW w:w="2673" w:type="dxa"/>
            <w:vAlign w:val="center"/>
          </w:tcPr>
          <w:p w:rsidR="008D4DD9" w:rsidRDefault="007C7178">
            <w:r>
              <w:rPr>
                <w:color w:val="000000"/>
                <w:sz w:val="24"/>
                <w:szCs w:val="24"/>
              </w:rPr>
              <w:t>芮晨先生，内蒙古科技大学工学士。历任深圳尚诚资产管理有限公司研究员、研究副总监，国联安基金管理有限公司行业研究员、投资经理，浙商证券资产管理</w:t>
            </w:r>
            <w:r>
              <w:rPr>
                <w:color w:val="000000"/>
                <w:sz w:val="24"/>
                <w:szCs w:val="24"/>
              </w:rPr>
              <w:lastRenderedPageBreak/>
              <w:t>有限公司投资主办。</w:t>
            </w:r>
            <w:r>
              <w:rPr>
                <w:color w:val="000000"/>
                <w:sz w:val="24"/>
                <w:szCs w:val="24"/>
              </w:rPr>
              <w:t>2015</w:t>
            </w:r>
            <w:r>
              <w:rPr>
                <w:color w:val="000000"/>
                <w:sz w:val="24"/>
                <w:szCs w:val="24"/>
              </w:rPr>
              <w:t>年加入交银施罗德基金管理有限公司。</w:t>
            </w:r>
            <w:r>
              <w:rPr>
                <w:color w:val="000000"/>
                <w:sz w:val="24"/>
                <w:szCs w:val="24"/>
              </w:rPr>
              <w:t>2016</w:t>
            </w:r>
            <w:r>
              <w:rPr>
                <w:color w:val="000000"/>
                <w:sz w:val="24"/>
                <w:szCs w:val="24"/>
              </w:rPr>
              <w:t>年</w:t>
            </w:r>
            <w:r>
              <w:rPr>
                <w:color w:val="000000"/>
                <w:sz w:val="24"/>
                <w:szCs w:val="24"/>
              </w:rPr>
              <w:t>8</w:t>
            </w:r>
            <w:r>
              <w:rPr>
                <w:color w:val="000000"/>
                <w:sz w:val="24"/>
                <w:szCs w:val="24"/>
              </w:rPr>
              <w:t>月</w:t>
            </w:r>
            <w:r>
              <w:rPr>
                <w:color w:val="000000"/>
                <w:sz w:val="24"/>
                <w:szCs w:val="24"/>
              </w:rPr>
              <w:t>16</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日担任交银施罗德数据产业灵活配置混合型证券投资基金的基金经理。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D4DD9" w:rsidRDefault="007C717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D4DD9" w:rsidRDefault="007C717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D4DD9" w:rsidRDefault="007C717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D4DD9" w:rsidRDefault="007C7178">
      <w:pPr>
        <w:spacing w:before="29" w:line="288" w:lineRule="auto"/>
        <w:ind w:firstLineChars="200" w:firstLine="480"/>
        <w:rPr>
          <w:color w:val="000000"/>
          <w:sz w:val="24"/>
          <w:szCs w:val="24"/>
        </w:rPr>
      </w:pPr>
      <w:r>
        <w:rPr>
          <w:color w:val="000000"/>
          <w:sz w:val="24"/>
          <w:szCs w:val="24"/>
        </w:rPr>
        <w:t>2020</w:t>
      </w:r>
      <w:r>
        <w:rPr>
          <w:color w:val="000000"/>
          <w:sz w:val="24"/>
          <w:szCs w:val="24"/>
        </w:rPr>
        <w:t>年一季度遭遇新冠疫情的影响，全世界资本市场大幅波动，波动幅度从</w:t>
      </w:r>
      <w:r>
        <w:rPr>
          <w:color w:val="000000"/>
          <w:sz w:val="24"/>
          <w:szCs w:val="24"/>
        </w:rPr>
        <w:t>100</w:t>
      </w:r>
      <w:r>
        <w:rPr>
          <w:color w:val="000000"/>
          <w:sz w:val="24"/>
          <w:szCs w:val="24"/>
        </w:rPr>
        <w:t>年的时间跨度来看，也是罕见的。由于中国采取了迅速而强有力管控措施，新冠疫情在较短的时间内得到有效控制并下降到很低的水平。反映到</w:t>
      </w:r>
      <w:r>
        <w:rPr>
          <w:color w:val="000000"/>
          <w:sz w:val="24"/>
          <w:szCs w:val="24"/>
        </w:rPr>
        <w:t>A</w:t>
      </w:r>
      <w:r>
        <w:rPr>
          <w:color w:val="000000"/>
          <w:sz w:val="24"/>
          <w:szCs w:val="24"/>
        </w:rPr>
        <w:t>股上，调整幅度在全世界看都是相当缓和的。本基金一季度超越业绩比较基准表现。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新冠疫情对全球经济无论从需求还是供给都产生了很大冲击，但现在还很难做出量化的分析，还需要持续跟踪。我们希望二季度新冠病患的发病数量能够看到拐点，这样对全球经济的冲击就是短期的，可较快恢复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825D61" w:rsidRDefault="009C1009" w:rsidP="009C1009">
      <w:pPr>
        <w:autoSpaceDE w:val="0"/>
        <w:autoSpaceDN w:val="0"/>
        <w:adjustRightInd w:val="0"/>
        <w:spacing w:line="360" w:lineRule="auto"/>
        <w:jc w:val="right"/>
        <w:rPr>
          <w:rFonts w:eastAsiaTheme="minorEastAsia"/>
          <w:b/>
          <w:color w:val="000000" w:themeColor="text1"/>
          <w:kern w:val="0"/>
          <w:sz w:val="32"/>
          <w:szCs w:val="24"/>
        </w:rPr>
      </w:pPr>
      <w:r w:rsidRPr="00825D61">
        <w:rPr>
          <w:rFonts w:hint="eastAsia"/>
          <w:color w:val="000000"/>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457,189,755.33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90.52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457,189,755.33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90.52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20,030,000.00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20,030,000.00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26,340,929.38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1,517,829.21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505,078,513.92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183,094,589.69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204,050,775.27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9,836,900.55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21,444,383.88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156,167.10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19,930,556.00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18,676,382.84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457,189,755.33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91.92</w:t>
            </w:r>
          </w:p>
        </w:tc>
      </w:tr>
    </w:tbl>
    <w:p w:rsidR="00825D61" w:rsidRDefault="00825D6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D4DD9">
        <w:trPr>
          <w:jc w:val="center"/>
        </w:trPr>
        <w:tc>
          <w:tcPr>
            <w:tcW w:w="855" w:type="dxa"/>
            <w:vAlign w:val="center"/>
          </w:tcPr>
          <w:p w:rsidR="008D4DD9" w:rsidRDefault="007C7178">
            <w:pPr>
              <w:jc w:val="center"/>
            </w:pPr>
            <w:r>
              <w:rPr>
                <w:color w:val="000000"/>
                <w:sz w:val="24"/>
                <w:szCs w:val="24"/>
              </w:rPr>
              <w:t>1</w:t>
            </w:r>
          </w:p>
        </w:tc>
        <w:tc>
          <w:tcPr>
            <w:tcW w:w="1334" w:type="dxa"/>
            <w:vAlign w:val="center"/>
          </w:tcPr>
          <w:p w:rsidR="008D4DD9" w:rsidRDefault="007C7178">
            <w:pPr>
              <w:jc w:val="center"/>
            </w:pPr>
            <w:r>
              <w:rPr>
                <w:color w:val="000000"/>
                <w:sz w:val="24"/>
                <w:szCs w:val="24"/>
              </w:rPr>
              <w:t>300572</w:t>
            </w:r>
          </w:p>
        </w:tc>
        <w:tc>
          <w:tcPr>
            <w:tcW w:w="1777" w:type="dxa"/>
            <w:vAlign w:val="center"/>
          </w:tcPr>
          <w:p w:rsidR="008D4DD9" w:rsidRDefault="007C7178">
            <w:pPr>
              <w:jc w:val="center"/>
            </w:pPr>
            <w:r>
              <w:rPr>
                <w:color w:val="000000"/>
                <w:sz w:val="24"/>
                <w:szCs w:val="24"/>
              </w:rPr>
              <w:t>安车检测</w:t>
            </w:r>
          </w:p>
        </w:tc>
        <w:tc>
          <w:tcPr>
            <w:tcW w:w="1334" w:type="dxa"/>
            <w:vAlign w:val="center"/>
          </w:tcPr>
          <w:p w:rsidR="008D4DD9" w:rsidRDefault="007C7178">
            <w:pPr>
              <w:jc w:val="right"/>
            </w:pPr>
            <w:r>
              <w:rPr>
                <w:color w:val="000000"/>
                <w:sz w:val="24"/>
                <w:szCs w:val="24"/>
              </w:rPr>
              <w:t>1,059,387</w:t>
            </w:r>
          </w:p>
        </w:tc>
        <w:tc>
          <w:tcPr>
            <w:tcW w:w="1924" w:type="dxa"/>
            <w:vAlign w:val="center"/>
          </w:tcPr>
          <w:p w:rsidR="008D4DD9" w:rsidRDefault="007C7178">
            <w:pPr>
              <w:jc w:val="right"/>
            </w:pPr>
            <w:r>
              <w:rPr>
                <w:color w:val="000000"/>
                <w:sz w:val="24"/>
                <w:szCs w:val="24"/>
              </w:rPr>
              <w:t>41,188,966.56</w:t>
            </w:r>
          </w:p>
        </w:tc>
        <w:tc>
          <w:tcPr>
            <w:tcW w:w="1644" w:type="dxa"/>
            <w:vAlign w:val="center"/>
          </w:tcPr>
          <w:p w:rsidR="008D4DD9" w:rsidRDefault="007C7178">
            <w:pPr>
              <w:jc w:val="right"/>
            </w:pPr>
            <w:r>
              <w:rPr>
                <w:color w:val="000000"/>
                <w:sz w:val="24"/>
                <w:szCs w:val="24"/>
              </w:rPr>
              <w:t>8.28</w:t>
            </w:r>
          </w:p>
        </w:tc>
      </w:tr>
      <w:tr w:rsidR="008D4DD9">
        <w:trPr>
          <w:jc w:val="center"/>
        </w:trPr>
        <w:tc>
          <w:tcPr>
            <w:tcW w:w="855" w:type="dxa"/>
            <w:vAlign w:val="center"/>
          </w:tcPr>
          <w:p w:rsidR="008D4DD9" w:rsidRDefault="007C7178">
            <w:pPr>
              <w:jc w:val="center"/>
            </w:pPr>
            <w:r>
              <w:rPr>
                <w:color w:val="000000"/>
                <w:sz w:val="24"/>
                <w:szCs w:val="24"/>
              </w:rPr>
              <w:t>2</w:t>
            </w:r>
          </w:p>
        </w:tc>
        <w:tc>
          <w:tcPr>
            <w:tcW w:w="1334" w:type="dxa"/>
            <w:vAlign w:val="center"/>
          </w:tcPr>
          <w:p w:rsidR="008D4DD9" w:rsidRDefault="007C7178">
            <w:pPr>
              <w:jc w:val="center"/>
            </w:pPr>
            <w:r>
              <w:rPr>
                <w:color w:val="000000"/>
                <w:sz w:val="24"/>
                <w:szCs w:val="24"/>
              </w:rPr>
              <w:t>300365</w:t>
            </w:r>
          </w:p>
        </w:tc>
        <w:tc>
          <w:tcPr>
            <w:tcW w:w="1777" w:type="dxa"/>
            <w:vAlign w:val="center"/>
          </w:tcPr>
          <w:p w:rsidR="008D4DD9" w:rsidRDefault="007C7178">
            <w:pPr>
              <w:jc w:val="center"/>
            </w:pPr>
            <w:r>
              <w:rPr>
                <w:color w:val="000000"/>
                <w:sz w:val="24"/>
                <w:szCs w:val="24"/>
              </w:rPr>
              <w:t>恒华科技</w:t>
            </w:r>
          </w:p>
        </w:tc>
        <w:tc>
          <w:tcPr>
            <w:tcW w:w="1334" w:type="dxa"/>
            <w:vAlign w:val="center"/>
          </w:tcPr>
          <w:p w:rsidR="008D4DD9" w:rsidRDefault="007C7178">
            <w:pPr>
              <w:jc w:val="right"/>
            </w:pPr>
            <w:r>
              <w:rPr>
                <w:color w:val="000000"/>
                <w:sz w:val="24"/>
                <w:szCs w:val="24"/>
              </w:rPr>
              <w:t>3,266,504</w:t>
            </w:r>
          </w:p>
        </w:tc>
        <w:tc>
          <w:tcPr>
            <w:tcW w:w="1924" w:type="dxa"/>
            <w:vAlign w:val="center"/>
          </w:tcPr>
          <w:p w:rsidR="008D4DD9" w:rsidRDefault="007C7178">
            <w:pPr>
              <w:jc w:val="right"/>
            </w:pPr>
            <w:r>
              <w:rPr>
                <w:color w:val="000000"/>
                <w:sz w:val="24"/>
                <w:szCs w:val="24"/>
              </w:rPr>
              <w:t>40,831,300.00</w:t>
            </w:r>
          </w:p>
        </w:tc>
        <w:tc>
          <w:tcPr>
            <w:tcW w:w="1644" w:type="dxa"/>
            <w:vAlign w:val="center"/>
          </w:tcPr>
          <w:p w:rsidR="008D4DD9" w:rsidRDefault="007C7178">
            <w:pPr>
              <w:jc w:val="right"/>
            </w:pPr>
            <w:r>
              <w:rPr>
                <w:color w:val="000000"/>
                <w:sz w:val="24"/>
                <w:szCs w:val="24"/>
              </w:rPr>
              <w:t>8.21</w:t>
            </w:r>
          </w:p>
        </w:tc>
      </w:tr>
      <w:tr w:rsidR="008D4DD9">
        <w:trPr>
          <w:jc w:val="center"/>
        </w:trPr>
        <w:tc>
          <w:tcPr>
            <w:tcW w:w="855" w:type="dxa"/>
            <w:vAlign w:val="center"/>
          </w:tcPr>
          <w:p w:rsidR="008D4DD9" w:rsidRDefault="007C7178">
            <w:pPr>
              <w:jc w:val="center"/>
            </w:pPr>
            <w:r>
              <w:rPr>
                <w:color w:val="000000"/>
                <w:sz w:val="24"/>
                <w:szCs w:val="24"/>
              </w:rPr>
              <w:t>3</w:t>
            </w:r>
          </w:p>
        </w:tc>
        <w:tc>
          <w:tcPr>
            <w:tcW w:w="1334" w:type="dxa"/>
            <w:vAlign w:val="center"/>
          </w:tcPr>
          <w:p w:rsidR="008D4DD9" w:rsidRDefault="007C7178">
            <w:pPr>
              <w:jc w:val="center"/>
            </w:pPr>
            <w:r>
              <w:rPr>
                <w:color w:val="000000"/>
                <w:sz w:val="24"/>
                <w:szCs w:val="24"/>
              </w:rPr>
              <w:t>300395</w:t>
            </w:r>
          </w:p>
        </w:tc>
        <w:tc>
          <w:tcPr>
            <w:tcW w:w="1777" w:type="dxa"/>
            <w:vAlign w:val="center"/>
          </w:tcPr>
          <w:p w:rsidR="008D4DD9" w:rsidRDefault="007C7178">
            <w:pPr>
              <w:jc w:val="center"/>
            </w:pPr>
            <w:r>
              <w:rPr>
                <w:color w:val="000000"/>
                <w:sz w:val="24"/>
                <w:szCs w:val="24"/>
              </w:rPr>
              <w:t>菲利华</w:t>
            </w:r>
          </w:p>
        </w:tc>
        <w:tc>
          <w:tcPr>
            <w:tcW w:w="1334" w:type="dxa"/>
            <w:vAlign w:val="center"/>
          </w:tcPr>
          <w:p w:rsidR="008D4DD9" w:rsidRDefault="007C7178">
            <w:pPr>
              <w:jc w:val="right"/>
            </w:pPr>
            <w:r>
              <w:rPr>
                <w:color w:val="000000"/>
                <w:sz w:val="24"/>
                <w:szCs w:val="24"/>
              </w:rPr>
              <w:t>1,771,636</w:t>
            </w:r>
          </w:p>
        </w:tc>
        <w:tc>
          <w:tcPr>
            <w:tcW w:w="1924" w:type="dxa"/>
            <w:vAlign w:val="center"/>
          </w:tcPr>
          <w:p w:rsidR="008D4DD9" w:rsidRDefault="007C7178">
            <w:pPr>
              <w:jc w:val="right"/>
            </w:pPr>
            <w:r>
              <w:rPr>
                <w:color w:val="000000"/>
                <w:sz w:val="24"/>
                <w:szCs w:val="24"/>
              </w:rPr>
              <w:t>36,832,312.44</w:t>
            </w:r>
          </w:p>
        </w:tc>
        <w:tc>
          <w:tcPr>
            <w:tcW w:w="1644" w:type="dxa"/>
            <w:vAlign w:val="center"/>
          </w:tcPr>
          <w:p w:rsidR="008D4DD9" w:rsidRDefault="007C7178">
            <w:pPr>
              <w:jc w:val="right"/>
            </w:pPr>
            <w:r>
              <w:rPr>
                <w:color w:val="000000"/>
                <w:sz w:val="24"/>
                <w:szCs w:val="24"/>
              </w:rPr>
              <w:t>7.41</w:t>
            </w:r>
          </w:p>
        </w:tc>
      </w:tr>
      <w:tr w:rsidR="008D4DD9">
        <w:trPr>
          <w:jc w:val="center"/>
        </w:trPr>
        <w:tc>
          <w:tcPr>
            <w:tcW w:w="855" w:type="dxa"/>
            <w:vAlign w:val="center"/>
          </w:tcPr>
          <w:p w:rsidR="008D4DD9" w:rsidRDefault="007C7178">
            <w:pPr>
              <w:jc w:val="center"/>
            </w:pPr>
            <w:r>
              <w:rPr>
                <w:color w:val="000000"/>
                <w:sz w:val="24"/>
                <w:szCs w:val="24"/>
              </w:rPr>
              <w:t>4</w:t>
            </w:r>
          </w:p>
        </w:tc>
        <w:tc>
          <w:tcPr>
            <w:tcW w:w="1334" w:type="dxa"/>
            <w:vAlign w:val="center"/>
          </w:tcPr>
          <w:p w:rsidR="008D4DD9" w:rsidRDefault="007C7178">
            <w:pPr>
              <w:jc w:val="center"/>
            </w:pPr>
            <w:r>
              <w:rPr>
                <w:color w:val="000000"/>
                <w:sz w:val="24"/>
                <w:szCs w:val="24"/>
              </w:rPr>
              <w:t>603195</w:t>
            </w:r>
          </w:p>
        </w:tc>
        <w:tc>
          <w:tcPr>
            <w:tcW w:w="1777" w:type="dxa"/>
            <w:vAlign w:val="center"/>
          </w:tcPr>
          <w:p w:rsidR="008D4DD9" w:rsidRDefault="007C7178">
            <w:pPr>
              <w:jc w:val="center"/>
            </w:pPr>
            <w:r>
              <w:rPr>
                <w:color w:val="000000"/>
                <w:sz w:val="24"/>
                <w:szCs w:val="24"/>
              </w:rPr>
              <w:t>公牛集团</w:t>
            </w:r>
          </w:p>
        </w:tc>
        <w:tc>
          <w:tcPr>
            <w:tcW w:w="1334" w:type="dxa"/>
            <w:vAlign w:val="center"/>
          </w:tcPr>
          <w:p w:rsidR="008D4DD9" w:rsidRDefault="007C7178">
            <w:pPr>
              <w:jc w:val="right"/>
            </w:pPr>
            <w:r>
              <w:rPr>
                <w:color w:val="000000"/>
                <w:sz w:val="24"/>
                <w:szCs w:val="24"/>
              </w:rPr>
              <w:t>204,759</w:t>
            </w:r>
          </w:p>
        </w:tc>
        <w:tc>
          <w:tcPr>
            <w:tcW w:w="1924" w:type="dxa"/>
            <w:vAlign w:val="center"/>
          </w:tcPr>
          <w:p w:rsidR="008D4DD9" w:rsidRDefault="007C7178">
            <w:pPr>
              <w:jc w:val="right"/>
            </w:pPr>
            <w:r>
              <w:rPr>
                <w:color w:val="000000"/>
                <w:sz w:val="24"/>
                <w:szCs w:val="24"/>
              </w:rPr>
              <w:t>31,731,502.23</w:t>
            </w:r>
          </w:p>
        </w:tc>
        <w:tc>
          <w:tcPr>
            <w:tcW w:w="1644" w:type="dxa"/>
            <w:vAlign w:val="center"/>
          </w:tcPr>
          <w:p w:rsidR="008D4DD9" w:rsidRDefault="007C7178">
            <w:pPr>
              <w:jc w:val="right"/>
            </w:pPr>
            <w:r>
              <w:rPr>
                <w:color w:val="000000"/>
                <w:sz w:val="24"/>
                <w:szCs w:val="24"/>
              </w:rPr>
              <w:t>6.38</w:t>
            </w:r>
          </w:p>
        </w:tc>
      </w:tr>
      <w:tr w:rsidR="008D4DD9">
        <w:trPr>
          <w:jc w:val="center"/>
        </w:trPr>
        <w:tc>
          <w:tcPr>
            <w:tcW w:w="855" w:type="dxa"/>
            <w:vAlign w:val="center"/>
          </w:tcPr>
          <w:p w:rsidR="008D4DD9" w:rsidRDefault="007C7178">
            <w:pPr>
              <w:jc w:val="center"/>
            </w:pPr>
            <w:r>
              <w:rPr>
                <w:color w:val="000000"/>
                <w:sz w:val="24"/>
                <w:szCs w:val="24"/>
              </w:rPr>
              <w:t>5</w:t>
            </w:r>
          </w:p>
        </w:tc>
        <w:tc>
          <w:tcPr>
            <w:tcW w:w="1334" w:type="dxa"/>
            <w:vAlign w:val="center"/>
          </w:tcPr>
          <w:p w:rsidR="008D4DD9" w:rsidRDefault="007C7178">
            <w:pPr>
              <w:jc w:val="center"/>
            </w:pPr>
            <w:r>
              <w:rPr>
                <w:color w:val="000000"/>
                <w:sz w:val="24"/>
                <w:szCs w:val="24"/>
              </w:rPr>
              <w:t>300601</w:t>
            </w:r>
          </w:p>
        </w:tc>
        <w:tc>
          <w:tcPr>
            <w:tcW w:w="1777" w:type="dxa"/>
            <w:vAlign w:val="center"/>
          </w:tcPr>
          <w:p w:rsidR="008D4DD9" w:rsidRDefault="007C7178">
            <w:pPr>
              <w:jc w:val="center"/>
            </w:pPr>
            <w:r>
              <w:rPr>
                <w:color w:val="000000"/>
                <w:sz w:val="24"/>
                <w:szCs w:val="24"/>
              </w:rPr>
              <w:t>康泰生物</w:t>
            </w:r>
          </w:p>
        </w:tc>
        <w:tc>
          <w:tcPr>
            <w:tcW w:w="1334" w:type="dxa"/>
            <w:vAlign w:val="center"/>
          </w:tcPr>
          <w:p w:rsidR="008D4DD9" w:rsidRDefault="007C7178">
            <w:pPr>
              <w:jc w:val="right"/>
            </w:pPr>
            <w:r>
              <w:rPr>
                <w:color w:val="000000"/>
                <w:sz w:val="24"/>
                <w:szCs w:val="24"/>
              </w:rPr>
              <w:t>244,500</w:t>
            </w:r>
          </w:p>
        </w:tc>
        <w:tc>
          <w:tcPr>
            <w:tcW w:w="1924" w:type="dxa"/>
            <w:vAlign w:val="center"/>
          </w:tcPr>
          <w:p w:rsidR="008D4DD9" w:rsidRDefault="007C7178">
            <w:pPr>
              <w:jc w:val="right"/>
            </w:pPr>
            <w:r>
              <w:rPr>
                <w:color w:val="000000"/>
                <w:sz w:val="24"/>
                <w:szCs w:val="24"/>
              </w:rPr>
              <w:t>28,019,700.00</w:t>
            </w:r>
          </w:p>
        </w:tc>
        <w:tc>
          <w:tcPr>
            <w:tcW w:w="1644" w:type="dxa"/>
            <w:vAlign w:val="center"/>
          </w:tcPr>
          <w:p w:rsidR="008D4DD9" w:rsidRDefault="007C7178">
            <w:pPr>
              <w:jc w:val="right"/>
            </w:pPr>
            <w:r>
              <w:rPr>
                <w:color w:val="000000"/>
                <w:sz w:val="24"/>
                <w:szCs w:val="24"/>
              </w:rPr>
              <w:t>5.63</w:t>
            </w:r>
          </w:p>
        </w:tc>
      </w:tr>
      <w:tr w:rsidR="008D4DD9">
        <w:trPr>
          <w:jc w:val="center"/>
        </w:trPr>
        <w:tc>
          <w:tcPr>
            <w:tcW w:w="855" w:type="dxa"/>
            <w:vAlign w:val="center"/>
          </w:tcPr>
          <w:p w:rsidR="008D4DD9" w:rsidRDefault="007C7178">
            <w:pPr>
              <w:jc w:val="center"/>
            </w:pPr>
            <w:r>
              <w:rPr>
                <w:color w:val="000000"/>
                <w:sz w:val="24"/>
                <w:szCs w:val="24"/>
              </w:rPr>
              <w:t>6</w:t>
            </w:r>
          </w:p>
        </w:tc>
        <w:tc>
          <w:tcPr>
            <w:tcW w:w="1334" w:type="dxa"/>
            <w:vAlign w:val="center"/>
          </w:tcPr>
          <w:p w:rsidR="008D4DD9" w:rsidRDefault="007C7178">
            <w:pPr>
              <w:jc w:val="center"/>
            </w:pPr>
            <w:r>
              <w:rPr>
                <w:color w:val="000000"/>
                <w:sz w:val="24"/>
                <w:szCs w:val="24"/>
              </w:rPr>
              <w:t>002439</w:t>
            </w:r>
          </w:p>
        </w:tc>
        <w:tc>
          <w:tcPr>
            <w:tcW w:w="1777" w:type="dxa"/>
            <w:vAlign w:val="center"/>
          </w:tcPr>
          <w:p w:rsidR="008D4DD9" w:rsidRDefault="007C7178">
            <w:pPr>
              <w:jc w:val="center"/>
            </w:pPr>
            <w:r>
              <w:rPr>
                <w:color w:val="000000"/>
                <w:sz w:val="24"/>
                <w:szCs w:val="24"/>
              </w:rPr>
              <w:t>启明星辰</w:t>
            </w:r>
          </w:p>
        </w:tc>
        <w:tc>
          <w:tcPr>
            <w:tcW w:w="1334" w:type="dxa"/>
            <w:vAlign w:val="center"/>
          </w:tcPr>
          <w:p w:rsidR="008D4DD9" w:rsidRDefault="007C7178">
            <w:pPr>
              <w:jc w:val="right"/>
            </w:pPr>
            <w:r>
              <w:rPr>
                <w:color w:val="000000"/>
                <w:sz w:val="24"/>
                <w:szCs w:val="24"/>
              </w:rPr>
              <w:t>669,479</w:t>
            </w:r>
          </w:p>
        </w:tc>
        <w:tc>
          <w:tcPr>
            <w:tcW w:w="1924" w:type="dxa"/>
            <w:vAlign w:val="center"/>
          </w:tcPr>
          <w:p w:rsidR="008D4DD9" w:rsidRDefault="007C7178">
            <w:pPr>
              <w:jc w:val="right"/>
            </w:pPr>
            <w:r>
              <w:rPr>
                <w:color w:val="000000"/>
                <w:sz w:val="24"/>
                <w:szCs w:val="24"/>
              </w:rPr>
              <w:t>24,770,723.00</w:t>
            </w:r>
          </w:p>
        </w:tc>
        <w:tc>
          <w:tcPr>
            <w:tcW w:w="1644" w:type="dxa"/>
            <w:vAlign w:val="center"/>
          </w:tcPr>
          <w:p w:rsidR="008D4DD9" w:rsidRDefault="007C7178">
            <w:pPr>
              <w:jc w:val="right"/>
            </w:pPr>
            <w:r>
              <w:rPr>
                <w:color w:val="000000"/>
                <w:sz w:val="24"/>
                <w:szCs w:val="24"/>
              </w:rPr>
              <w:t>4.98</w:t>
            </w:r>
          </w:p>
        </w:tc>
      </w:tr>
      <w:tr w:rsidR="008D4DD9">
        <w:trPr>
          <w:jc w:val="center"/>
        </w:trPr>
        <w:tc>
          <w:tcPr>
            <w:tcW w:w="855" w:type="dxa"/>
            <w:vAlign w:val="center"/>
          </w:tcPr>
          <w:p w:rsidR="008D4DD9" w:rsidRDefault="007C7178">
            <w:pPr>
              <w:jc w:val="center"/>
            </w:pPr>
            <w:r>
              <w:rPr>
                <w:color w:val="000000"/>
                <w:sz w:val="24"/>
                <w:szCs w:val="24"/>
              </w:rPr>
              <w:t>7</w:t>
            </w:r>
          </w:p>
        </w:tc>
        <w:tc>
          <w:tcPr>
            <w:tcW w:w="1334" w:type="dxa"/>
            <w:vAlign w:val="center"/>
          </w:tcPr>
          <w:p w:rsidR="008D4DD9" w:rsidRDefault="007C7178">
            <w:pPr>
              <w:jc w:val="center"/>
            </w:pPr>
            <w:r>
              <w:rPr>
                <w:color w:val="000000"/>
                <w:sz w:val="24"/>
                <w:szCs w:val="24"/>
              </w:rPr>
              <w:t>300624</w:t>
            </w:r>
          </w:p>
        </w:tc>
        <w:tc>
          <w:tcPr>
            <w:tcW w:w="1777" w:type="dxa"/>
            <w:vAlign w:val="center"/>
          </w:tcPr>
          <w:p w:rsidR="008D4DD9" w:rsidRDefault="007C7178">
            <w:pPr>
              <w:jc w:val="center"/>
            </w:pPr>
            <w:r>
              <w:rPr>
                <w:color w:val="000000"/>
                <w:sz w:val="24"/>
                <w:szCs w:val="24"/>
              </w:rPr>
              <w:t>万兴科技</w:t>
            </w:r>
          </w:p>
        </w:tc>
        <w:tc>
          <w:tcPr>
            <w:tcW w:w="1334" w:type="dxa"/>
            <w:vAlign w:val="center"/>
          </w:tcPr>
          <w:p w:rsidR="008D4DD9" w:rsidRDefault="007C7178">
            <w:pPr>
              <w:jc w:val="right"/>
            </w:pPr>
            <w:r>
              <w:rPr>
                <w:color w:val="000000"/>
                <w:sz w:val="24"/>
                <w:szCs w:val="24"/>
              </w:rPr>
              <w:t>313,600</w:t>
            </w:r>
          </w:p>
        </w:tc>
        <w:tc>
          <w:tcPr>
            <w:tcW w:w="1924" w:type="dxa"/>
            <w:vAlign w:val="center"/>
          </w:tcPr>
          <w:p w:rsidR="008D4DD9" w:rsidRDefault="007C7178">
            <w:pPr>
              <w:jc w:val="right"/>
            </w:pPr>
            <w:r>
              <w:rPr>
                <w:color w:val="000000"/>
                <w:sz w:val="24"/>
                <w:szCs w:val="24"/>
              </w:rPr>
              <w:t>24,131,520.00</w:t>
            </w:r>
          </w:p>
        </w:tc>
        <w:tc>
          <w:tcPr>
            <w:tcW w:w="1644" w:type="dxa"/>
            <w:vAlign w:val="center"/>
          </w:tcPr>
          <w:p w:rsidR="008D4DD9" w:rsidRDefault="007C7178">
            <w:pPr>
              <w:jc w:val="right"/>
            </w:pPr>
            <w:r>
              <w:rPr>
                <w:color w:val="000000"/>
                <w:sz w:val="24"/>
                <w:szCs w:val="24"/>
              </w:rPr>
              <w:t>4.85</w:t>
            </w:r>
          </w:p>
        </w:tc>
      </w:tr>
      <w:tr w:rsidR="008D4DD9">
        <w:trPr>
          <w:jc w:val="center"/>
        </w:trPr>
        <w:tc>
          <w:tcPr>
            <w:tcW w:w="855" w:type="dxa"/>
            <w:vAlign w:val="center"/>
          </w:tcPr>
          <w:p w:rsidR="008D4DD9" w:rsidRDefault="007C7178">
            <w:pPr>
              <w:jc w:val="center"/>
            </w:pPr>
            <w:r>
              <w:rPr>
                <w:color w:val="000000"/>
                <w:sz w:val="24"/>
                <w:szCs w:val="24"/>
              </w:rPr>
              <w:t>8</w:t>
            </w:r>
          </w:p>
        </w:tc>
        <w:tc>
          <w:tcPr>
            <w:tcW w:w="1334" w:type="dxa"/>
            <w:vAlign w:val="center"/>
          </w:tcPr>
          <w:p w:rsidR="008D4DD9" w:rsidRDefault="007C7178">
            <w:pPr>
              <w:jc w:val="center"/>
            </w:pPr>
            <w:r>
              <w:rPr>
                <w:color w:val="000000"/>
                <w:sz w:val="24"/>
                <w:szCs w:val="24"/>
              </w:rPr>
              <w:t>600048</w:t>
            </w:r>
          </w:p>
        </w:tc>
        <w:tc>
          <w:tcPr>
            <w:tcW w:w="1777" w:type="dxa"/>
            <w:vAlign w:val="center"/>
          </w:tcPr>
          <w:p w:rsidR="008D4DD9" w:rsidRDefault="007C7178">
            <w:pPr>
              <w:jc w:val="center"/>
            </w:pPr>
            <w:r>
              <w:rPr>
                <w:color w:val="000000"/>
                <w:sz w:val="24"/>
                <w:szCs w:val="24"/>
              </w:rPr>
              <w:t>保利地产</w:t>
            </w:r>
          </w:p>
        </w:tc>
        <w:tc>
          <w:tcPr>
            <w:tcW w:w="1334" w:type="dxa"/>
            <w:vAlign w:val="center"/>
          </w:tcPr>
          <w:p w:rsidR="008D4DD9" w:rsidRDefault="007C7178">
            <w:pPr>
              <w:jc w:val="right"/>
            </w:pPr>
            <w:r>
              <w:rPr>
                <w:color w:val="000000"/>
                <w:sz w:val="24"/>
                <w:szCs w:val="24"/>
              </w:rPr>
              <w:t>1,442,124</w:t>
            </w:r>
          </w:p>
        </w:tc>
        <w:tc>
          <w:tcPr>
            <w:tcW w:w="1924" w:type="dxa"/>
            <w:vAlign w:val="center"/>
          </w:tcPr>
          <w:p w:rsidR="008D4DD9" w:rsidRDefault="007C7178">
            <w:pPr>
              <w:jc w:val="right"/>
            </w:pPr>
            <w:r>
              <w:rPr>
                <w:color w:val="000000"/>
                <w:sz w:val="24"/>
                <w:szCs w:val="24"/>
              </w:rPr>
              <w:t>21,444,383.88</w:t>
            </w:r>
          </w:p>
        </w:tc>
        <w:tc>
          <w:tcPr>
            <w:tcW w:w="1644" w:type="dxa"/>
            <w:vAlign w:val="center"/>
          </w:tcPr>
          <w:p w:rsidR="008D4DD9" w:rsidRDefault="007C7178">
            <w:pPr>
              <w:jc w:val="right"/>
            </w:pPr>
            <w:r>
              <w:rPr>
                <w:color w:val="000000"/>
                <w:sz w:val="24"/>
                <w:szCs w:val="24"/>
              </w:rPr>
              <w:t>4.31</w:t>
            </w:r>
          </w:p>
        </w:tc>
      </w:tr>
      <w:tr w:rsidR="008D4DD9">
        <w:trPr>
          <w:jc w:val="center"/>
        </w:trPr>
        <w:tc>
          <w:tcPr>
            <w:tcW w:w="855" w:type="dxa"/>
            <w:vAlign w:val="center"/>
          </w:tcPr>
          <w:p w:rsidR="008D4DD9" w:rsidRDefault="007C7178">
            <w:pPr>
              <w:jc w:val="center"/>
            </w:pPr>
            <w:r>
              <w:rPr>
                <w:color w:val="000000"/>
                <w:sz w:val="24"/>
                <w:szCs w:val="24"/>
              </w:rPr>
              <w:t>9</w:t>
            </w:r>
          </w:p>
        </w:tc>
        <w:tc>
          <w:tcPr>
            <w:tcW w:w="1334" w:type="dxa"/>
            <w:vAlign w:val="center"/>
          </w:tcPr>
          <w:p w:rsidR="008D4DD9" w:rsidRDefault="007C7178">
            <w:pPr>
              <w:jc w:val="center"/>
            </w:pPr>
            <w:r>
              <w:rPr>
                <w:color w:val="000000"/>
                <w:sz w:val="24"/>
                <w:szCs w:val="24"/>
              </w:rPr>
              <w:t>002044</w:t>
            </w:r>
          </w:p>
        </w:tc>
        <w:tc>
          <w:tcPr>
            <w:tcW w:w="1777" w:type="dxa"/>
            <w:vAlign w:val="center"/>
          </w:tcPr>
          <w:p w:rsidR="008D4DD9" w:rsidRDefault="007C7178">
            <w:pPr>
              <w:jc w:val="center"/>
            </w:pPr>
            <w:r>
              <w:rPr>
                <w:color w:val="000000"/>
                <w:sz w:val="24"/>
                <w:szCs w:val="24"/>
              </w:rPr>
              <w:t>美年健康</w:t>
            </w:r>
          </w:p>
        </w:tc>
        <w:tc>
          <w:tcPr>
            <w:tcW w:w="1334" w:type="dxa"/>
            <w:vAlign w:val="center"/>
          </w:tcPr>
          <w:p w:rsidR="008D4DD9" w:rsidRDefault="007C7178">
            <w:pPr>
              <w:jc w:val="right"/>
            </w:pPr>
            <w:r>
              <w:rPr>
                <w:color w:val="000000"/>
                <w:sz w:val="24"/>
                <w:szCs w:val="24"/>
              </w:rPr>
              <w:t>1,687,600</w:t>
            </w:r>
          </w:p>
        </w:tc>
        <w:tc>
          <w:tcPr>
            <w:tcW w:w="1924" w:type="dxa"/>
            <w:vAlign w:val="center"/>
          </w:tcPr>
          <w:p w:rsidR="008D4DD9" w:rsidRDefault="007C7178">
            <w:pPr>
              <w:jc w:val="right"/>
            </w:pPr>
            <w:r>
              <w:rPr>
                <w:color w:val="000000"/>
                <w:sz w:val="24"/>
                <w:szCs w:val="24"/>
              </w:rPr>
              <w:t>19,930,556.00</w:t>
            </w:r>
          </w:p>
        </w:tc>
        <w:tc>
          <w:tcPr>
            <w:tcW w:w="1644" w:type="dxa"/>
            <w:vAlign w:val="center"/>
          </w:tcPr>
          <w:p w:rsidR="008D4DD9" w:rsidRDefault="007C7178">
            <w:pPr>
              <w:jc w:val="right"/>
            </w:pPr>
            <w:r>
              <w:rPr>
                <w:color w:val="000000"/>
                <w:sz w:val="24"/>
                <w:szCs w:val="24"/>
              </w:rPr>
              <w:t>4.01</w:t>
            </w:r>
          </w:p>
        </w:tc>
      </w:tr>
      <w:tr w:rsidR="008D4DD9">
        <w:trPr>
          <w:jc w:val="center"/>
        </w:trPr>
        <w:tc>
          <w:tcPr>
            <w:tcW w:w="855" w:type="dxa"/>
            <w:vAlign w:val="center"/>
          </w:tcPr>
          <w:p w:rsidR="008D4DD9" w:rsidRDefault="007C7178">
            <w:pPr>
              <w:jc w:val="center"/>
            </w:pPr>
            <w:r>
              <w:rPr>
                <w:color w:val="000000"/>
                <w:sz w:val="24"/>
                <w:szCs w:val="24"/>
              </w:rPr>
              <w:t>10</w:t>
            </w:r>
          </w:p>
        </w:tc>
        <w:tc>
          <w:tcPr>
            <w:tcW w:w="1334" w:type="dxa"/>
            <w:vAlign w:val="center"/>
          </w:tcPr>
          <w:p w:rsidR="008D4DD9" w:rsidRDefault="007C7178">
            <w:pPr>
              <w:jc w:val="center"/>
            </w:pPr>
            <w:r>
              <w:rPr>
                <w:color w:val="000000"/>
                <w:sz w:val="24"/>
                <w:szCs w:val="24"/>
              </w:rPr>
              <w:t>300253</w:t>
            </w:r>
          </w:p>
        </w:tc>
        <w:tc>
          <w:tcPr>
            <w:tcW w:w="1777" w:type="dxa"/>
            <w:vAlign w:val="center"/>
          </w:tcPr>
          <w:p w:rsidR="008D4DD9" w:rsidRDefault="007C7178">
            <w:pPr>
              <w:jc w:val="center"/>
            </w:pPr>
            <w:r>
              <w:rPr>
                <w:color w:val="000000"/>
                <w:sz w:val="24"/>
                <w:szCs w:val="24"/>
              </w:rPr>
              <w:t>卫宁健康</w:t>
            </w:r>
          </w:p>
        </w:tc>
        <w:tc>
          <w:tcPr>
            <w:tcW w:w="1334" w:type="dxa"/>
            <w:vAlign w:val="center"/>
          </w:tcPr>
          <w:p w:rsidR="008D4DD9" w:rsidRDefault="007C7178">
            <w:pPr>
              <w:jc w:val="right"/>
            </w:pPr>
            <w:r>
              <w:rPr>
                <w:color w:val="000000"/>
                <w:sz w:val="24"/>
                <w:szCs w:val="24"/>
              </w:rPr>
              <w:t>883,435</w:t>
            </w:r>
          </w:p>
        </w:tc>
        <w:tc>
          <w:tcPr>
            <w:tcW w:w="1924" w:type="dxa"/>
            <w:vAlign w:val="center"/>
          </w:tcPr>
          <w:p w:rsidR="008D4DD9" w:rsidRDefault="007C7178">
            <w:pPr>
              <w:jc w:val="right"/>
            </w:pPr>
            <w:r>
              <w:rPr>
                <w:color w:val="000000"/>
                <w:sz w:val="24"/>
                <w:szCs w:val="24"/>
              </w:rPr>
              <w:t>18,525,631.95</w:t>
            </w:r>
          </w:p>
        </w:tc>
        <w:tc>
          <w:tcPr>
            <w:tcW w:w="1644" w:type="dxa"/>
            <w:vAlign w:val="center"/>
          </w:tcPr>
          <w:p w:rsidR="008D4DD9" w:rsidRDefault="007C7178">
            <w:pPr>
              <w:jc w:val="right"/>
            </w:pPr>
            <w:r>
              <w:rPr>
                <w:color w:val="000000"/>
                <w:sz w:val="24"/>
                <w:szCs w:val="24"/>
              </w:rPr>
              <w:t>3.72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D4DD9">
        <w:trPr>
          <w:jc w:val="center"/>
        </w:trPr>
        <w:tc>
          <w:tcPr>
            <w:tcW w:w="850" w:type="dxa"/>
            <w:vAlign w:val="center"/>
          </w:tcPr>
          <w:p w:rsidR="008D4DD9" w:rsidRDefault="007C7178">
            <w:pPr>
              <w:jc w:val="center"/>
            </w:pPr>
            <w:r>
              <w:rPr>
                <w:color w:val="000000"/>
                <w:sz w:val="24"/>
                <w:szCs w:val="24"/>
              </w:rPr>
              <w:t>1</w:t>
            </w:r>
          </w:p>
        </w:tc>
        <w:tc>
          <w:tcPr>
            <w:tcW w:w="1475" w:type="dxa"/>
            <w:vAlign w:val="center"/>
          </w:tcPr>
          <w:p w:rsidR="008D4DD9" w:rsidRDefault="007C7178">
            <w:pPr>
              <w:jc w:val="center"/>
            </w:pPr>
            <w:r>
              <w:rPr>
                <w:color w:val="000000"/>
                <w:sz w:val="24"/>
                <w:szCs w:val="24"/>
              </w:rPr>
              <w:t>190304</w:t>
            </w:r>
          </w:p>
        </w:tc>
        <w:tc>
          <w:tcPr>
            <w:tcW w:w="1769" w:type="dxa"/>
            <w:vAlign w:val="center"/>
          </w:tcPr>
          <w:p w:rsidR="008D4DD9" w:rsidRDefault="007C7178">
            <w:pPr>
              <w:jc w:val="center"/>
            </w:pPr>
            <w:r>
              <w:rPr>
                <w:color w:val="000000"/>
                <w:sz w:val="24"/>
                <w:szCs w:val="24"/>
              </w:rPr>
              <w:t>19</w:t>
            </w:r>
            <w:r>
              <w:rPr>
                <w:color w:val="000000"/>
                <w:sz w:val="24"/>
                <w:szCs w:val="24"/>
              </w:rPr>
              <w:t>进出</w:t>
            </w:r>
            <w:r>
              <w:rPr>
                <w:color w:val="000000"/>
                <w:sz w:val="24"/>
                <w:szCs w:val="24"/>
              </w:rPr>
              <w:t>04</w:t>
            </w:r>
          </w:p>
        </w:tc>
        <w:tc>
          <w:tcPr>
            <w:tcW w:w="1387" w:type="dxa"/>
            <w:vAlign w:val="center"/>
          </w:tcPr>
          <w:p w:rsidR="008D4DD9" w:rsidRDefault="007C7178">
            <w:pPr>
              <w:jc w:val="right"/>
            </w:pPr>
            <w:r>
              <w:rPr>
                <w:color w:val="000000"/>
                <w:sz w:val="24"/>
                <w:szCs w:val="24"/>
              </w:rPr>
              <w:t>200,000</w:t>
            </w:r>
          </w:p>
        </w:tc>
        <w:tc>
          <w:tcPr>
            <w:tcW w:w="2150" w:type="dxa"/>
            <w:vAlign w:val="center"/>
          </w:tcPr>
          <w:p w:rsidR="008D4DD9" w:rsidRDefault="007C7178">
            <w:pPr>
              <w:jc w:val="right"/>
            </w:pPr>
            <w:r>
              <w:rPr>
                <w:color w:val="000000"/>
                <w:sz w:val="24"/>
                <w:szCs w:val="24"/>
              </w:rPr>
              <w:t>20,030,000.00</w:t>
            </w:r>
          </w:p>
        </w:tc>
        <w:tc>
          <w:tcPr>
            <w:tcW w:w="1237" w:type="dxa"/>
            <w:vAlign w:val="center"/>
          </w:tcPr>
          <w:p w:rsidR="008D4DD9" w:rsidRDefault="007C7178">
            <w:pPr>
              <w:jc w:val="right"/>
            </w:pPr>
            <w:r>
              <w:rPr>
                <w:color w:val="000000"/>
                <w:sz w:val="24"/>
                <w:szCs w:val="24"/>
              </w:rPr>
              <w:t>4.03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825D61" w:rsidRDefault="00825D61"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400,758.96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483,227.50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633,842.75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1,517,829.21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825D61" w:rsidRPr="00414345" w:rsidRDefault="00825D61" w:rsidP="00C15CAC">
      <w:pPr>
        <w:autoSpaceDE w:val="0"/>
        <w:autoSpaceDN w:val="0"/>
        <w:adjustRightInd w:val="0"/>
        <w:spacing w:before="29" w:line="288" w:lineRule="auto"/>
        <w:jc w:val="left"/>
        <w:rPr>
          <w:rFonts w:hint="eastAsia"/>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825D61" w:rsidRPr="00414345" w:rsidRDefault="00825D61" w:rsidP="00C15CAC">
      <w:pPr>
        <w:autoSpaceDE w:val="0"/>
        <w:autoSpaceDN w:val="0"/>
        <w:adjustRightInd w:val="0"/>
        <w:spacing w:before="29" w:line="288" w:lineRule="auto"/>
        <w:jc w:val="left"/>
        <w:rPr>
          <w:rFonts w:hint="eastAsia"/>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bookmarkStart w:id="0" w:name="_GoBack"/>
      <w:bookmarkEnd w:id="0"/>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448,201,016.72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33,724,341.13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130,998,008.54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350,927,349.31</w:t>
            </w:r>
          </w:p>
        </w:tc>
      </w:tr>
    </w:tbl>
    <w:p w:rsidR="008D4DD9" w:rsidRDefault="007C71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D4DD9" w:rsidRDefault="007C717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8D4DD9" w:rsidRDefault="007C717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8D4DD9" w:rsidRDefault="007C717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8D4DD9" w:rsidRDefault="007C717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8D4DD9" w:rsidRDefault="007C7178">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8D4DD9" w:rsidRDefault="007C7178">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8D4DD9" w:rsidRDefault="007C7178">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D4DD9" w:rsidRDefault="007C717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178" w:rsidRDefault="007C7178" w:rsidP="00876D65">
      <w:r>
        <w:separator/>
      </w:r>
    </w:p>
  </w:endnote>
  <w:endnote w:type="continuationSeparator" w:id="0">
    <w:p w:rsidR="007C7178" w:rsidRDefault="007C717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25D61">
      <w:rPr>
        <w:noProof/>
        <w:kern w:val="0"/>
        <w:szCs w:val="21"/>
      </w:rPr>
      <w:t>11</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825D61">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178" w:rsidRDefault="007C7178" w:rsidP="00876D65">
      <w:r>
        <w:separator/>
      </w:r>
    </w:p>
  </w:footnote>
  <w:footnote w:type="continuationSeparator" w:id="0">
    <w:p w:rsidR="007C7178" w:rsidRDefault="007C717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交银施罗德先锋混合型证券投资基金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C7178"/>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5D61"/>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4DD9"/>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D531-F087-4195-9DCE-24B8E98F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11</Pages>
  <Words>994</Words>
  <Characters>5667</Characters>
  <Application>Microsoft Office Word</Application>
  <DocSecurity>0</DocSecurity>
  <Lines>47</Lines>
  <Paragraphs>13</Paragraphs>
  <ScaleCrop>false</ScaleCrop>
  <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2020-04-16T05:26:00Z</dcterms:modified>
</cp:coreProperties>
</file>