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交银施罗德精选混合型证券投资基金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2005年9月29日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6,966,821,474.23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75%×沪深300指数+25%×中证综合债券指数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370,374,823.33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-17,135,378.73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-0.0024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5,757,345,525.81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0.8264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-0.12%</w:t>
            </w:r>
          </w:p>
        </w:tc>
        <w:tc>
          <w:tcPr>
            <w:vAlign w:val="center"/>
          </w:tcPr>
          <w:p>
            <w:pPr>
              <w:jc w:val="center"/>
            </w:pPr>
            <w:r>
              <w:rPr>
                <w:color w:val="000000"/>
                <w:sz w:val="24"/>
                <w:szCs w:val="24"/>
              </w:rPr>
              <w:t>1.76%</w:t>
            </w:r>
          </w:p>
        </w:tc>
        <w:tc>
          <w:tcPr>
            <w:vAlign w:val="center"/>
          </w:tcPr>
          <w:p>
            <w:pPr>
              <w:jc w:val="center"/>
            </w:pPr>
            <w:r>
              <w:rPr>
                <w:color w:val="000000"/>
                <w:sz w:val="24"/>
                <w:szCs w:val="24"/>
              </w:rPr>
              <w:t>-6.81%</w:t>
            </w:r>
          </w:p>
        </w:tc>
        <w:tc>
          <w:tcPr>
            <w:vAlign w:val="center"/>
          </w:tcPr>
          <w:p>
            <w:pPr>
              <w:jc w:val="center"/>
            </w:pPr>
            <w:r>
              <w:rPr>
                <w:color w:val="000000"/>
                <w:sz w:val="24"/>
                <w:szCs w:val="24"/>
              </w:rPr>
              <w:t>1.45%</w:t>
            </w:r>
          </w:p>
        </w:tc>
        <w:tc>
          <w:tcPr>
            <w:vAlign w:val="center"/>
          </w:tcPr>
          <w:p>
            <w:pPr>
              <w:jc w:val="center"/>
            </w:pPr>
            <w:r>
              <w:rPr>
                <w:color w:val="000000"/>
                <w:sz w:val="24"/>
                <w:szCs w:val="24"/>
              </w:rPr>
              <w:t>6.69%</w:t>
            </w:r>
          </w:p>
        </w:tc>
        <w:tc>
          <w:tcPr>
            <w:vAlign w:val="center"/>
          </w:tcPr>
          <w:p>
            <w:pPr>
              <w:jc w:val="center"/>
            </w:pPr>
            <w:r>
              <w:rPr>
                <w:color w:val="000000"/>
                <w:sz w:val="24"/>
                <w:szCs w:val="24"/>
              </w:rPr>
              <w:t>0.31%</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沪深300指数+25%×中信全债指数”变更为“75%×沪深300指数+25%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交银施罗德精选混合型证券投资基金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2005年9月29日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王崇</w:t>
            </w:r>
          </w:p>
        </w:tc>
        <w:tc>
          <w:tcPr>
            <w:vAlign w:val="center"/>
          </w:tcPr>
          <w:p>
            <w:pPr>
              <w:jc w:val="center"/>
            </w:pPr>
            <w:r>
              <w:rPr>
                <w:color w:val="000000"/>
                <w:sz w:val="24"/>
                <w:szCs w:val="24"/>
              </w:rPr>
              <w:t>交银精选混合、交银新成长混合、交银瑞丰混合的基金经理，公司权益投资副总监</w:t>
            </w:r>
          </w:p>
        </w:tc>
        <w:tc>
          <w:tcPr>
            <w:vAlign w:val="center"/>
          </w:tcPr>
          <w:p>
            <w:pPr>
              <w:jc w:val="center"/>
            </w:pPr>
            <w:r>
              <w:rPr>
                <w:color w:val="000000"/>
                <w:sz w:val="24"/>
                <w:szCs w:val="24"/>
              </w:rPr>
              <w:t>2017-06-03</w:t>
            </w:r>
          </w:p>
        </w:tc>
        <w:tc>
          <w:tcPr>
            <w:vAlign w:val="center"/>
          </w:tcPr>
          <w:p>
            <w:pPr>
              <w:jc w:val="center"/>
            </w:pPr>
            <w:r>
              <w:rPr>
                <w:color w:val="000000"/>
                <w:sz w:val="24"/>
                <w:szCs w:val="24"/>
              </w:rPr>
              <w:t>-</w:t>
            </w:r>
          </w:p>
        </w:tc>
        <w:tc>
          <w:tcPr>
            <w:vAlign w:val="center"/>
          </w:tcPr>
          <w:p>
            <w:pPr>
              <w:jc w:val="center"/>
            </w:pPr>
            <w:r>
              <w:rPr>
                <w:color w:val="000000"/>
                <w:sz w:val="24"/>
                <w:szCs w:val="24"/>
              </w:rPr>
              <w:t>12年</w:t>
            </w:r>
          </w:p>
        </w:tc>
        <w:tc>
          <w:tcPr>
            <w:vAlign w:val="center"/>
          </w:tcPr>
          <w:p>
            <w:pPr>
              <w:jc w:val="both"/>
            </w:pPr>
            <w:r>
              <w:rPr>
                <w:color w:val="000000"/>
                <w:sz w:val="24"/>
                <w:szCs w:val="24"/>
              </w:rPr>
              <w:t>王崇先生，北京大学金融学博士。2008年加入交银施罗德基金管理有限公司，历任行业分析师、高级研究员。</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受新冠肺炎扩散影响，国内经济阶段性进入衰退区间，我们预计未来受海外出口拖累，经济复苏力度仍旧不宜乐观。一季度A股市场先扬后抑，除创业板以外主要指数收益率均为负，其中一至二月科技股涨幅遥遥领先，随着三月疫情海外扩散，内需必选消费板块三月大幅反弹；从具体行业来看，农业、医药、食品以及计算机等内需弱周期行业涨幅居前，金融、地产以及家电等对宏观经济高度敏感行业跌幅居前。</w:t>
      </w:r>
    </w:p>
    <w:p>
      <w:pPr>
        <w:spacing w:before="29" w:line="288" w:lineRule="auto"/>
        <w:ind w:firstLine="480" w:firstLineChars="200"/>
        <w:rPr>
          <w:color w:val="000000"/>
          <w:sz w:val="24"/>
          <w:szCs w:val="24"/>
        </w:rPr>
      </w:pPr>
      <w:r>
        <w:rPr>
          <w:color w:val="000000"/>
          <w:sz w:val="24"/>
          <w:szCs w:val="24"/>
        </w:rPr>
        <w:t>本基金一季度前期保持中性略高仓位，三月以后略有降仓，考虑到新冠肺炎疫情对经济周期的影响，部分经济敏感度较高的行业投资逻辑发生重大变化，一季度中后期我们大幅减持金融和消费电子，加仓必选消费，从整个季度来看本基金跑赢业绩比较基准。</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二季度，我们对A股市场维持谨慎乐观的态度。考虑到目前的经济状况、利率水平以及政府采取的逆周期积极财政和货币政策，我们仍旧认为大类资产配置中权益最优；从估值盈利匹配度来看，有不少传统行业龙头公司股票仍旧值得投资和持有。另一方面，随着疫情全球扩散，出口形势堪忧，后续经济复苏的力度不宜乐观，A股上市公司盈利预测下调可能刚刚开始，在后续盈利预测不断下调过程中，不排除市场有阶段性再次回调的风险。本基金后续保持中性略低仓位，按照经济衰退、内需为先的思路，拟继续超配一二线房地产龙头、医疗服务和器械、软件及互联网、必选消费品、新能源汽车产业链上优质标的，坚守能力圈和安全边际，逆向投资，做中长期布局，努力为基金持有人带来稳健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4,466,653,264.12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77.03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4,466,653,264.12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77.03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319,776,300.00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5.51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319,776,300.00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5.51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305,200,352.60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5.26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632,060,864.48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10.90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74,731,081.07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5,798,421,862.27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1,947,235,223.33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33.82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19,147.31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5,094,732.32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719,723,179.18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12.50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332,421,976.27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5.77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742,085,735.16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12.89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135,925,654.78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47,818,821.60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536,328,794.17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9.32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4,466,653,264.12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77.58</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13,798,543</w:t>
            </w:r>
          </w:p>
        </w:tc>
        <w:tc>
          <w:tcPr>
            <w:vAlign w:val="center"/>
          </w:tcPr>
          <w:p>
            <w:pPr>
              <w:jc w:val="right"/>
            </w:pPr>
            <w:r>
              <w:rPr>
                <w:color w:val="000000"/>
                <w:sz w:val="24"/>
                <w:szCs w:val="24"/>
              </w:rPr>
              <w:t>469,564,418.29</w:t>
            </w:r>
          </w:p>
        </w:tc>
        <w:tc>
          <w:tcPr>
            <w:vAlign w:val="center"/>
          </w:tcPr>
          <w:p>
            <w:pPr>
              <w:jc w:val="right"/>
            </w:pPr>
            <w:r>
              <w:rPr>
                <w:color w:val="000000"/>
                <w:sz w:val="24"/>
                <w:szCs w:val="24"/>
              </w:rPr>
              <w:t>8.16</w:t>
            </w:r>
          </w:p>
        </w:tc>
      </w:tr>
      <w:tr>
        <w:tc>
          <w:tcPr>
            <w:vAlign w:val="center"/>
          </w:tcPr>
          <w:p>
            <w:pPr>
              <w:jc w:val="center"/>
            </w:pPr>
            <w:r>
              <w:rPr>
                <w:color w:val="000000"/>
                <w:sz w:val="24"/>
                <w:szCs w:val="24"/>
              </w:rPr>
              <w:t>2</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14,004,028</w:t>
            </w:r>
          </w:p>
        </w:tc>
        <w:tc>
          <w:tcPr>
            <w:vAlign w:val="center"/>
          </w:tcPr>
          <w:p>
            <w:pPr>
              <w:jc w:val="right"/>
            </w:pPr>
            <w:r>
              <w:rPr>
                <w:color w:val="000000"/>
                <w:sz w:val="24"/>
                <w:szCs w:val="24"/>
              </w:rPr>
              <w:t>359,203,318.20</w:t>
            </w:r>
          </w:p>
        </w:tc>
        <w:tc>
          <w:tcPr>
            <w:vAlign w:val="center"/>
          </w:tcPr>
          <w:p>
            <w:pPr>
              <w:jc w:val="right"/>
            </w:pPr>
            <w:r>
              <w:rPr>
                <w:color w:val="000000"/>
                <w:sz w:val="24"/>
                <w:szCs w:val="24"/>
              </w:rPr>
              <w:t>6.24</w:t>
            </w:r>
          </w:p>
        </w:tc>
      </w:tr>
      <w:tr>
        <w:tc>
          <w:tcPr>
            <w:vAlign w:val="center"/>
          </w:tcPr>
          <w:p>
            <w:pPr>
              <w:jc w:val="center"/>
            </w:pPr>
            <w:r>
              <w:rPr>
                <w:color w:val="000000"/>
                <w:sz w:val="24"/>
                <w:szCs w:val="24"/>
              </w:rPr>
              <w:t>3</w:t>
            </w:r>
          </w:p>
        </w:tc>
        <w:tc>
          <w:tcPr>
            <w:vAlign w:val="center"/>
          </w:tcPr>
          <w:p>
            <w:pPr>
              <w:jc w:val="center"/>
            </w:pPr>
            <w:r>
              <w:rPr>
                <w:color w:val="000000"/>
                <w:sz w:val="24"/>
                <w:szCs w:val="24"/>
              </w:rPr>
              <w:t>002044</w:t>
            </w:r>
          </w:p>
        </w:tc>
        <w:tc>
          <w:tcPr>
            <w:vAlign w:val="center"/>
          </w:tcPr>
          <w:p>
            <w:pPr>
              <w:jc w:val="center"/>
            </w:pPr>
            <w:r>
              <w:rPr>
                <w:color w:val="000000"/>
                <w:sz w:val="24"/>
                <w:szCs w:val="24"/>
              </w:rPr>
              <w:t>美年健康</w:t>
            </w:r>
          </w:p>
        </w:tc>
        <w:tc>
          <w:tcPr>
            <w:vAlign w:val="center"/>
          </w:tcPr>
          <w:p>
            <w:pPr>
              <w:jc w:val="right"/>
            </w:pPr>
            <w:r>
              <w:rPr>
                <w:color w:val="000000"/>
                <w:sz w:val="24"/>
                <w:szCs w:val="24"/>
              </w:rPr>
              <w:t>28,796,269</w:t>
            </w:r>
          </w:p>
        </w:tc>
        <w:tc>
          <w:tcPr>
            <w:vAlign w:val="center"/>
          </w:tcPr>
          <w:p>
            <w:pPr>
              <w:jc w:val="right"/>
            </w:pPr>
            <w:r>
              <w:rPr>
                <w:color w:val="000000"/>
                <w:sz w:val="24"/>
                <w:szCs w:val="24"/>
              </w:rPr>
              <w:t>340,083,936.89</w:t>
            </w:r>
          </w:p>
        </w:tc>
        <w:tc>
          <w:tcPr>
            <w:vAlign w:val="center"/>
          </w:tcPr>
          <w:p>
            <w:pPr>
              <w:jc w:val="right"/>
            </w:pPr>
            <w:r>
              <w:rPr>
                <w:color w:val="000000"/>
                <w:sz w:val="24"/>
                <w:szCs w:val="24"/>
              </w:rPr>
              <w:t>5.91</w:t>
            </w:r>
          </w:p>
        </w:tc>
      </w:tr>
      <w:tr>
        <w:tc>
          <w:tcPr>
            <w:vAlign w:val="center"/>
          </w:tcPr>
          <w:p>
            <w:pPr>
              <w:jc w:val="center"/>
            </w:pPr>
            <w:r>
              <w:rPr>
                <w:color w:val="000000"/>
                <w:sz w:val="24"/>
                <w:szCs w:val="24"/>
              </w:rPr>
              <w:t>4</w:t>
            </w:r>
          </w:p>
        </w:tc>
        <w:tc>
          <w:tcPr>
            <w:vAlign w:val="center"/>
          </w:tcPr>
          <w:p>
            <w:pPr>
              <w:jc w:val="center"/>
            </w:pPr>
            <w:r>
              <w:rPr>
                <w:color w:val="000000"/>
                <w:sz w:val="24"/>
                <w:szCs w:val="24"/>
              </w:rPr>
              <w:t>002230</w:t>
            </w:r>
          </w:p>
        </w:tc>
        <w:tc>
          <w:tcPr>
            <w:vAlign w:val="center"/>
          </w:tcPr>
          <w:p>
            <w:pPr>
              <w:jc w:val="center"/>
            </w:pPr>
            <w:r>
              <w:rPr>
                <w:color w:val="000000"/>
                <w:sz w:val="24"/>
                <w:szCs w:val="24"/>
              </w:rPr>
              <w:t>科大讯飞</w:t>
            </w:r>
          </w:p>
        </w:tc>
        <w:tc>
          <w:tcPr>
            <w:vAlign w:val="center"/>
          </w:tcPr>
          <w:p>
            <w:pPr>
              <w:jc w:val="right"/>
            </w:pPr>
            <w:r>
              <w:rPr>
                <w:color w:val="000000"/>
                <w:sz w:val="24"/>
                <w:szCs w:val="24"/>
              </w:rPr>
              <w:t>10,001,345</w:t>
            </w:r>
          </w:p>
        </w:tc>
        <w:tc>
          <w:tcPr>
            <w:vAlign w:val="center"/>
          </w:tcPr>
          <w:p>
            <w:pPr>
              <w:jc w:val="right"/>
            </w:pPr>
            <w:r>
              <w:rPr>
                <w:color w:val="000000"/>
                <w:sz w:val="24"/>
                <w:szCs w:val="24"/>
              </w:rPr>
              <w:t>339,035,488.70</w:t>
            </w:r>
          </w:p>
        </w:tc>
        <w:tc>
          <w:tcPr>
            <w:vAlign w:val="center"/>
          </w:tcPr>
          <w:p>
            <w:pPr>
              <w:jc w:val="right"/>
            </w:pPr>
            <w:r>
              <w:rPr>
                <w:color w:val="000000"/>
                <w:sz w:val="24"/>
                <w:szCs w:val="24"/>
              </w:rPr>
              <w:t>5.89</w:t>
            </w:r>
          </w:p>
        </w:tc>
      </w:tr>
      <w:tr>
        <w:tc>
          <w:tcPr>
            <w:vAlign w:val="center"/>
          </w:tcPr>
          <w:p>
            <w:pPr>
              <w:jc w:val="center"/>
            </w:pPr>
            <w:r>
              <w:rPr>
                <w:color w:val="000000"/>
                <w:sz w:val="24"/>
                <w:szCs w:val="24"/>
              </w:rPr>
              <w:t>5</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19,695,995</w:t>
            </w:r>
          </w:p>
        </w:tc>
        <w:tc>
          <w:tcPr>
            <w:vAlign w:val="center"/>
          </w:tcPr>
          <w:p>
            <w:pPr>
              <w:jc w:val="right"/>
            </w:pPr>
            <w:r>
              <w:rPr>
                <w:color w:val="000000"/>
                <w:sz w:val="24"/>
                <w:szCs w:val="24"/>
              </w:rPr>
              <w:t>292,879,445.65</w:t>
            </w:r>
          </w:p>
        </w:tc>
        <w:tc>
          <w:tcPr>
            <w:vAlign w:val="center"/>
          </w:tcPr>
          <w:p>
            <w:pPr>
              <w:jc w:val="right"/>
            </w:pPr>
            <w:r>
              <w:rPr>
                <w:color w:val="000000"/>
                <w:sz w:val="24"/>
                <w:szCs w:val="24"/>
              </w:rPr>
              <w:t>5.09</w:t>
            </w:r>
          </w:p>
        </w:tc>
      </w:tr>
      <w:tr>
        <w:tc>
          <w:tcPr>
            <w:vAlign w:val="center"/>
          </w:tcPr>
          <w:p>
            <w:pPr>
              <w:jc w:val="center"/>
            </w:pPr>
            <w:r>
              <w:rPr>
                <w:color w:val="000000"/>
                <w:sz w:val="24"/>
                <w:szCs w:val="24"/>
              </w:rPr>
              <w:t>6</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5,086,076</w:t>
            </w:r>
          </w:p>
        </w:tc>
        <w:tc>
          <w:tcPr>
            <w:vAlign w:val="center"/>
          </w:tcPr>
          <w:p>
            <w:pPr>
              <w:jc w:val="right"/>
            </w:pPr>
            <w:r>
              <w:rPr>
                <w:color w:val="000000"/>
                <w:sz w:val="24"/>
                <w:szCs w:val="24"/>
              </w:rPr>
              <w:t>263,204,433.00</w:t>
            </w:r>
          </w:p>
        </w:tc>
        <w:tc>
          <w:tcPr>
            <w:vAlign w:val="center"/>
          </w:tcPr>
          <w:p>
            <w:pPr>
              <w:jc w:val="right"/>
            </w:pPr>
            <w:r>
              <w:rPr>
                <w:color w:val="000000"/>
                <w:sz w:val="24"/>
                <w:szCs w:val="24"/>
              </w:rPr>
              <w:t>4.57</w:t>
            </w:r>
          </w:p>
        </w:tc>
      </w:tr>
      <w:tr>
        <w:tc>
          <w:tcPr>
            <w:vAlign w:val="center"/>
          </w:tcPr>
          <w:p>
            <w:pPr>
              <w:jc w:val="center"/>
            </w:pPr>
            <w:r>
              <w:rPr>
                <w:color w:val="000000"/>
                <w:sz w:val="24"/>
                <w:szCs w:val="24"/>
              </w:rPr>
              <w:t>7</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7,359,177</w:t>
            </w:r>
          </w:p>
        </w:tc>
        <w:tc>
          <w:tcPr>
            <w:vAlign w:val="center"/>
          </w:tcPr>
          <w:p>
            <w:pPr>
              <w:jc w:val="right"/>
            </w:pPr>
            <w:r>
              <w:rPr>
                <w:color w:val="000000"/>
                <w:sz w:val="24"/>
                <w:szCs w:val="24"/>
              </w:rPr>
              <w:t>244,013,163.66</w:t>
            </w:r>
          </w:p>
        </w:tc>
        <w:tc>
          <w:tcPr>
            <w:vAlign w:val="center"/>
          </w:tcPr>
          <w:p>
            <w:pPr>
              <w:jc w:val="right"/>
            </w:pPr>
            <w:r>
              <w:rPr>
                <w:color w:val="000000"/>
                <w:sz w:val="24"/>
                <w:szCs w:val="24"/>
              </w:rPr>
              <w:t>4.24</w:t>
            </w:r>
          </w:p>
        </w:tc>
      </w:tr>
      <w:tr>
        <w:tc>
          <w:tcPr>
            <w:vAlign w:val="center"/>
          </w:tcPr>
          <w:p>
            <w:pPr>
              <w:jc w:val="center"/>
            </w:pPr>
            <w:r>
              <w:rPr>
                <w:color w:val="000000"/>
                <w:sz w:val="24"/>
                <w:szCs w:val="24"/>
              </w:rPr>
              <w:t>8</w:t>
            </w:r>
          </w:p>
        </w:tc>
        <w:tc>
          <w:tcPr>
            <w:vAlign w:val="center"/>
          </w:tcPr>
          <w:p>
            <w:pPr>
              <w:jc w:val="center"/>
            </w:pPr>
            <w:r>
              <w:rPr>
                <w:color w:val="000000"/>
                <w:sz w:val="24"/>
                <w:szCs w:val="24"/>
              </w:rPr>
              <w:t>002311</w:t>
            </w:r>
          </w:p>
        </w:tc>
        <w:tc>
          <w:tcPr>
            <w:vAlign w:val="center"/>
          </w:tcPr>
          <w:p>
            <w:pPr>
              <w:jc w:val="center"/>
            </w:pPr>
            <w:r>
              <w:rPr>
                <w:color w:val="000000"/>
                <w:sz w:val="24"/>
                <w:szCs w:val="24"/>
              </w:rPr>
              <w:t>海大集团</w:t>
            </w:r>
          </w:p>
        </w:tc>
        <w:tc>
          <w:tcPr>
            <w:vAlign w:val="center"/>
          </w:tcPr>
          <w:p>
            <w:pPr>
              <w:jc w:val="right"/>
            </w:pPr>
            <w:r>
              <w:rPr>
                <w:color w:val="000000"/>
                <w:sz w:val="24"/>
                <w:szCs w:val="24"/>
              </w:rPr>
              <w:t>5,594,366</w:t>
            </w:r>
          </w:p>
        </w:tc>
        <w:tc>
          <w:tcPr>
            <w:vAlign w:val="center"/>
          </w:tcPr>
          <w:p>
            <w:pPr>
              <w:jc w:val="right"/>
            </w:pPr>
            <w:r>
              <w:rPr>
                <w:color w:val="000000"/>
                <w:sz w:val="24"/>
                <w:szCs w:val="24"/>
              </w:rPr>
              <w:t>224,893,513.20</w:t>
            </w:r>
          </w:p>
        </w:tc>
        <w:tc>
          <w:tcPr>
            <w:vAlign w:val="center"/>
          </w:tcPr>
          <w:p>
            <w:pPr>
              <w:jc w:val="right"/>
            </w:pPr>
            <w:r>
              <w:rPr>
                <w:color w:val="000000"/>
                <w:sz w:val="24"/>
                <w:szCs w:val="24"/>
              </w:rPr>
              <w:t>3.91</w:t>
            </w:r>
          </w:p>
        </w:tc>
      </w:tr>
      <w:tr>
        <w:tc>
          <w:tcPr>
            <w:vAlign w:val="center"/>
          </w:tcPr>
          <w:p>
            <w:pPr>
              <w:jc w:val="center"/>
            </w:pPr>
            <w:r>
              <w:rPr>
                <w:color w:val="000000"/>
                <w:sz w:val="24"/>
                <w:szCs w:val="24"/>
              </w:rPr>
              <w:t>9</w:t>
            </w:r>
          </w:p>
        </w:tc>
        <w:tc>
          <w:tcPr>
            <w:vAlign w:val="center"/>
          </w:tcPr>
          <w:p>
            <w:pPr>
              <w:jc w:val="center"/>
            </w:pPr>
            <w:r>
              <w:rPr>
                <w:color w:val="000000"/>
                <w:sz w:val="24"/>
                <w:szCs w:val="24"/>
              </w:rPr>
              <w:t>603195</w:t>
            </w:r>
          </w:p>
        </w:tc>
        <w:tc>
          <w:tcPr>
            <w:vAlign w:val="center"/>
          </w:tcPr>
          <w:p>
            <w:pPr>
              <w:jc w:val="center"/>
            </w:pPr>
            <w:r>
              <w:rPr>
                <w:color w:val="000000"/>
                <w:sz w:val="24"/>
                <w:szCs w:val="24"/>
              </w:rPr>
              <w:t>公牛集团</w:t>
            </w:r>
          </w:p>
        </w:tc>
        <w:tc>
          <w:tcPr>
            <w:vAlign w:val="center"/>
          </w:tcPr>
          <w:p>
            <w:pPr>
              <w:jc w:val="right"/>
            </w:pPr>
            <w:r>
              <w:rPr>
                <w:color w:val="000000"/>
                <w:sz w:val="24"/>
                <w:szCs w:val="24"/>
              </w:rPr>
              <w:t>1,402,491</w:t>
            </w:r>
          </w:p>
        </w:tc>
        <w:tc>
          <w:tcPr>
            <w:vAlign w:val="center"/>
          </w:tcPr>
          <w:p>
            <w:pPr>
              <w:jc w:val="right"/>
            </w:pPr>
            <w:r>
              <w:rPr>
                <w:color w:val="000000"/>
                <w:sz w:val="24"/>
                <w:szCs w:val="24"/>
              </w:rPr>
              <w:t>217,344,030.27</w:t>
            </w:r>
          </w:p>
        </w:tc>
        <w:tc>
          <w:tcPr>
            <w:vAlign w:val="center"/>
          </w:tcPr>
          <w:p>
            <w:pPr>
              <w:jc w:val="right"/>
            </w:pPr>
            <w:r>
              <w:rPr>
                <w:color w:val="000000"/>
                <w:sz w:val="24"/>
                <w:szCs w:val="24"/>
              </w:rPr>
              <w:t>3.78</w:t>
            </w:r>
          </w:p>
        </w:tc>
      </w:tr>
      <w:tr>
        <w:tc>
          <w:tcPr>
            <w:vAlign w:val="center"/>
          </w:tcPr>
          <w:p>
            <w:pPr>
              <w:jc w:val="center"/>
            </w:pPr>
            <w:r>
              <w:rPr>
                <w:color w:val="000000"/>
                <w:sz w:val="24"/>
                <w:szCs w:val="24"/>
              </w:rPr>
              <w:t>10</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13,069,190</w:t>
            </w:r>
          </w:p>
        </w:tc>
        <w:tc>
          <w:tcPr>
            <w:vAlign w:val="center"/>
          </w:tcPr>
          <w:p>
            <w:pPr>
              <w:jc w:val="right"/>
            </w:pPr>
            <w:r>
              <w:rPr>
                <w:color w:val="000000"/>
                <w:sz w:val="24"/>
                <w:szCs w:val="24"/>
              </w:rPr>
              <w:t>210,021,883.30</w:t>
            </w:r>
          </w:p>
        </w:tc>
        <w:tc>
          <w:tcPr>
            <w:vAlign w:val="center"/>
          </w:tcPr>
          <w:p>
            <w:pPr>
              <w:jc w:val="right"/>
            </w:pPr>
            <w:r>
              <w:rPr>
                <w:color w:val="000000"/>
                <w:sz w:val="24"/>
                <w:szCs w:val="24"/>
              </w:rPr>
              <w:t>3.65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310,651,000.00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5.40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310,651,000.00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5.40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9,125,300.00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0.16</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319,776,300.00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5.55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2,100,000</w:t>
            </w:r>
          </w:p>
        </w:tc>
        <w:tc>
          <w:tcPr>
            <w:vAlign w:val="center"/>
          </w:tcPr>
          <w:p>
            <w:pPr>
              <w:jc w:val="right"/>
            </w:pPr>
            <w:r>
              <w:rPr>
                <w:color w:val="000000"/>
                <w:sz w:val="24"/>
                <w:szCs w:val="24"/>
              </w:rPr>
              <w:t>210,168,000.00</w:t>
            </w:r>
          </w:p>
        </w:tc>
        <w:tc>
          <w:tcPr>
            <w:vAlign w:val="center"/>
          </w:tcPr>
          <w:p>
            <w:pPr>
              <w:jc w:val="right"/>
            </w:pPr>
            <w:r>
              <w:rPr>
                <w:color w:val="000000"/>
                <w:sz w:val="24"/>
                <w:szCs w:val="24"/>
              </w:rPr>
              <w:t>3.65</w:t>
            </w:r>
          </w:p>
        </w:tc>
      </w:tr>
      <w:tr>
        <w:tc>
          <w:tcPr>
            <w:vAlign w:val="center"/>
          </w:tcPr>
          <w:p>
            <w:pPr>
              <w:jc w:val="center"/>
            </w:pPr>
            <w:r>
              <w:rPr>
                <w:color w:val="000000"/>
                <w:sz w:val="24"/>
                <w:szCs w:val="24"/>
              </w:rPr>
              <w:t>2</w:t>
            </w:r>
          </w:p>
        </w:tc>
        <w:tc>
          <w:tcPr>
            <w:vAlign w:val="center"/>
          </w:tcPr>
          <w:p>
            <w:pPr>
              <w:jc w:val="center"/>
            </w:pPr>
            <w:r>
              <w:rPr>
                <w:color w:val="000000"/>
                <w:sz w:val="24"/>
                <w:szCs w:val="24"/>
              </w:rPr>
              <w:t>190211</w:t>
            </w:r>
          </w:p>
        </w:tc>
        <w:tc>
          <w:tcPr>
            <w:vAlign w:val="center"/>
          </w:tcPr>
          <w:p>
            <w:pPr>
              <w:jc w:val="center"/>
            </w:pPr>
            <w:r>
              <w:rPr>
                <w:color w:val="000000"/>
                <w:sz w:val="24"/>
                <w:szCs w:val="24"/>
              </w:rPr>
              <w:t>19国开11</w:t>
            </w:r>
          </w:p>
        </w:tc>
        <w:tc>
          <w:tcPr>
            <w:vAlign w:val="center"/>
          </w:tcPr>
          <w:p>
            <w:pPr>
              <w:jc w:val="right"/>
            </w:pPr>
            <w:r>
              <w:rPr>
                <w:color w:val="000000"/>
                <w:sz w:val="24"/>
                <w:szCs w:val="24"/>
              </w:rPr>
              <w:t>500,000</w:t>
            </w:r>
          </w:p>
        </w:tc>
        <w:tc>
          <w:tcPr>
            <w:vAlign w:val="center"/>
          </w:tcPr>
          <w:p>
            <w:pPr>
              <w:jc w:val="right"/>
            </w:pPr>
            <w:r>
              <w:rPr>
                <w:color w:val="000000"/>
                <w:sz w:val="24"/>
                <w:szCs w:val="24"/>
              </w:rPr>
              <w:t>50,265,000.00</w:t>
            </w:r>
          </w:p>
        </w:tc>
        <w:tc>
          <w:tcPr>
            <w:vAlign w:val="center"/>
          </w:tcPr>
          <w:p>
            <w:pPr>
              <w:jc w:val="right"/>
            </w:pPr>
            <w:r>
              <w:rPr>
                <w:color w:val="000000"/>
                <w:sz w:val="24"/>
                <w:szCs w:val="24"/>
              </w:rPr>
              <w:t>0.87</w:t>
            </w:r>
          </w:p>
        </w:tc>
      </w:tr>
      <w:tr>
        <w:tc>
          <w:tcPr>
            <w:vAlign w:val="center"/>
          </w:tcPr>
          <w:p>
            <w:pPr>
              <w:jc w:val="center"/>
            </w:pPr>
            <w:r>
              <w:rPr>
                <w:color w:val="000000"/>
                <w:sz w:val="24"/>
                <w:szCs w:val="24"/>
              </w:rPr>
              <w:t>3</w:t>
            </w:r>
          </w:p>
        </w:tc>
        <w:tc>
          <w:tcPr>
            <w:vAlign w:val="center"/>
          </w:tcPr>
          <w:p>
            <w:pPr>
              <w:jc w:val="center"/>
            </w:pPr>
            <w:r>
              <w:rPr>
                <w:color w:val="000000"/>
                <w:sz w:val="24"/>
                <w:szCs w:val="24"/>
              </w:rPr>
              <w:t>190307</w:t>
            </w:r>
          </w:p>
        </w:tc>
        <w:tc>
          <w:tcPr>
            <w:vAlign w:val="center"/>
          </w:tcPr>
          <w:p>
            <w:pPr>
              <w:jc w:val="center"/>
            </w:pPr>
            <w:r>
              <w:rPr>
                <w:color w:val="000000"/>
                <w:sz w:val="24"/>
                <w:szCs w:val="24"/>
              </w:rPr>
              <w:t>19进出07</w:t>
            </w:r>
          </w:p>
        </w:tc>
        <w:tc>
          <w:tcPr>
            <w:vAlign w:val="center"/>
          </w:tcPr>
          <w:p>
            <w:pPr>
              <w:jc w:val="right"/>
            </w:pPr>
            <w:r>
              <w:rPr>
                <w:color w:val="000000"/>
                <w:sz w:val="24"/>
                <w:szCs w:val="24"/>
              </w:rPr>
              <w:t>200,000</w:t>
            </w:r>
          </w:p>
        </w:tc>
        <w:tc>
          <w:tcPr>
            <w:vAlign w:val="center"/>
          </w:tcPr>
          <w:p>
            <w:pPr>
              <w:jc w:val="right"/>
            </w:pPr>
            <w:r>
              <w:rPr>
                <w:color w:val="000000"/>
                <w:sz w:val="24"/>
                <w:szCs w:val="24"/>
              </w:rPr>
              <w:t>20,112,000.00</w:t>
            </w:r>
          </w:p>
        </w:tc>
        <w:tc>
          <w:tcPr>
            <w:vAlign w:val="center"/>
          </w:tcPr>
          <w:p>
            <w:pPr>
              <w:jc w:val="right"/>
            </w:pPr>
            <w:r>
              <w:rPr>
                <w:color w:val="000000"/>
                <w:sz w:val="24"/>
                <w:szCs w:val="24"/>
              </w:rPr>
              <w:t>0.35</w:t>
            </w:r>
          </w:p>
        </w:tc>
      </w:tr>
      <w:tr>
        <w:tc>
          <w:tcPr>
            <w:vAlign w:val="center"/>
          </w:tcPr>
          <w:p>
            <w:pPr>
              <w:jc w:val="center"/>
            </w:pPr>
            <w:r>
              <w:rPr>
                <w:color w:val="000000"/>
                <w:sz w:val="24"/>
                <w:szCs w:val="24"/>
              </w:rPr>
              <w:t>4</w:t>
            </w:r>
          </w:p>
        </w:tc>
        <w:tc>
          <w:tcPr>
            <w:vAlign w:val="center"/>
          </w:tcPr>
          <w:p>
            <w:pPr>
              <w:jc w:val="center"/>
            </w:pPr>
            <w:r>
              <w:rPr>
                <w:color w:val="000000"/>
                <w:sz w:val="24"/>
                <w:szCs w:val="24"/>
              </w:rPr>
              <w:t>200201</w:t>
            </w:r>
          </w:p>
        </w:tc>
        <w:tc>
          <w:tcPr>
            <w:vAlign w:val="center"/>
          </w:tcPr>
          <w:p>
            <w:pPr>
              <w:jc w:val="center"/>
            </w:pPr>
            <w:r>
              <w:rPr>
                <w:color w:val="000000"/>
                <w:sz w:val="24"/>
                <w:szCs w:val="24"/>
              </w:rPr>
              <w:t>20国开01</w:t>
            </w:r>
          </w:p>
        </w:tc>
        <w:tc>
          <w:tcPr>
            <w:vAlign w:val="center"/>
          </w:tcPr>
          <w:p>
            <w:pPr>
              <w:jc w:val="right"/>
            </w:pPr>
            <w:r>
              <w:rPr>
                <w:color w:val="000000"/>
                <w:sz w:val="24"/>
                <w:szCs w:val="24"/>
              </w:rPr>
              <w:t>200,000</w:t>
            </w:r>
          </w:p>
        </w:tc>
        <w:tc>
          <w:tcPr>
            <w:vAlign w:val="center"/>
          </w:tcPr>
          <w:p>
            <w:pPr>
              <w:jc w:val="right"/>
            </w:pPr>
            <w:r>
              <w:rPr>
                <w:color w:val="000000"/>
                <w:sz w:val="24"/>
                <w:szCs w:val="24"/>
              </w:rPr>
              <w:t>20,098,000.00</w:t>
            </w:r>
          </w:p>
        </w:tc>
        <w:tc>
          <w:tcPr>
            <w:vAlign w:val="center"/>
          </w:tcPr>
          <w:p>
            <w:pPr>
              <w:jc w:val="right"/>
            </w:pPr>
            <w:r>
              <w:rPr>
                <w:color w:val="000000"/>
                <w:sz w:val="24"/>
                <w:szCs w:val="24"/>
              </w:rPr>
              <w:t>0.35</w:t>
            </w:r>
          </w:p>
        </w:tc>
      </w:tr>
      <w:tr>
        <w:tc>
          <w:tcPr>
            <w:vAlign w:val="center"/>
          </w:tcPr>
          <w:p>
            <w:pPr>
              <w:jc w:val="center"/>
            </w:pPr>
            <w:r>
              <w:rPr>
                <w:color w:val="000000"/>
                <w:sz w:val="24"/>
                <w:szCs w:val="24"/>
              </w:rPr>
              <w:t>5</w:t>
            </w:r>
          </w:p>
        </w:tc>
        <w:tc>
          <w:tcPr>
            <w:vAlign w:val="center"/>
          </w:tcPr>
          <w:p>
            <w:pPr>
              <w:jc w:val="center"/>
            </w:pPr>
            <w:r>
              <w:rPr>
                <w:color w:val="000000"/>
                <w:sz w:val="24"/>
                <w:szCs w:val="24"/>
              </w:rPr>
              <w:t>170305</w:t>
            </w:r>
          </w:p>
        </w:tc>
        <w:tc>
          <w:tcPr>
            <w:vAlign w:val="center"/>
          </w:tcPr>
          <w:p>
            <w:pPr>
              <w:jc w:val="center"/>
            </w:pPr>
            <w:r>
              <w:rPr>
                <w:color w:val="000000"/>
                <w:sz w:val="24"/>
                <w:szCs w:val="24"/>
              </w:rPr>
              <w:t>17进出05</w:t>
            </w:r>
          </w:p>
        </w:tc>
        <w:tc>
          <w:tcPr>
            <w:vAlign w:val="center"/>
          </w:tcPr>
          <w:p>
            <w:pPr>
              <w:jc w:val="right"/>
            </w:pPr>
            <w:r>
              <w:rPr>
                <w:color w:val="000000"/>
                <w:sz w:val="24"/>
                <w:szCs w:val="24"/>
              </w:rPr>
              <w:t>100,000</w:t>
            </w:r>
          </w:p>
        </w:tc>
        <w:tc>
          <w:tcPr>
            <w:vAlign w:val="center"/>
          </w:tcPr>
          <w:p>
            <w:pPr>
              <w:jc w:val="right"/>
            </w:pPr>
            <w:r>
              <w:rPr>
                <w:color w:val="000000"/>
                <w:sz w:val="24"/>
                <w:szCs w:val="24"/>
              </w:rPr>
              <w:t>10,008,000.00</w:t>
            </w:r>
          </w:p>
        </w:tc>
        <w:tc>
          <w:tcPr>
            <w:vAlign w:val="center"/>
          </w:tcPr>
          <w:p>
            <w:pPr>
              <w:jc w:val="right"/>
            </w:pPr>
            <w:r>
              <w:rPr>
                <w:color w:val="000000"/>
                <w:sz w:val="24"/>
                <w:szCs w:val="24"/>
              </w:rPr>
              <w:t>0.17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 xml:space="preserve">本基金本报告期末未持有股指期货。 </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1,896,797.62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57,514,406.72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6,790,126.83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8,529,749.90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74,731,081.07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002230</w:t>
            </w:r>
          </w:p>
        </w:tc>
        <w:tc>
          <w:tcPr>
            <w:vAlign w:val="center"/>
          </w:tcPr>
          <w:p>
            <w:pPr>
              <w:jc w:val="center"/>
            </w:pPr>
            <w:r>
              <w:rPr>
                <w:color w:val="000000"/>
                <w:sz w:val="24"/>
                <w:szCs w:val="24"/>
              </w:rPr>
              <w:t>科大讯飞</w:t>
            </w:r>
          </w:p>
        </w:tc>
        <w:tc>
          <w:tcPr>
            <w:vAlign w:val="center"/>
          </w:tcPr>
          <w:p>
            <w:pPr>
              <w:jc w:val="right"/>
            </w:pPr>
            <w:r>
              <w:rPr>
                <w:color w:val="000000"/>
                <w:sz w:val="24"/>
                <w:szCs w:val="24"/>
              </w:rPr>
              <w:t>79,918,860.00</w:t>
            </w:r>
          </w:p>
        </w:tc>
        <w:tc>
          <w:tcPr>
            <w:vAlign w:val="center"/>
          </w:tcPr>
          <w:p>
            <w:pPr>
              <w:jc w:val="right"/>
            </w:pPr>
            <w:r>
              <w:rPr>
                <w:color w:val="000000"/>
                <w:sz w:val="24"/>
                <w:szCs w:val="24"/>
              </w:rPr>
              <w:t>1.39</w:t>
            </w:r>
          </w:p>
        </w:tc>
        <w:tc>
          <w:tcPr>
            <w:vAlign w:val="center"/>
          </w:tcPr>
          <w:p>
            <w:pPr>
              <w:jc w:val="right"/>
            </w:pPr>
            <w:r>
              <w:rPr>
                <w:color w:val="000000"/>
                <w:sz w:val="24"/>
                <w:szCs w:val="24"/>
              </w:rPr>
              <w:t>限售股</w:t>
            </w:r>
          </w:p>
        </w:tc>
      </w:tr>
      <w:tr>
        <w:tc>
          <w:tcPr>
            <w:vAlign w:val="center"/>
          </w:tcPr>
          <w:p>
            <w:pPr>
              <w:jc w:val="center"/>
            </w:pPr>
            <w:r>
              <w:rPr>
                <w:color w:val="000000"/>
                <w:sz w:val="24"/>
                <w:szCs w:val="24"/>
              </w:rPr>
              <w:t>2</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43,904,000.00</w:t>
            </w:r>
          </w:p>
        </w:tc>
        <w:tc>
          <w:tcPr>
            <w:vAlign w:val="center"/>
          </w:tcPr>
          <w:p>
            <w:pPr>
              <w:jc w:val="right"/>
            </w:pPr>
            <w:r>
              <w:rPr>
                <w:color w:val="000000"/>
                <w:sz w:val="24"/>
                <w:szCs w:val="24"/>
              </w:rPr>
              <w:t>0.76</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7,457,562,962.33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1,112,383,990.70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1,603,125,478.80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6,966,821,474.23</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 </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1、中国证监会批准交银施罗德精选股票证券投资基金募集的文件； </w:t>
      </w:r>
    </w:p>
    <w:p>
      <w:pPr>
        <w:spacing w:before="29" w:line="288" w:lineRule="auto"/>
        <w:ind w:firstLine="480" w:firstLineChars="200"/>
        <w:rPr>
          <w:color w:val="000000"/>
          <w:sz w:val="24"/>
          <w:szCs w:val="24"/>
        </w:rPr>
      </w:pPr>
      <w:r>
        <w:rPr>
          <w:color w:val="000000"/>
          <w:sz w:val="24"/>
          <w:szCs w:val="24"/>
        </w:rPr>
        <w:t xml:space="preserve">2、《交银施罗德精选混合型证券投资基金基金合同》；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3、《交银施罗德精选混合型证券投资基金招募说明书》；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4、《交银施罗德精选混合型证券投资基金托管协议》；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5、关于募集交银施罗德精选股票证券投资基金之法律意见书；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8、报告期内交银施罗德精选混合型证券投资基金在指定报刊上各项公告的原稿。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交银施罗德精选混合型证券投资基金2020年第1季度报告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