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2020</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2020</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二〇二〇年四月二十二日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B649D8" w:rsidRDefault="00491119">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649D8" w:rsidRDefault="00491119">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649D8" w:rsidRDefault="0049111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649D8" w:rsidRDefault="0049111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649D8" w:rsidRDefault="00491119">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2020</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262,524,362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91119" w:rsidRPr="0036023B" w:rsidTr="00491119">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(2020</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-2020</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491119" w:rsidRPr="0036023B" w:rsidTr="0049111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7,623,895.35</w:t>
            </w:r>
          </w:p>
        </w:tc>
      </w:tr>
      <w:tr w:rsidR="00491119" w:rsidRPr="0036023B" w:rsidTr="0049111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-39,500,389.70</w:t>
            </w:r>
          </w:p>
        </w:tc>
      </w:tr>
      <w:tr w:rsidR="00491119" w:rsidRPr="0036023B" w:rsidTr="0049111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-0.1440</w:t>
            </w:r>
          </w:p>
        </w:tc>
      </w:tr>
      <w:tr w:rsidR="00491119" w:rsidRPr="0036023B" w:rsidTr="00491119">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281,741,734.64</w:t>
            </w:r>
          </w:p>
        </w:tc>
      </w:tr>
      <w:tr w:rsidR="00491119" w:rsidRPr="0036023B" w:rsidTr="00491119">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1.073</w:t>
            </w:r>
          </w:p>
        </w:tc>
      </w:tr>
    </w:tbl>
    <w:p w:rsidR="00B649D8" w:rsidRDefault="0049111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B649D8">
        <w:trPr>
          <w:jc w:val="center"/>
        </w:trPr>
        <w:tc>
          <w:tcPr>
            <w:tcW w:w="1469" w:type="dxa"/>
            <w:vAlign w:val="center"/>
          </w:tcPr>
          <w:p w:rsidR="00B649D8" w:rsidRDefault="00491119">
            <w:pPr>
              <w:jc w:val="left"/>
            </w:pPr>
            <w:r>
              <w:rPr>
                <w:color w:val="000000"/>
                <w:sz w:val="24"/>
              </w:rPr>
              <w:t>过去三个月</w:t>
            </w:r>
          </w:p>
        </w:tc>
        <w:tc>
          <w:tcPr>
            <w:tcW w:w="1150" w:type="dxa"/>
            <w:vAlign w:val="center"/>
          </w:tcPr>
          <w:p w:rsidR="00B649D8" w:rsidRDefault="00491119">
            <w:pPr>
              <w:jc w:val="center"/>
            </w:pPr>
            <w:r>
              <w:rPr>
                <w:color w:val="000000"/>
                <w:sz w:val="24"/>
              </w:rPr>
              <w:t>-11.69%</w:t>
            </w:r>
          </w:p>
        </w:tc>
        <w:tc>
          <w:tcPr>
            <w:tcW w:w="1223" w:type="dxa"/>
            <w:vAlign w:val="center"/>
          </w:tcPr>
          <w:p w:rsidR="00B649D8" w:rsidRDefault="00491119">
            <w:pPr>
              <w:jc w:val="center"/>
            </w:pPr>
            <w:r>
              <w:rPr>
                <w:color w:val="000000"/>
                <w:sz w:val="24"/>
              </w:rPr>
              <w:t>1.77%</w:t>
            </w:r>
          </w:p>
        </w:tc>
        <w:tc>
          <w:tcPr>
            <w:tcW w:w="1244" w:type="dxa"/>
            <w:vAlign w:val="center"/>
          </w:tcPr>
          <w:p w:rsidR="00B649D8" w:rsidRDefault="00491119">
            <w:pPr>
              <w:jc w:val="center"/>
            </w:pPr>
            <w:r>
              <w:rPr>
                <w:color w:val="000000"/>
                <w:sz w:val="24"/>
              </w:rPr>
              <w:t>-13.09%</w:t>
            </w:r>
          </w:p>
        </w:tc>
        <w:tc>
          <w:tcPr>
            <w:tcW w:w="1251" w:type="dxa"/>
            <w:vAlign w:val="center"/>
          </w:tcPr>
          <w:p w:rsidR="00B649D8" w:rsidRDefault="00491119">
            <w:pPr>
              <w:jc w:val="center"/>
            </w:pPr>
            <w:r>
              <w:rPr>
                <w:color w:val="000000"/>
                <w:sz w:val="24"/>
              </w:rPr>
              <w:t>1.76%</w:t>
            </w:r>
          </w:p>
        </w:tc>
        <w:tc>
          <w:tcPr>
            <w:tcW w:w="1263" w:type="dxa"/>
            <w:vAlign w:val="center"/>
          </w:tcPr>
          <w:p w:rsidR="00B649D8" w:rsidRDefault="00491119">
            <w:pPr>
              <w:jc w:val="center"/>
            </w:pPr>
            <w:r>
              <w:rPr>
                <w:color w:val="000000"/>
                <w:sz w:val="24"/>
              </w:rPr>
              <w:t>1.40%</w:t>
            </w:r>
          </w:p>
        </w:tc>
        <w:tc>
          <w:tcPr>
            <w:tcW w:w="1268" w:type="dxa"/>
            <w:vAlign w:val="center"/>
          </w:tcPr>
          <w:p w:rsidR="00B649D8" w:rsidRDefault="00491119">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2020</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B649D8">
        <w:trPr>
          <w:jc w:val="center"/>
        </w:trPr>
        <w:tc>
          <w:tcPr>
            <w:tcW w:w="846" w:type="dxa"/>
            <w:vAlign w:val="center"/>
          </w:tcPr>
          <w:p w:rsidR="00B649D8" w:rsidRDefault="00491119">
            <w:pPr>
              <w:jc w:val="center"/>
            </w:pPr>
            <w:r>
              <w:rPr>
                <w:color w:val="000000"/>
                <w:sz w:val="24"/>
              </w:rPr>
              <w:t>蔡铮</w:t>
            </w:r>
          </w:p>
        </w:tc>
        <w:tc>
          <w:tcPr>
            <w:tcW w:w="845" w:type="dxa"/>
            <w:vAlign w:val="center"/>
          </w:tcPr>
          <w:p w:rsidR="00B649D8" w:rsidRDefault="0049111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549" w:type="dxa"/>
            <w:vAlign w:val="center"/>
          </w:tcPr>
          <w:p w:rsidR="00B649D8" w:rsidRDefault="00491119">
            <w:pPr>
              <w:jc w:val="center"/>
            </w:pPr>
            <w:r>
              <w:rPr>
                <w:color w:val="000000"/>
                <w:sz w:val="24"/>
              </w:rPr>
              <w:t>2012-12-27</w:t>
            </w:r>
          </w:p>
        </w:tc>
        <w:tc>
          <w:tcPr>
            <w:tcW w:w="1548" w:type="dxa"/>
            <w:vAlign w:val="center"/>
          </w:tcPr>
          <w:p w:rsidR="00B649D8" w:rsidRDefault="00491119">
            <w:pPr>
              <w:jc w:val="center"/>
            </w:pPr>
            <w:r>
              <w:rPr>
                <w:color w:val="000000"/>
                <w:sz w:val="24"/>
              </w:rPr>
              <w:t>-</w:t>
            </w:r>
          </w:p>
        </w:tc>
        <w:tc>
          <w:tcPr>
            <w:tcW w:w="1407" w:type="dxa"/>
            <w:vAlign w:val="center"/>
          </w:tcPr>
          <w:p w:rsidR="00B649D8" w:rsidRDefault="00491119">
            <w:pPr>
              <w:jc w:val="center"/>
            </w:pPr>
            <w:r>
              <w:rPr>
                <w:color w:val="000000"/>
                <w:sz w:val="24"/>
              </w:rPr>
              <w:t>11</w:t>
            </w:r>
            <w:r>
              <w:rPr>
                <w:color w:val="000000"/>
                <w:sz w:val="24"/>
              </w:rPr>
              <w:t>年</w:t>
            </w:r>
          </w:p>
        </w:tc>
        <w:tc>
          <w:tcPr>
            <w:tcW w:w="2673" w:type="dxa"/>
            <w:vAlign w:val="center"/>
          </w:tcPr>
          <w:p w:rsidR="00B649D8" w:rsidRDefault="0049111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B649D8" w:rsidRDefault="0049111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49D8" w:rsidRDefault="0049111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649D8" w:rsidRDefault="0049111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B649D8" w:rsidRDefault="00491119">
      <w:pPr>
        <w:spacing w:before="29" w:line="288" w:lineRule="auto"/>
        <w:ind w:firstLineChars="200" w:firstLine="480"/>
        <w:rPr>
          <w:color w:val="000000"/>
          <w:sz w:val="24"/>
        </w:rPr>
      </w:pPr>
      <w:r>
        <w:rPr>
          <w:color w:val="000000"/>
          <w:sz w:val="24"/>
        </w:rPr>
        <w:t>2020</w:t>
      </w:r>
      <w:r>
        <w:rPr>
          <w:color w:val="000000"/>
          <w:sz w:val="24"/>
        </w:rPr>
        <w:t>年一季度，新冠疫情对全球经济和资本市场均产生较大冲击。国内经济短期的不确定性有所增加，内外需受疫情影响呈现较大幅走低，生产端也因为推迟复工复产而显著回落。三月以来国内疫情得到有效控制，各行各业陆续复工复产，未来随疫情进一步缓解，外部事件影响或将逐步减弱。一季度资本市场受疫情黑天鹅冲击，整体波动较</w:t>
      </w:r>
      <w:r>
        <w:rPr>
          <w:color w:val="000000"/>
          <w:sz w:val="24"/>
        </w:rPr>
        <w:t>2019</w:t>
      </w:r>
      <w:r>
        <w:rPr>
          <w:color w:val="000000"/>
          <w:sz w:val="24"/>
        </w:rPr>
        <w:t>年底明显加大。作为跟踪基准指数的指数基金，一季度基金总体呈现宽幅震荡的走势。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w:t>
      </w:r>
      <w:r w:rsidRPr="0036023B">
        <w:rPr>
          <w:color w:val="000000"/>
          <w:sz w:val="24"/>
        </w:rPr>
        <w:t>A</w:t>
      </w:r>
      <w:r w:rsidRPr="0036023B">
        <w:rPr>
          <w:color w:val="000000"/>
          <w:sz w:val="24"/>
        </w:rPr>
        <w:t>股市场维持谨慎乐观的看法。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277,270,738.29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98.28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277,270,738.29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98.28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4,845,598.89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1.72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6,523.87</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282,122,861.05</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DF2629" w:rsidRPr="00DF2629" w:rsidRDefault="00DF2629" w:rsidP="00DF2629">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DF2629" w:rsidP="0099526C">
            <w:pPr>
              <w:adjustRightInd w:val="0"/>
              <w:snapToGrid w:val="0"/>
              <w:spacing w:before="29" w:line="288" w:lineRule="auto"/>
              <w:jc w:val="center"/>
              <w:rPr>
                <w:sz w:val="24"/>
              </w:rPr>
            </w:pPr>
            <w:r>
              <w:rPr>
                <w:sz w:val="24"/>
              </w:rPr>
              <w:t>公允价值</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E52403"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1,813,976.66</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0.64</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19,147.31</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0.01</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99,425.07</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0.04</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1,932,549.04</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0.69</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17,180,970.10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6.10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66,910,886.61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23.75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15,270,372.15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16,398,174.26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1,288,362.36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9,642,864.16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8,775,227.34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3.11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130,928,546.21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46.47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8,423,586.06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2.99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519,200.00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0.18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275,338,189.25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97.73</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0F6EE7" w:rsidRPr="000F6EE7">
        <w:rPr>
          <w:rFonts w:hint="eastAsia"/>
          <w:b/>
          <w:color w:val="000000"/>
          <w:kern w:val="0"/>
          <w:sz w:val="24"/>
        </w:rPr>
        <w:t>报告期末按公允价值占基金资产净值比例大小排序的股票投资明细</w:t>
      </w:r>
      <w:bookmarkStart w:id="0" w:name="_GoBack"/>
      <w:bookmarkEnd w:id="0"/>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B649D8">
        <w:trPr>
          <w:jc w:val="center"/>
        </w:trPr>
        <w:tc>
          <w:tcPr>
            <w:tcW w:w="850" w:type="dxa"/>
            <w:vAlign w:val="center"/>
          </w:tcPr>
          <w:p w:rsidR="00B649D8" w:rsidRDefault="00491119">
            <w:pPr>
              <w:jc w:val="center"/>
            </w:pPr>
            <w:r>
              <w:rPr>
                <w:color w:val="000000"/>
                <w:sz w:val="24"/>
              </w:rPr>
              <w:t>1</w:t>
            </w:r>
          </w:p>
        </w:tc>
        <w:tc>
          <w:tcPr>
            <w:tcW w:w="1327" w:type="dxa"/>
            <w:vAlign w:val="center"/>
          </w:tcPr>
          <w:p w:rsidR="00B649D8" w:rsidRDefault="00491119">
            <w:pPr>
              <w:jc w:val="center"/>
            </w:pPr>
            <w:r>
              <w:rPr>
                <w:color w:val="000000"/>
                <w:sz w:val="24"/>
              </w:rPr>
              <w:t>601318</w:t>
            </w:r>
          </w:p>
        </w:tc>
        <w:tc>
          <w:tcPr>
            <w:tcW w:w="1769" w:type="dxa"/>
            <w:vAlign w:val="center"/>
          </w:tcPr>
          <w:p w:rsidR="00B649D8" w:rsidRDefault="00491119">
            <w:pPr>
              <w:jc w:val="center"/>
            </w:pPr>
            <w:r>
              <w:rPr>
                <w:color w:val="000000"/>
                <w:sz w:val="24"/>
              </w:rPr>
              <w:t>中国平安</w:t>
            </w:r>
          </w:p>
        </w:tc>
        <w:tc>
          <w:tcPr>
            <w:tcW w:w="1327" w:type="dxa"/>
            <w:vAlign w:val="center"/>
          </w:tcPr>
          <w:p w:rsidR="00B649D8" w:rsidRDefault="00491119">
            <w:pPr>
              <w:jc w:val="right"/>
            </w:pPr>
            <w:r>
              <w:rPr>
                <w:color w:val="000000"/>
                <w:sz w:val="24"/>
              </w:rPr>
              <w:t>619,035</w:t>
            </w:r>
          </w:p>
        </w:tc>
        <w:tc>
          <w:tcPr>
            <w:tcW w:w="1915" w:type="dxa"/>
            <w:vAlign w:val="center"/>
          </w:tcPr>
          <w:p w:rsidR="00B649D8" w:rsidRDefault="00491119">
            <w:pPr>
              <w:jc w:val="right"/>
            </w:pPr>
            <w:r>
              <w:rPr>
                <w:color w:val="000000"/>
                <w:sz w:val="24"/>
              </w:rPr>
              <w:t>42,818,650.95</w:t>
            </w:r>
          </w:p>
        </w:tc>
        <w:tc>
          <w:tcPr>
            <w:tcW w:w="1680" w:type="dxa"/>
            <w:vAlign w:val="center"/>
          </w:tcPr>
          <w:p w:rsidR="00B649D8" w:rsidRDefault="00491119">
            <w:pPr>
              <w:jc w:val="right"/>
            </w:pPr>
            <w:r>
              <w:rPr>
                <w:color w:val="000000"/>
                <w:sz w:val="24"/>
              </w:rPr>
              <w:t>15.20</w:t>
            </w:r>
          </w:p>
        </w:tc>
      </w:tr>
      <w:tr w:rsidR="00B649D8">
        <w:trPr>
          <w:jc w:val="center"/>
        </w:trPr>
        <w:tc>
          <w:tcPr>
            <w:tcW w:w="850" w:type="dxa"/>
            <w:vAlign w:val="center"/>
          </w:tcPr>
          <w:p w:rsidR="00B649D8" w:rsidRDefault="00491119">
            <w:pPr>
              <w:jc w:val="center"/>
            </w:pPr>
            <w:r>
              <w:rPr>
                <w:color w:val="000000"/>
                <w:sz w:val="24"/>
              </w:rPr>
              <w:t>2</w:t>
            </w:r>
          </w:p>
        </w:tc>
        <w:tc>
          <w:tcPr>
            <w:tcW w:w="1327" w:type="dxa"/>
            <w:vAlign w:val="center"/>
          </w:tcPr>
          <w:p w:rsidR="00B649D8" w:rsidRDefault="00491119">
            <w:pPr>
              <w:jc w:val="center"/>
            </w:pPr>
            <w:r>
              <w:rPr>
                <w:color w:val="000000"/>
                <w:sz w:val="24"/>
              </w:rPr>
              <w:t>600036</w:t>
            </w:r>
          </w:p>
        </w:tc>
        <w:tc>
          <w:tcPr>
            <w:tcW w:w="1769" w:type="dxa"/>
            <w:vAlign w:val="center"/>
          </w:tcPr>
          <w:p w:rsidR="00B649D8" w:rsidRDefault="00491119">
            <w:pPr>
              <w:jc w:val="center"/>
            </w:pPr>
            <w:r>
              <w:rPr>
                <w:color w:val="000000"/>
                <w:sz w:val="24"/>
              </w:rPr>
              <w:t>招商银行</w:t>
            </w:r>
          </w:p>
        </w:tc>
        <w:tc>
          <w:tcPr>
            <w:tcW w:w="1327" w:type="dxa"/>
            <w:vAlign w:val="center"/>
          </w:tcPr>
          <w:p w:rsidR="00B649D8" w:rsidRDefault="00491119">
            <w:pPr>
              <w:jc w:val="right"/>
            </w:pPr>
            <w:r>
              <w:rPr>
                <w:color w:val="000000"/>
                <w:sz w:val="24"/>
              </w:rPr>
              <w:t>588,682</w:t>
            </w:r>
          </w:p>
        </w:tc>
        <w:tc>
          <w:tcPr>
            <w:tcW w:w="1915" w:type="dxa"/>
            <w:vAlign w:val="center"/>
          </w:tcPr>
          <w:p w:rsidR="00B649D8" w:rsidRDefault="00491119">
            <w:pPr>
              <w:jc w:val="right"/>
            </w:pPr>
            <w:r>
              <w:rPr>
                <w:color w:val="000000"/>
                <w:sz w:val="24"/>
              </w:rPr>
              <w:t>19,002,654.96</w:t>
            </w:r>
          </w:p>
        </w:tc>
        <w:tc>
          <w:tcPr>
            <w:tcW w:w="1680" w:type="dxa"/>
            <w:vAlign w:val="center"/>
          </w:tcPr>
          <w:p w:rsidR="00B649D8" w:rsidRDefault="00491119">
            <w:pPr>
              <w:jc w:val="right"/>
            </w:pPr>
            <w:r>
              <w:rPr>
                <w:color w:val="000000"/>
                <w:sz w:val="24"/>
              </w:rPr>
              <w:t>6.74</w:t>
            </w:r>
          </w:p>
        </w:tc>
      </w:tr>
      <w:tr w:rsidR="00B649D8">
        <w:trPr>
          <w:jc w:val="center"/>
        </w:trPr>
        <w:tc>
          <w:tcPr>
            <w:tcW w:w="850" w:type="dxa"/>
            <w:vAlign w:val="center"/>
          </w:tcPr>
          <w:p w:rsidR="00B649D8" w:rsidRDefault="00491119">
            <w:pPr>
              <w:jc w:val="center"/>
            </w:pPr>
            <w:r>
              <w:rPr>
                <w:color w:val="000000"/>
                <w:sz w:val="24"/>
              </w:rPr>
              <w:t>3</w:t>
            </w:r>
          </w:p>
        </w:tc>
        <w:tc>
          <w:tcPr>
            <w:tcW w:w="1327" w:type="dxa"/>
            <w:vAlign w:val="center"/>
          </w:tcPr>
          <w:p w:rsidR="00B649D8" w:rsidRDefault="00491119">
            <w:pPr>
              <w:jc w:val="center"/>
            </w:pPr>
            <w:r>
              <w:rPr>
                <w:color w:val="000000"/>
                <w:sz w:val="24"/>
              </w:rPr>
              <w:t>601166</w:t>
            </w:r>
          </w:p>
        </w:tc>
        <w:tc>
          <w:tcPr>
            <w:tcW w:w="1769" w:type="dxa"/>
            <w:vAlign w:val="center"/>
          </w:tcPr>
          <w:p w:rsidR="00B649D8" w:rsidRDefault="00491119">
            <w:pPr>
              <w:jc w:val="center"/>
            </w:pPr>
            <w:r>
              <w:rPr>
                <w:color w:val="000000"/>
                <w:sz w:val="24"/>
              </w:rPr>
              <w:t>兴业银行</w:t>
            </w:r>
          </w:p>
        </w:tc>
        <w:tc>
          <w:tcPr>
            <w:tcW w:w="1327" w:type="dxa"/>
            <w:vAlign w:val="center"/>
          </w:tcPr>
          <w:p w:rsidR="00B649D8" w:rsidRDefault="00491119">
            <w:pPr>
              <w:jc w:val="right"/>
            </w:pPr>
            <w:r>
              <w:rPr>
                <w:color w:val="000000"/>
                <w:sz w:val="24"/>
              </w:rPr>
              <w:t>831,362</w:t>
            </w:r>
          </w:p>
        </w:tc>
        <w:tc>
          <w:tcPr>
            <w:tcW w:w="1915" w:type="dxa"/>
            <w:vAlign w:val="center"/>
          </w:tcPr>
          <w:p w:rsidR="00B649D8" w:rsidRDefault="00491119">
            <w:pPr>
              <w:jc w:val="right"/>
            </w:pPr>
            <w:r>
              <w:rPr>
                <w:color w:val="000000"/>
                <w:sz w:val="24"/>
              </w:rPr>
              <w:t>13,226,969.42</w:t>
            </w:r>
          </w:p>
        </w:tc>
        <w:tc>
          <w:tcPr>
            <w:tcW w:w="1680" w:type="dxa"/>
            <w:vAlign w:val="center"/>
          </w:tcPr>
          <w:p w:rsidR="00B649D8" w:rsidRDefault="00491119">
            <w:pPr>
              <w:jc w:val="right"/>
            </w:pPr>
            <w:r>
              <w:rPr>
                <w:color w:val="000000"/>
                <w:sz w:val="24"/>
              </w:rPr>
              <w:t>4.69</w:t>
            </w:r>
          </w:p>
        </w:tc>
      </w:tr>
      <w:tr w:rsidR="00B649D8">
        <w:trPr>
          <w:jc w:val="center"/>
        </w:trPr>
        <w:tc>
          <w:tcPr>
            <w:tcW w:w="850" w:type="dxa"/>
            <w:vAlign w:val="center"/>
          </w:tcPr>
          <w:p w:rsidR="00B649D8" w:rsidRDefault="00491119">
            <w:pPr>
              <w:jc w:val="center"/>
            </w:pPr>
            <w:r>
              <w:rPr>
                <w:color w:val="000000"/>
                <w:sz w:val="24"/>
              </w:rPr>
              <w:t>4</w:t>
            </w:r>
          </w:p>
        </w:tc>
        <w:tc>
          <w:tcPr>
            <w:tcW w:w="1327" w:type="dxa"/>
            <w:vAlign w:val="center"/>
          </w:tcPr>
          <w:p w:rsidR="00B649D8" w:rsidRDefault="00491119">
            <w:pPr>
              <w:jc w:val="center"/>
            </w:pPr>
            <w:r>
              <w:rPr>
                <w:color w:val="000000"/>
                <w:sz w:val="24"/>
              </w:rPr>
              <w:t>600887</w:t>
            </w:r>
          </w:p>
        </w:tc>
        <w:tc>
          <w:tcPr>
            <w:tcW w:w="1769" w:type="dxa"/>
            <w:vAlign w:val="center"/>
          </w:tcPr>
          <w:p w:rsidR="00B649D8" w:rsidRDefault="00491119">
            <w:pPr>
              <w:jc w:val="center"/>
            </w:pPr>
            <w:r>
              <w:rPr>
                <w:color w:val="000000"/>
                <w:sz w:val="24"/>
              </w:rPr>
              <w:t>伊利股份</w:t>
            </w:r>
          </w:p>
        </w:tc>
        <w:tc>
          <w:tcPr>
            <w:tcW w:w="1327" w:type="dxa"/>
            <w:vAlign w:val="center"/>
          </w:tcPr>
          <w:p w:rsidR="00B649D8" w:rsidRDefault="00491119">
            <w:pPr>
              <w:jc w:val="right"/>
            </w:pPr>
            <w:r>
              <w:rPr>
                <w:color w:val="000000"/>
                <w:sz w:val="24"/>
              </w:rPr>
              <w:t>350,300</w:t>
            </w:r>
          </w:p>
        </w:tc>
        <w:tc>
          <w:tcPr>
            <w:tcW w:w="1915" w:type="dxa"/>
            <w:vAlign w:val="center"/>
          </w:tcPr>
          <w:p w:rsidR="00B649D8" w:rsidRDefault="00491119">
            <w:pPr>
              <w:jc w:val="right"/>
            </w:pPr>
            <w:r>
              <w:rPr>
                <w:color w:val="000000"/>
                <w:sz w:val="24"/>
              </w:rPr>
              <w:t>10,459,958.00</w:t>
            </w:r>
          </w:p>
        </w:tc>
        <w:tc>
          <w:tcPr>
            <w:tcW w:w="1680" w:type="dxa"/>
            <w:vAlign w:val="center"/>
          </w:tcPr>
          <w:p w:rsidR="00B649D8" w:rsidRDefault="00491119">
            <w:pPr>
              <w:jc w:val="right"/>
            </w:pPr>
            <w:r>
              <w:rPr>
                <w:color w:val="000000"/>
                <w:sz w:val="24"/>
              </w:rPr>
              <w:t>3.71</w:t>
            </w:r>
          </w:p>
        </w:tc>
      </w:tr>
      <w:tr w:rsidR="00B649D8">
        <w:trPr>
          <w:jc w:val="center"/>
        </w:trPr>
        <w:tc>
          <w:tcPr>
            <w:tcW w:w="850" w:type="dxa"/>
            <w:vAlign w:val="center"/>
          </w:tcPr>
          <w:p w:rsidR="00B649D8" w:rsidRDefault="00491119">
            <w:pPr>
              <w:jc w:val="center"/>
            </w:pPr>
            <w:r>
              <w:rPr>
                <w:color w:val="000000"/>
                <w:sz w:val="24"/>
              </w:rPr>
              <w:t>5</w:t>
            </w:r>
          </w:p>
        </w:tc>
        <w:tc>
          <w:tcPr>
            <w:tcW w:w="1327" w:type="dxa"/>
            <w:vAlign w:val="center"/>
          </w:tcPr>
          <w:p w:rsidR="00B649D8" w:rsidRDefault="00491119">
            <w:pPr>
              <w:jc w:val="center"/>
            </w:pPr>
            <w:r>
              <w:rPr>
                <w:color w:val="000000"/>
                <w:sz w:val="24"/>
              </w:rPr>
              <w:t>600900</w:t>
            </w:r>
          </w:p>
        </w:tc>
        <w:tc>
          <w:tcPr>
            <w:tcW w:w="1769" w:type="dxa"/>
            <w:vAlign w:val="center"/>
          </w:tcPr>
          <w:p w:rsidR="00B649D8" w:rsidRDefault="00491119">
            <w:pPr>
              <w:jc w:val="center"/>
            </w:pPr>
            <w:r>
              <w:rPr>
                <w:color w:val="000000"/>
                <w:sz w:val="24"/>
              </w:rPr>
              <w:t>长江电力</w:t>
            </w:r>
          </w:p>
        </w:tc>
        <w:tc>
          <w:tcPr>
            <w:tcW w:w="1327" w:type="dxa"/>
            <w:vAlign w:val="center"/>
          </w:tcPr>
          <w:p w:rsidR="00B649D8" w:rsidRDefault="00491119">
            <w:pPr>
              <w:jc w:val="right"/>
            </w:pPr>
            <w:r>
              <w:rPr>
                <w:color w:val="000000"/>
                <w:sz w:val="24"/>
              </w:rPr>
              <w:t>495,640</w:t>
            </w:r>
          </w:p>
        </w:tc>
        <w:tc>
          <w:tcPr>
            <w:tcW w:w="1915" w:type="dxa"/>
            <w:vAlign w:val="center"/>
          </w:tcPr>
          <w:p w:rsidR="00B649D8" w:rsidRDefault="00491119">
            <w:pPr>
              <w:jc w:val="right"/>
            </w:pPr>
            <w:r>
              <w:rPr>
                <w:color w:val="000000"/>
                <w:sz w:val="24"/>
              </w:rPr>
              <w:t>8,569,615.60</w:t>
            </w:r>
          </w:p>
        </w:tc>
        <w:tc>
          <w:tcPr>
            <w:tcW w:w="1680" w:type="dxa"/>
            <w:vAlign w:val="center"/>
          </w:tcPr>
          <w:p w:rsidR="00B649D8" w:rsidRDefault="00491119">
            <w:pPr>
              <w:jc w:val="right"/>
            </w:pPr>
            <w:r>
              <w:rPr>
                <w:color w:val="000000"/>
                <w:sz w:val="24"/>
              </w:rPr>
              <w:t>3.04</w:t>
            </w:r>
          </w:p>
        </w:tc>
      </w:tr>
      <w:tr w:rsidR="00B649D8">
        <w:trPr>
          <w:jc w:val="center"/>
        </w:trPr>
        <w:tc>
          <w:tcPr>
            <w:tcW w:w="850" w:type="dxa"/>
            <w:vAlign w:val="center"/>
          </w:tcPr>
          <w:p w:rsidR="00B649D8" w:rsidRDefault="00491119">
            <w:pPr>
              <w:jc w:val="center"/>
            </w:pPr>
            <w:r>
              <w:rPr>
                <w:color w:val="000000"/>
                <w:sz w:val="24"/>
              </w:rPr>
              <w:t>6</w:t>
            </w:r>
          </w:p>
        </w:tc>
        <w:tc>
          <w:tcPr>
            <w:tcW w:w="1327" w:type="dxa"/>
            <w:vAlign w:val="center"/>
          </w:tcPr>
          <w:p w:rsidR="00B649D8" w:rsidRDefault="00491119">
            <w:pPr>
              <w:jc w:val="center"/>
            </w:pPr>
            <w:r>
              <w:rPr>
                <w:color w:val="000000"/>
                <w:sz w:val="24"/>
              </w:rPr>
              <w:t>600000</w:t>
            </w:r>
          </w:p>
        </w:tc>
        <w:tc>
          <w:tcPr>
            <w:tcW w:w="1769" w:type="dxa"/>
            <w:vAlign w:val="center"/>
          </w:tcPr>
          <w:p w:rsidR="00B649D8" w:rsidRDefault="00491119">
            <w:pPr>
              <w:jc w:val="center"/>
            </w:pPr>
            <w:r>
              <w:rPr>
                <w:color w:val="000000"/>
                <w:sz w:val="24"/>
              </w:rPr>
              <w:t>浦发银行</w:t>
            </w:r>
          </w:p>
        </w:tc>
        <w:tc>
          <w:tcPr>
            <w:tcW w:w="1327" w:type="dxa"/>
            <w:vAlign w:val="center"/>
          </w:tcPr>
          <w:p w:rsidR="00B649D8" w:rsidRDefault="00491119">
            <w:pPr>
              <w:jc w:val="right"/>
            </w:pPr>
            <w:r>
              <w:rPr>
                <w:color w:val="000000"/>
                <w:sz w:val="24"/>
              </w:rPr>
              <w:t>671,045</w:t>
            </w:r>
          </w:p>
        </w:tc>
        <w:tc>
          <w:tcPr>
            <w:tcW w:w="1915" w:type="dxa"/>
            <w:vAlign w:val="center"/>
          </w:tcPr>
          <w:p w:rsidR="00B649D8" w:rsidRDefault="00491119">
            <w:pPr>
              <w:jc w:val="right"/>
            </w:pPr>
            <w:r>
              <w:rPr>
                <w:color w:val="000000"/>
                <w:sz w:val="24"/>
              </w:rPr>
              <w:t>6,811,106.75</w:t>
            </w:r>
          </w:p>
        </w:tc>
        <w:tc>
          <w:tcPr>
            <w:tcW w:w="1680" w:type="dxa"/>
            <w:vAlign w:val="center"/>
          </w:tcPr>
          <w:p w:rsidR="00B649D8" w:rsidRDefault="00491119">
            <w:pPr>
              <w:jc w:val="right"/>
            </w:pPr>
            <w:r>
              <w:rPr>
                <w:color w:val="000000"/>
                <w:sz w:val="24"/>
              </w:rPr>
              <w:t>2.42</w:t>
            </w:r>
          </w:p>
        </w:tc>
      </w:tr>
      <w:tr w:rsidR="00B649D8">
        <w:trPr>
          <w:jc w:val="center"/>
        </w:trPr>
        <w:tc>
          <w:tcPr>
            <w:tcW w:w="850" w:type="dxa"/>
            <w:vAlign w:val="center"/>
          </w:tcPr>
          <w:p w:rsidR="00B649D8" w:rsidRDefault="00491119">
            <w:pPr>
              <w:jc w:val="center"/>
            </w:pPr>
            <w:r>
              <w:rPr>
                <w:color w:val="000000"/>
                <w:sz w:val="24"/>
              </w:rPr>
              <w:t>7</w:t>
            </w:r>
          </w:p>
        </w:tc>
        <w:tc>
          <w:tcPr>
            <w:tcW w:w="1327" w:type="dxa"/>
            <w:vAlign w:val="center"/>
          </w:tcPr>
          <w:p w:rsidR="00B649D8" w:rsidRDefault="00491119">
            <w:pPr>
              <w:jc w:val="center"/>
            </w:pPr>
            <w:r>
              <w:rPr>
                <w:color w:val="000000"/>
                <w:sz w:val="24"/>
              </w:rPr>
              <w:t>601398</w:t>
            </w:r>
          </w:p>
        </w:tc>
        <w:tc>
          <w:tcPr>
            <w:tcW w:w="1769" w:type="dxa"/>
            <w:vAlign w:val="center"/>
          </w:tcPr>
          <w:p w:rsidR="00B649D8" w:rsidRDefault="00491119">
            <w:pPr>
              <w:jc w:val="center"/>
            </w:pPr>
            <w:r>
              <w:rPr>
                <w:color w:val="000000"/>
                <w:sz w:val="24"/>
              </w:rPr>
              <w:t>工商银行</w:t>
            </w:r>
          </w:p>
        </w:tc>
        <w:tc>
          <w:tcPr>
            <w:tcW w:w="1327" w:type="dxa"/>
            <w:vAlign w:val="center"/>
          </w:tcPr>
          <w:p w:rsidR="00B649D8" w:rsidRDefault="00491119">
            <w:pPr>
              <w:jc w:val="right"/>
            </w:pPr>
            <w:r>
              <w:rPr>
                <w:color w:val="000000"/>
                <w:sz w:val="24"/>
              </w:rPr>
              <w:t>1,234,151</w:t>
            </w:r>
          </w:p>
        </w:tc>
        <w:tc>
          <w:tcPr>
            <w:tcW w:w="1915" w:type="dxa"/>
            <w:vAlign w:val="center"/>
          </w:tcPr>
          <w:p w:rsidR="00B649D8" w:rsidRDefault="00491119">
            <w:pPr>
              <w:jc w:val="right"/>
            </w:pPr>
            <w:r>
              <w:rPr>
                <w:color w:val="000000"/>
                <w:sz w:val="24"/>
              </w:rPr>
              <w:t>6,355,877.65</w:t>
            </w:r>
          </w:p>
        </w:tc>
        <w:tc>
          <w:tcPr>
            <w:tcW w:w="1680" w:type="dxa"/>
            <w:vAlign w:val="center"/>
          </w:tcPr>
          <w:p w:rsidR="00B649D8" w:rsidRDefault="00491119">
            <w:pPr>
              <w:jc w:val="right"/>
            </w:pPr>
            <w:r>
              <w:rPr>
                <w:color w:val="000000"/>
                <w:sz w:val="24"/>
              </w:rPr>
              <w:t>2.26</w:t>
            </w:r>
          </w:p>
        </w:tc>
      </w:tr>
      <w:tr w:rsidR="00B649D8">
        <w:trPr>
          <w:jc w:val="center"/>
        </w:trPr>
        <w:tc>
          <w:tcPr>
            <w:tcW w:w="850" w:type="dxa"/>
            <w:vAlign w:val="center"/>
          </w:tcPr>
          <w:p w:rsidR="00B649D8" w:rsidRDefault="00491119">
            <w:pPr>
              <w:jc w:val="center"/>
            </w:pPr>
            <w:r>
              <w:rPr>
                <w:color w:val="000000"/>
                <w:sz w:val="24"/>
              </w:rPr>
              <w:t>8</w:t>
            </w:r>
          </w:p>
        </w:tc>
        <w:tc>
          <w:tcPr>
            <w:tcW w:w="1327" w:type="dxa"/>
            <w:vAlign w:val="center"/>
          </w:tcPr>
          <w:p w:rsidR="00B649D8" w:rsidRDefault="00491119">
            <w:pPr>
              <w:jc w:val="center"/>
            </w:pPr>
            <w:r>
              <w:rPr>
                <w:color w:val="000000"/>
                <w:sz w:val="24"/>
              </w:rPr>
              <w:t>601668</w:t>
            </w:r>
          </w:p>
        </w:tc>
        <w:tc>
          <w:tcPr>
            <w:tcW w:w="1769" w:type="dxa"/>
            <w:vAlign w:val="center"/>
          </w:tcPr>
          <w:p w:rsidR="00B649D8" w:rsidRDefault="00491119">
            <w:pPr>
              <w:jc w:val="center"/>
            </w:pPr>
            <w:r>
              <w:rPr>
                <w:color w:val="000000"/>
                <w:sz w:val="24"/>
              </w:rPr>
              <w:t>中国建筑</w:t>
            </w:r>
          </w:p>
        </w:tc>
        <w:tc>
          <w:tcPr>
            <w:tcW w:w="1327" w:type="dxa"/>
            <w:vAlign w:val="center"/>
          </w:tcPr>
          <w:p w:rsidR="00B649D8" w:rsidRDefault="00491119">
            <w:pPr>
              <w:jc w:val="right"/>
            </w:pPr>
            <w:r>
              <w:rPr>
                <w:color w:val="000000"/>
                <w:sz w:val="24"/>
              </w:rPr>
              <w:t>1,201,225</w:t>
            </w:r>
          </w:p>
        </w:tc>
        <w:tc>
          <w:tcPr>
            <w:tcW w:w="1915" w:type="dxa"/>
            <w:vAlign w:val="center"/>
          </w:tcPr>
          <w:p w:rsidR="00B649D8" w:rsidRDefault="00491119">
            <w:pPr>
              <w:jc w:val="right"/>
            </w:pPr>
            <w:r>
              <w:rPr>
                <w:color w:val="000000"/>
                <w:sz w:val="24"/>
              </w:rPr>
              <w:t>6,330,455.75</w:t>
            </w:r>
          </w:p>
        </w:tc>
        <w:tc>
          <w:tcPr>
            <w:tcW w:w="1680" w:type="dxa"/>
            <w:vAlign w:val="center"/>
          </w:tcPr>
          <w:p w:rsidR="00B649D8" w:rsidRDefault="00491119">
            <w:pPr>
              <w:jc w:val="right"/>
            </w:pPr>
            <w:r>
              <w:rPr>
                <w:color w:val="000000"/>
                <w:sz w:val="24"/>
              </w:rPr>
              <w:t>2.25</w:t>
            </w:r>
          </w:p>
        </w:tc>
      </w:tr>
      <w:tr w:rsidR="00B649D8">
        <w:trPr>
          <w:jc w:val="center"/>
        </w:trPr>
        <w:tc>
          <w:tcPr>
            <w:tcW w:w="850" w:type="dxa"/>
            <w:vAlign w:val="center"/>
          </w:tcPr>
          <w:p w:rsidR="00B649D8" w:rsidRDefault="00491119">
            <w:pPr>
              <w:jc w:val="center"/>
            </w:pPr>
            <w:r>
              <w:rPr>
                <w:color w:val="000000"/>
                <w:sz w:val="24"/>
              </w:rPr>
              <w:t>9</w:t>
            </w:r>
          </w:p>
        </w:tc>
        <w:tc>
          <w:tcPr>
            <w:tcW w:w="1327" w:type="dxa"/>
            <w:vAlign w:val="center"/>
          </w:tcPr>
          <w:p w:rsidR="00B649D8" w:rsidRDefault="00491119">
            <w:pPr>
              <w:jc w:val="center"/>
            </w:pPr>
            <w:r>
              <w:rPr>
                <w:color w:val="000000"/>
                <w:sz w:val="24"/>
              </w:rPr>
              <w:t>600048</w:t>
            </w:r>
          </w:p>
        </w:tc>
        <w:tc>
          <w:tcPr>
            <w:tcW w:w="1769" w:type="dxa"/>
            <w:vAlign w:val="center"/>
          </w:tcPr>
          <w:p w:rsidR="00B649D8" w:rsidRDefault="00491119">
            <w:pPr>
              <w:jc w:val="center"/>
            </w:pPr>
            <w:r>
              <w:rPr>
                <w:color w:val="000000"/>
                <w:sz w:val="24"/>
              </w:rPr>
              <w:t>保利地产</w:t>
            </w:r>
          </w:p>
        </w:tc>
        <w:tc>
          <w:tcPr>
            <w:tcW w:w="1327" w:type="dxa"/>
            <w:vAlign w:val="center"/>
          </w:tcPr>
          <w:p w:rsidR="00B649D8" w:rsidRDefault="00491119">
            <w:pPr>
              <w:jc w:val="right"/>
            </w:pPr>
            <w:r>
              <w:rPr>
                <w:color w:val="000000"/>
                <w:sz w:val="24"/>
              </w:rPr>
              <w:t>408,359</w:t>
            </w:r>
          </w:p>
        </w:tc>
        <w:tc>
          <w:tcPr>
            <w:tcW w:w="1915" w:type="dxa"/>
            <w:vAlign w:val="center"/>
          </w:tcPr>
          <w:p w:rsidR="00B649D8" w:rsidRDefault="00491119">
            <w:pPr>
              <w:jc w:val="right"/>
            </w:pPr>
            <w:r>
              <w:rPr>
                <w:color w:val="000000"/>
                <w:sz w:val="24"/>
              </w:rPr>
              <w:t>6,072,298.33</w:t>
            </w:r>
          </w:p>
        </w:tc>
        <w:tc>
          <w:tcPr>
            <w:tcW w:w="1680" w:type="dxa"/>
            <w:vAlign w:val="center"/>
          </w:tcPr>
          <w:p w:rsidR="00B649D8" w:rsidRDefault="00491119">
            <w:pPr>
              <w:jc w:val="right"/>
            </w:pPr>
            <w:r>
              <w:rPr>
                <w:color w:val="000000"/>
                <w:sz w:val="24"/>
              </w:rPr>
              <w:t>2.16</w:t>
            </w:r>
          </w:p>
        </w:tc>
      </w:tr>
      <w:tr w:rsidR="00B649D8">
        <w:trPr>
          <w:jc w:val="center"/>
        </w:trPr>
        <w:tc>
          <w:tcPr>
            <w:tcW w:w="850" w:type="dxa"/>
            <w:vAlign w:val="center"/>
          </w:tcPr>
          <w:p w:rsidR="00B649D8" w:rsidRDefault="00491119">
            <w:pPr>
              <w:jc w:val="center"/>
            </w:pPr>
            <w:r>
              <w:rPr>
                <w:color w:val="000000"/>
                <w:sz w:val="24"/>
              </w:rPr>
              <w:t>10</w:t>
            </w:r>
          </w:p>
        </w:tc>
        <w:tc>
          <w:tcPr>
            <w:tcW w:w="1327" w:type="dxa"/>
            <w:vAlign w:val="center"/>
          </w:tcPr>
          <w:p w:rsidR="00B649D8" w:rsidRDefault="00491119">
            <w:pPr>
              <w:jc w:val="center"/>
            </w:pPr>
            <w:r>
              <w:rPr>
                <w:color w:val="000000"/>
                <w:sz w:val="24"/>
              </w:rPr>
              <w:t>600031</w:t>
            </w:r>
          </w:p>
        </w:tc>
        <w:tc>
          <w:tcPr>
            <w:tcW w:w="1769" w:type="dxa"/>
            <w:vAlign w:val="center"/>
          </w:tcPr>
          <w:p w:rsidR="00B649D8" w:rsidRDefault="00491119">
            <w:pPr>
              <w:jc w:val="center"/>
            </w:pPr>
            <w:r>
              <w:rPr>
                <w:color w:val="000000"/>
                <w:sz w:val="24"/>
              </w:rPr>
              <w:t>三一重工</w:t>
            </w:r>
          </w:p>
        </w:tc>
        <w:tc>
          <w:tcPr>
            <w:tcW w:w="1327" w:type="dxa"/>
            <w:vAlign w:val="center"/>
          </w:tcPr>
          <w:p w:rsidR="00B649D8" w:rsidRDefault="00491119">
            <w:pPr>
              <w:jc w:val="right"/>
            </w:pPr>
            <w:r>
              <w:rPr>
                <w:color w:val="000000"/>
                <w:sz w:val="24"/>
              </w:rPr>
              <w:t>337,238</w:t>
            </w:r>
          </w:p>
        </w:tc>
        <w:tc>
          <w:tcPr>
            <w:tcW w:w="1915" w:type="dxa"/>
            <w:vAlign w:val="center"/>
          </w:tcPr>
          <w:p w:rsidR="00B649D8" w:rsidRDefault="00491119">
            <w:pPr>
              <w:jc w:val="right"/>
            </w:pPr>
            <w:r>
              <w:rPr>
                <w:color w:val="000000"/>
                <w:sz w:val="24"/>
              </w:rPr>
              <w:t>5,834,217.40</w:t>
            </w:r>
          </w:p>
        </w:tc>
        <w:tc>
          <w:tcPr>
            <w:tcW w:w="1680" w:type="dxa"/>
            <w:vAlign w:val="center"/>
          </w:tcPr>
          <w:p w:rsidR="00B649D8" w:rsidRDefault="00491119">
            <w:pPr>
              <w:jc w:val="right"/>
            </w:pPr>
            <w:r>
              <w:rPr>
                <w:color w:val="000000"/>
                <w:sz w:val="24"/>
              </w:rPr>
              <w:t>2.07</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B649D8">
        <w:trPr>
          <w:jc w:val="center"/>
        </w:trPr>
        <w:tc>
          <w:tcPr>
            <w:tcW w:w="850" w:type="dxa"/>
            <w:vAlign w:val="center"/>
          </w:tcPr>
          <w:p w:rsidR="00B649D8" w:rsidRDefault="00491119">
            <w:pPr>
              <w:jc w:val="center"/>
            </w:pPr>
            <w:r>
              <w:rPr>
                <w:color w:val="000000"/>
                <w:sz w:val="24"/>
              </w:rPr>
              <w:t>1</w:t>
            </w:r>
          </w:p>
        </w:tc>
        <w:tc>
          <w:tcPr>
            <w:tcW w:w="1327" w:type="dxa"/>
            <w:vAlign w:val="center"/>
          </w:tcPr>
          <w:p w:rsidR="00B649D8" w:rsidRDefault="00491119">
            <w:pPr>
              <w:jc w:val="center"/>
            </w:pPr>
            <w:r>
              <w:rPr>
                <w:color w:val="000000"/>
                <w:sz w:val="24"/>
              </w:rPr>
              <w:t>688036</w:t>
            </w:r>
          </w:p>
        </w:tc>
        <w:tc>
          <w:tcPr>
            <w:tcW w:w="1769" w:type="dxa"/>
            <w:vAlign w:val="center"/>
          </w:tcPr>
          <w:p w:rsidR="00B649D8" w:rsidRDefault="00491119">
            <w:pPr>
              <w:jc w:val="center"/>
            </w:pPr>
            <w:r>
              <w:rPr>
                <w:color w:val="000000"/>
                <w:sz w:val="24"/>
              </w:rPr>
              <w:t>传音控股</w:t>
            </w:r>
          </w:p>
        </w:tc>
        <w:tc>
          <w:tcPr>
            <w:tcW w:w="1327" w:type="dxa"/>
            <w:vAlign w:val="center"/>
          </w:tcPr>
          <w:p w:rsidR="00B649D8" w:rsidRDefault="00491119">
            <w:pPr>
              <w:jc w:val="right"/>
            </w:pPr>
            <w:r>
              <w:rPr>
                <w:color w:val="000000"/>
                <w:sz w:val="24"/>
              </w:rPr>
              <w:t>23,066</w:t>
            </w:r>
          </w:p>
        </w:tc>
        <w:tc>
          <w:tcPr>
            <w:tcW w:w="1915" w:type="dxa"/>
            <w:vAlign w:val="center"/>
          </w:tcPr>
          <w:p w:rsidR="00B649D8" w:rsidRDefault="00491119">
            <w:pPr>
              <w:jc w:val="right"/>
            </w:pPr>
            <w:r>
              <w:rPr>
                <w:color w:val="000000"/>
                <w:sz w:val="24"/>
              </w:rPr>
              <w:t>987,455.46</w:t>
            </w:r>
          </w:p>
        </w:tc>
        <w:tc>
          <w:tcPr>
            <w:tcW w:w="1680" w:type="dxa"/>
            <w:vAlign w:val="center"/>
          </w:tcPr>
          <w:p w:rsidR="00B649D8" w:rsidRDefault="00491119">
            <w:pPr>
              <w:jc w:val="right"/>
            </w:pPr>
            <w:r>
              <w:rPr>
                <w:color w:val="000000"/>
                <w:sz w:val="24"/>
              </w:rPr>
              <w:t>0.35</w:t>
            </w:r>
          </w:p>
        </w:tc>
      </w:tr>
      <w:tr w:rsidR="00B649D8">
        <w:trPr>
          <w:jc w:val="center"/>
        </w:trPr>
        <w:tc>
          <w:tcPr>
            <w:tcW w:w="850" w:type="dxa"/>
            <w:vAlign w:val="center"/>
          </w:tcPr>
          <w:p w:rsidR="00B649D8" w:rsidRDefault="00491119">
            <w:pPr>
              <w:jc w:val="center"/>
            </w:pPr>
            <w:r>
              <w:rPr>
                <w:color w:val="000000"/>
                <w:sz w:val="24"/>
              </w:rPr>
              <w:t>2</w:t>
            </w:r>
          </w:p>
        </w:tc>
        <w:tc>
          <w:tcPr>
            <w:tcW w:w="1327" w:type="dxa"/>
            <w:vAlign w:val="center"/>
          </w:tcPr>
          <w:p w:rsidR="00B649D8" w:rsidRDefault="00491119">
            <w:pPr>
              <w:jc w:val="center"/>
            </w:pPr>
            <w:r>
              <w:rPr>
                <w:color w:val="000000"/>
                <w:sz w:val="24"/>
              </w:rPr>
              <w:t>688189</w:t>
            </w:r>
          </w:p>
        </w:tc>
        <w:tc>
          <w:tcPr>
            <w:tcW w:w="1769" w:type="dxa"/>
            <w:vAlign w:val="center"/>
          </w:tcPr>
          <w:p w:rsidR="00B649D8" w:rsidRDefault="00491119">
            <w:pPr>
              <w:jc w:val="center"/>
            </w:pPr>
            <w:r>
              <w:rPr>
                <w:color w:val="000000"/>
                <w:sz w:val="24"/>
              </w:rPr>
              <w:t>南新制药</w:t>
            </w:r>
          </w:p>
        </w:tc>
        <w:tc>
          <w:tcPr>
            <w:tcW w:w="1327" w:type="dxa"/>
            <w:vAlign w:val="center"/>
          </w:tcPr>
          <w:p w:rsidR="00B649D8" w:rsidRDefault="00491119">
            <w:pPr>
              <w:jc w:val="right"/>
            </w:pPr>
            <w:r>
              <w:rPr>
                <w:color w:val="000000"/>
                <w:sz w:val="24"/>
              </w:rPr>
              <w:t>5,031</w:t>
            </w:r>
          </w:p>
        </w:tc>
        <w:tc>
          <w:tcPr>
            <w:tcW w:w="1915" w:type="dxa"/>
            <w:vAlign w:val="center"/>
          </w:tcPr>
          <w:p w:rsidR="00B649D8" w:rsidRDefault="00491119">
            <w:pPr>
              <w:jc w:val="right"/>
            </w:pPr>
            <w:r>
              <w:rPr>
                <w:color w:val="000000"/>
                <w:sz w:val="24"/>
              </w:rPr>
              <w:t>198,875.43</w:t>
            </w:r>
          </w:p>
        </w:tc>
        <w:tc>
          <w:tcPr>
            <w:tcW w:w="1680" w:type="dxa"/>
            <w:vAlign w:val="center"/>
          </w:tcPr>
          <w:p w:rsidR="00B649D8" w:rsidRDefault="00491119">
            <w:pPr>
              <w:jc w:val="right"/>
            </w:pPr>
            <w:r>
              <w:rPr>
                <w:color w:val="000000"/>
                <w:sz w:val="24"/>
              </w:rPr>
              <w:t>0.07</w:t>
            </w:r>
          </w:p>
        </w:tc>
      </w:tr>
      <w:tr w:rsidR="00B649D8">
        <w:trPr>
          <w:jc w:val="center"/>
        </w:trPr>
        <w:tc>
          <w:tcPr>
            <w:tcW w:w="850" w:type="dxa"/>
            <w:vAlign w:val="center"/>
          </w:tcPr>
          <w:p w:rsidR="00B649D8" w:rsidRDefault="00491119">
            <w:pPr>
              <w:jc w:val="center"/>
            </w:pPr>
            <w:r>
              <w:rPr>
                <w:color w:val="000000"/>
                <w:sz w:val="24"/>
              </w:rPr>
              <w:t>3</w:t>
            </w:r>
          </w:p>
        </w:tc>
        <w:tc>
          <w:tcPr>
            <w:tcW w:w="1327" w:type="dxa"/>
            <w:vAlign w:val="center"/>
          </w:tcPr>
          <w:p w:rsidR="00B649D8" w:rsidRDefault="00491119">
            <w:pPr>
              <w:jc w:val="center"/>
            </w:pPr>
            <w:r>
              <w:rPr>
                <w:color w:val="000000"/>
                <w:sz w:val="24"/>
              </w:rPr>
              <w:t>688098</w:t>
            </w:r>
          </w:p>
        </w:tc>
        <w:tc>
          <w:tcPr>
            <w:tcW w:w="1769" w:type="dxa"/>
            <w:vAlign w:val="center"/>
          </w:tcPr>
          <w:p w:rsidR="00B649D8" w:rsidRDefault="00491119">
            <w:pPr>
              <w:jc w:val="center"/>
            </w:pPr>
            <w:r>
              <w:rPr>
                <w:color w:val="000000"/>
                <w:sz w:val="24"/>
              </w:rPr>
              <w:t>申联生物</w:t>
            </w:r>
          </w:p>
        </w:tc>
        <w:tc>
          <w:tcPr>
            <w:tcW w:w="1327" w:type="dxa"/>
            <w:vAlign w:val="center"/>
          </w:tcPr>
          <w:p w:rsidR="00B649D8" w:rsidRDefault="00491119">
            <w:pPr>
              <w:jc w:val="right"/>
            </w:pPr>
            <w:r>
              <w:rPr>
                <w:color w:val="000000"/>
                <w:sz w:val="24"/>
              </w:rPr>
              <w:t>9,792</w:t>
            </w:r>
          </w:p>
        </w:tc>
        <w:tc>
          <w:tcPr>
            <w:tcW w:w="1915" w:type="dxa"/>
            <w:vAlign w:val="center"/>
          </w:tcPr>
          <w:p w:rsidR="00B649D8" w:rsidRDefault="00491119">
            <w:pPr>
              <w:jc w:val="right"/>
            </w:pPr>
            <w:r>
              <w:rPr>
                <w:color w:val="000000"/>
                <w:sz w:val="24"/>
              </w:rPr>
              <w:t>152,363.52</w:t>
            </w:r>
          </w:p>
        </w:tc>
        <w:tc>
          <w:tcPr>
            <w:tcW w:w="1680" w:type="dxa"/>
            <w:vAlign w:val="center"/>
          </w:tcPr>
          <w:p w:rsidR="00B649D8" w:rsidRDefault="00491119">
            <w:pPr>
              <w:jc w:val="right"/>
            </w:pPr>
            <w:r>
              <w:rPr>
                <w:color w:val="000000"/>
                <w:sz w:val="24"/>
              </w:rPr>
              <w:t>0.05</w:t>
            </w:r>
          </w:p>
        </w:tc>
      </w:tr>
      <w:tr w:rsidR="00B649D8">
        <w:trPr>
          <w:jc w:val="center"/>
        </w:trPr>
        <w:tc>
          <w:tcPr>
            <w:tcW w:w="850" w:type="dxa"/>
            <w:vAlign w:val="center"/>
          </w:tcPr>
          <w:p w:rsidR="00B649D8" w:rsidRDefault="00491119">
            <w:pPr>
              <w:jc w:val="center"/>
            </w:pPr>
            <w:r>
              <w:rPr>
                <w:color w:val="000000"/>
                <w:sz w:val="24"/>
              </w:rPr>
              <w:t>4</w:t>
            </w:r>
          </w:p>
        </w:tc>
        <w:tc>
          <w:tcPr>
            <w:tcW w:w="1327" w:type="dxa"/>
            <w:vAlign w:val="center"/>
          </w:tcPr>
          <w:p w:rsidR="00B649D8" w:rsidRDefault="00491119">
            <w:pPr>
              <w:jc w:val="center"/>
            </w:pPr>
            <w:r>
              <w:rPr>
                <w:color w:val="000000"/>
                <w:sz w:val="24"/>
              </w:rPr>
              <w:t>688085</w:t>
            </w:r>
          </w:p>
        </w:tc>
        <w:tc>
          <w:tcPr>
            <w:tcW w:w="1769" w:type="dxa"/>
            <w:vAlign w:val="center"/>
          </w:tcPr>
          <w:p w:rsidR="00B649D8" w:rsidRDefault="00491119">
            <w:pPr>
              <w:jc w:val="center"/>
            </w:pPr>
            <w:r>
              <w:rPr>
                <w:color w:val="000000"/>
                <w:sz w:val="24"/>
              </w:rPr>
              <w:t>三友医疗</w:t>
            </w:r>
          </w:p>
        </w:tc>
        <w:tc>
          <w:tcPr>
            <w:tcW w:w="1327" w:type="dxa"/>
            <w:vAlign w:val="center"/>
          </w:tcPr>
          <w:p w:rsidR="00B649D8" w:rsidRDefault="00491119">
            <w:pPr>
              <w:jc w:val="right"/>
            </w:pPr>
            <w:r>
              <w:rPr>
                <w:color w:val="000000"/>
                <w:sz w:val="24"/>
              </w:rPr>
              <w:t>7,222</w:t>
            </w:r>
          </w:p>
        </w:tc>
        <w:tc>
          <w:tcPr>
            <w:tcW w:w="1915" w:type="dxa"/>
            <w:vAlign w:val="center"/>
          </w:tcPr>
          <w:p w:rsidR="00B649D8" w:rsidRDefault="00491119">
            <w:pPr>
              <w:jc w:val="right"/>
            </w:pPr>
            <w:r>
              <w:rPr>
                <w:color w:val="000000"/>
                <w:sz w:val="24"/>
              </w:rPr>
              <w:t>151,373.12</w:t>
            </w:r>
          </w:p>
        </w:tc>
        <w:tc>
          <w:tcPr>
            <w:tcW w:w="1680" w:type="dxa"/>
            <w:vAlign w:val="center"/>
          </w:tcPr>
          <w:p w:rsidR="00B649D8" w:rsidRDefault="00491119">
            <w:pPr>
              <w:jc w:val="right"/>
            </w:pPr>
            <w:r>
              <w:rPr>
                <w:color w:val="000000"/>
                <w:sz w:val="24"/>
              </w:rPr>
              <w:t>0.05</w:t>
            </w:r>
          </w:p>
        </w:tc>
      </w:tr>
      <w:tr w:rsidR="00B649D8">
        <w:trPr>
          <w:jc w:val="center"/>
        </w:trPr>
        <w:tc>
          <w:tcPr>
            <w:tcW w:w="850" w:type="dxa"/>
            <w:vAlign w:val="center"/>
          </w:tcPr>
          <w:p w:rsidR="00B649D8" w:rsidRDefault="00491119">
            <w:pPr>
              <w:jc w:val="center"/>
            </w:pPr>
            <w:r>
              <w:rPr>
                <w:color w:val="000000"/>
                <w:sz w:val="24"/>
              </w:rPr>
              <w:t>5</w:t>
            </w:r>
          </w:p>
        </w:tc>
        <w:tc>
          <w:tcPr>
            <w:tcW w:w="1327" w:type="dxa"/>
            <w:vAlign w:val="center"/>
          </w:tcPr>
          <w:p w:rsidR="00B649D8" w:rsidRDefault="00491119">
            <w:pPr>
              <w:jc w:val="center"/>
            </w:pPr>
            <w:r>
              <w:rPr>
                <w:color w:val="000000"/>
                <w:sz w:val="24"/>
              </w:rPr>
              <w:t>688300</w:t>
            </w:r>
          </w:p>
        </w:tc>
        <w:tc>
          <w:tcPr>
            <w:tcW w:w="1769" w:type="dxa"/>
            <w:vAlign w:val="center"/>
          </w:tcPr>
          <w:p w:rsidR="00B649D8" w:rsidRDefault="00491119">
            <w:pPr>
              <w:jc w:val="center"/>
            </w:pPr>
            <w:r>
              <w:rPr>
                <w:color w:val="000000"/>
                <w:sz w:val="24"/>
              </w:rPr>
              <w:t>联瑞新材</w:t>
            </w:r>
          </w:p>
        </w:tc>
        <w:tc>
          <w:tcPr>
            <w:tcW w:w="1327" w:type="dxa"/>
            <w:vAlign w:val="center"/>
          </w:tcPr>
          <w:p w:rsidR="00B649D8" w:rsidRDefault="00491119">
            <w:pPr>
              <w:jc w:val="right"/>
            </w:pPr>
            <w:r>
              <w:rPr>
                <w:color w:val="000000"/>
                <w:sz w:val="24"/>
              </w:rPr>
              <w:t>3,164</w:t>
            </w:r>
          </w:p>
        </w:tc>
        <w:tc>
          <w:tcPr>
            <w:tcW w:w="1915" w:type="dxa"/>
            <w:vAlign w:val="center"/>
          </w:tcPr>
          <w:p w:rsidR="00B649D8" w:rsidRDefault="00491119">
            <w:pPr>
              <w:jc w:val="right"/>
            </w:pPr>
            <w:r>
              <w:rPr>
                <w:color w:val="000000"/>
                <w:sz w:val="24"/>
              </w:rPr>
              <w:t>134,121.96</w:t>
            </w:r>
          </w:p>
        </w:tc>
        <w:tc>
          <w:tcPr>
            <w:tcW w:w="1680" w:type="dxa"/>
            <w:vAlign w:val="center"/>
          </w:tcPr>
          <w:p w:rsidR="00B649D8" w:rsidRDefault="00491119">
            <w:pPr>
              <w:jc w:val="right"/>
            </w:pPr>
            <w:r>
              <w:rPr>
                <w:color w:val="000000"/>
                <w:sz w:val="24"/>
              </w:rPr>
              <w:t>0.05</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5,308.63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1,215.24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6,523.87</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D55E99">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B649D8">
        <w:trPr>
          <w:jc w:val="center"/>
        </w:trPr>
        <w:tc>
          <w:tcPr>
            <w:tcW w:w="1129" w:type="dxa"/>
            <w:vAlign w:val="center"/>
          </w:tcPr>
          <w:p w:rsidR="00B649D8" w:rsidRDefault="00491119">
            <w:pPr>
              <w:jc w:val="center"/>
            </w:pPr>
            <w:r>
              <w:rPr>
                <w:color w:val="000000"/>
                <w:sz w:val="24"/>
              </w:rPr>
              <w:t>1</w:t>
            </w:r>
          </w:p>
        </w:tc>
        <w:tc>
          <w:tcPr>
            <w:tcW w:w="1356" w:type="dxa"/>
            <w:vAlign w:val="center"/>
          </w:tcPr>
          <w:p w:rsidR="00B649D8" w:rsidRDefault="00491119">
            <w:pPr>
              <w:jc w:val="center"/>
            </w:pPr>
            <w:r>
              <w:rPr>
                <w:color w:val="000000"/>
                <w:sz w:val="24"/>
              </w:rPr>
              <w:t>688189</w:t>
            </w:r>
          </w:p>
        </w:tc>
        <w:tc>
          <w:tcPr>
            <w:tcW w:w="1355" w:type="dxa"/>
            <w:vAlign w:val="center"/>
          </w:tcPr>
          <w:p w:rsidR="00B649D8" w:rsidRDefault="00491119">
            <w:pPr>
              <w:jc w:val="center"/>
            </w:pPr>
            <w:r>
              <w:rPr>
                <w:color w:val="000000"/>
                <w:sz w:val="24"/>
              </w:rPr>
              <w:t>南新制药</w:t>
            </w:r>
          </w:p>
        </w:tc>
        <w:tc>
          <w:tcPr>
            <w:tcW w:w="1880" w:type="dxa"/>
            <w:vAlign w:val="center"/>
          </w:tcPr>
          <w:p w:rsidR="00B649D8" w:rsidRDefault="00491119">
            <w:pPr>
              <w:jc w:val="right"/>
            </w:pPr>
            <w:r>
              <w:rPr>
                <w:color w:val="000000"/>
                <w:sz w:val="24"/>
              </w:rPr>
              <w:t>198,875.43</w:t>
            </w:r>
          </w:p>
        </w:tc>
        <w:tc>
          <w:tcPr>
            <w:tcW w:w="1724" w:type="dxa"/>
            <w:vAlign w:val="center"/>
          </w:tcPr>
          <w:p w:rsidR="00B649D8" w:rsidRDefault="00491119">
            <w:pPr>
              <w:jc w:val="right"/>
            </w:pPr>
            <w:r>
              <w:rPr>
                <w:color w:val="000000"/>
                <w:sz w:val="24"/>
              </w:rPr>
              <w:t>0.07</w:t>
            </w:r>
          </w:p>
        </w:tc>
        <w:tc>
          <w:tcPr>
            <w:tcW w:w="1424" w:type="dxa"/>
            <w:vAlign w:val="center"/>
          </w:tcPr>
          <w:p w:rsidR="00B649D8" w:rsidRDefault="00491119">
            <w:pPr>
              <w:jc w:val="right"/>
            </w:pPr>
            <w:r>
              <w:rPr>
                <w:color w:val="000000"/>
                <w:sz w:val="24"/>
              </w:rPr>
              <w:t>限售股</w:t>
            </w:r>
          </w:p>
        </w:tc>
      </w:tr>
      <w:tr w:rsidR="00B649D8">
        <w:trPr>
          <w:jc w:val="center"/>
        </w:trPr>
        <w:tc>
          <w:tcPr>
            <w:tcW w:w="1129" w:type="dxa"/>
            <w:vAlign w:val="center"/>
          </w:tcPr>
          <w:p w:rsidR="00B649D8" w:rsidRDefault="00491119">
            <w:pPr>
              <w:jc w:val="center"/>
            </w:pPr>
            <w:r>
              <w:rPr>
                <w:color w:val="000000"/>
                <w:sz w:val="24"/>
              </w:rPr>
              <w:t>2</w:t>
            </w:r>
          </w:p>
        </w:tc>
        <w:tc>
          <w:tcPr>
            <w:tcW w:w="1356" w:type="dxa"/>
            <w:vAlign w:val="center"/>
          </w:tcPr>
          <w:p w:rsidR="00B649D8" w:rsidRDefault="00491119">
            <w:pPr>
              <w:jc w:val="center"/>
            </w:pPr>
            <w:r>
              <w:rPr>
                <w:color w:val="000000"/>
                <w:sz w:val="24"/>
              </w:rPr>
              <w:t>688098</w:t>
            </w:r>
          </w:p>
        </w:tc>
        <w:tc>
          <w:tcPr>
            <w:tcW w:w="1355" w:type="dxa"/>
            <w:vAlign w:val="center"/>
          </w:tcPr>
          <w:p w:rsidR="00B649D8" w:rsidRDefault="00491119">
            <w:pPr>
              <w:jc w:val="center"/>
            </w:pPr>
            <w:r>
              <w:rPr>
                <w:color w:val="000000"/>
                <w:sz w:val="24"/>
              </w:rPr>
              <w:t>申联生物</w:t>
            </w:r>
          </w:p>
        </w:tc>
        <w:tc>
          <w:tcPr>
            <w:tcW w:w="1880" w:type="dxa"/>
            <w:vAlign w:val="center"/>
          </w:tcPr>
          <w:p w:rsidR="00B649D8" w:rsidRDefault="00491119">
            <w:pPr>
              <w:jc w:val="right"/>
            </w:pPr>
            <w:r>
              <w:rPr>
                <w:color w:val="000000"/>
                <w:sz w:val="24"/>
              </w:rPr>
              <w:t>152,363.52</w:t>
            </w:r>
          </w:p>
        </w:tc>
        <w:tc>
          <w:tcPr>
            <w:tcW w:w="1724" w:type="dxa"/>
            <w:vAlign w:val="center"/>
          </w:tcPr>
          <w:p w:rsidR="00B649D8" w:rsidRDefault="00491119">
            <w:pPr>
              <w:jc w:val="right"/>
            </w:pPr>
            <w:r>
              <w:rPr>
                <w:color w:val="000000"/>
                <w:sz w:val="24"/>
              </w:rPr>
              <w:t>0.05</w:t>
            </w:r>
          </w:p>
        </w:tc>
        <w:tc>
          <w:tcPr>
            <w:tcW w:w="1424" w:type="dxa"/>
            <w:vAlign w:val="center"/>
          </w:tcPr>
          <w:p w:rsidR="00B649D8" w:rsidRDefault="00491119">
            <w:pPr>
              <w:jc w:val="right"/>
            </w:pPr>
            <w:r>
              <w:rPr>
                <w:color w:val="000000"/>
                <w:sz w:val="24"/>
              </w:rPr>
              <w:t>限售股</w:t>
            </w:r>
          </w:p>
        </w:tc>
      </w:tr>
      <w:tr w:rsidR="00B649D8">
        <w:trPr>
          <w:jc w:val="center"/>
        </w:trPr>
        <w:tc>
          <w:tcPr>
            <w:tcW w:w="1129" w:type="dxa"/>
            <w:vAlign w:val="center"/>
          </w:tcPr>
          <w:p w:rsidR="00B649D8" w:rsidRDefault="00491119">
            <w:pPr>
              <w:jc w:val="center"/>
            </w:pPr>
            <w:r>
              <w:rPr>
                <w:color w:val="000000"/>
                <w:sz w:val="24"/>
              </w:rPr>
              <w:t>3</w:t>
            </w:r>
          </w:p>
        </w:tc>
        <w:tc>
          <w:tcPr>
            <w:tcW w:w="1356" w:type="dxa"/>
            <w:vAlign w:val="center"/>
          </w:tcPr>
          <w:p w:rsidR="00B649D8" w:rsidRDefault="00491119">
            <w:pPr>
              <w:jc w:val="center"/>
            </w:pPr>
            <w:r>
              <w:rPr>
                <w:color w:val="000000"/>
                <w:sz w:val="24"/>
              </w:rPr>
              <w:t>688085</w:t>
            </w:r>
          </w:p>
        </w:tc>
        <w:tc>
          <w:tcPr>
            <w:tcW w:w="1355" w:type="dxa"/>
            <w:vAlign w:val="center"/>
          </w:tcPr>
          <w:p w:rsidR="00B649D8" w:rsidRDefault="00491119">
            <w:pPr>
              <w:jc w:val="center"/>
            </w:pPr>
            <w:r>
              <w:rPr>
                <w:color w:val="000000"/>
                <w:sz w:val="24"/>
              </w:rPr>
              <w:t>三友医疗</w:t>
            </w:r>
          </w:p>
        </w:tc>
        <w:tc>
          <w:tcPr>
            <w:tcW w:w="1880" w:type="dxa"/>
            <w:vAlign w:val="center"/>
          </w:tcPr>
          <w:p w:rsidR="00B649D8" w:rsidRDefault="00491119">
            <w:pPr>
              <w:jc w:val="right"/>
            </w:pPr>
            <w:r>
              <w:rPr>
                <w:color w:val="000000"/>
                <w:sz w:val="24"/>
              </w:rPr>
              <w:t>151,373.12</w:t>
            </w:r>
          </w:p>
        </w:tc>
        <w:tc>
          <w:tcPr>
            <w:tcW w:w="1724" w:type="dxa"/>
            <w:vAlign w:val="center"/>
          </w:tcPr>
          <w:p w:rsidR="00B649D8" w:rsidRDefault="00491119">
            <w:pPr>
              <w:jc w:val="right"/>
            </w:pPr>
            <w:r>
              <w:rPr>
                <w:color w:val="000000"/>
                <w:sz w:val="24"/>
              </w:rPr>
              <w:t>0.05</w:t>
            </w:r>
          </w:p>
        </w:tc>
        <w:tc>
          <w:tcPr>
            <w:tcW w:w="1424" w:type="dxa"/>
            <w:vAlign w:val="center"/>
          </w:tcPr>
          <w:p w:rsidR="00B649D8" w:rsidRDefault="00491119">
            <w:pPr>
              <w:jc w:val="right"/>
            </w:pPr>
            <w:r>
              <w:rPr>
                <w:color w:val="000000"/>
                <w:sz w:val="24"/>
              </w:rPr>
              <w:t>新股未上市</w:t>
            </w:r>
          </w:p>
        </w:tc>
      </w:tr>
      <w:tr w:rsidR="00B649D8">
        <w:trPr>
          <w:jc w:val="center"/>
        </w:trPr>
        <w:tc>
          <w:tcPr>
            <w:tcW w:w="1129" w:type="dxa"/>
            <w:vAlign w:val="center"/>
          </w:tcPr>
          <w:p w:rsidR="00B649D8" w:rsidRDefault="00491119">
            <w:pPr>
              <w:jc w:val="center"/>
            </w:pPr>
            <w:r>
              <w:rPr>
                <w:color w:val="000000"/>
                <w:sz w:val="24"/>
              </w:rPr>
              <w:t>4</w:t>
            </w:r>
          </w:p>
        </w:tc>
        <w:tc>
          <w:tcPr>
            <w:tcW w:w="1356" w:type="dxa"/>
            <w:vAlign w:val="center"/>
          </w:tcPr>
          <w:p w:rsidR="00B649D8" w:rsidRDefault="00491119">
            <w:pPr>
              <w:jc w:val="center"/>
            </w:pPr>
            <w:r>
              <w:rPr>
                <w:color w:val="000000"/>
                <w:sz w:val="24"/>
              </w:rPr>
              <w:t>688300</w:t>
            </w:r>
          </w:p>
        </w:tc>
        <w:tc>
          <w:tcPr>
            <w:tcW w:w="1355" w:type="dxa"/>
            <w:vAlign w:val="center"/>
          </w:tcPr>
          <w:p w:rsidR="00B649D8" w:rsidRDefault="00491119">
            <w:pPr>
              <w:jc w:val="center"/>
            </w:pPr>
            <w:r>
              <w:rPr>
                <w:color w:val="000000"/>
                <w:sz w:val="24"/>
              </w:rPr>
              <w:t>联瑞新材</w:t>
            </w:r>
          </w:p>
        </w:tc>
        <w:tc>
          <w:tcPr>
            <w:tcW w:w="1880" w:type="dxa"/>
            <w:vAlign w:val="center"/>
          </w:tcPr>
          <w:p w:rsidR="00B649D8" w:rsidRDefault="00491119">
            <w:pPr>
              <w:jc w:val="right"/>
            </w:pPr>
            <w:r>
              <w:rPr>
                <w:color w:val="000000"/>
                <w:sz w:val="24"/>
              </w:rPr>
              <w:t>134,121.96</w:t>
            </w:r>
          </w:p>
        </w:tc>
        <w:tc>
          <w:tcPr>
            <w:tcW w:w="1724" w:type="dxa"/>
            <w:vAlign w:val="center"/>
          </w:tcPr>
          <w:p w:rsidR="00B649D8" w:rsidRDefault="00491119">
            <w:pPr>
              <w:jc w:val="right"/>
            </w:pPr>
            <w:r>
              <w:rPr>
                <w:color w:val="000000"/>
                <w:sz w:val="24"/>
              </w:rPr>
              <w:t>0.05</w:t>
            </w:r>
          </w:p>
        </w:tc>
        <w:tc>
          <w:tcPr>
            <w:tcW w:w="1424" w:type="dxa"/>
            <w:vAlign w:val="center"/>
          </w:tcPr>
          <w:p w:rsidR="00B649D8" w:rsidRDefault="00491119">
            <w:pPr>
              <w:jc w:val="right"/>
            </w:pPr>
            <w:r>
              <w:rPr>
                <w:color w:val="000000"/>
                <w:sz w:val="24"/>
              </w:rPr>
              <w:t>限售股</w:t>
            </w:r>
          </w:p>
        </w:tc>
      </w:tr>
    </w:tbl>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289,524,362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28,000,000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262,524,362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649D8">
        <w:tc>
          <w:tcPr>
            <w:tcW w:w="992" w:type="dxa"/>
            <w:vMerge w:val="restart"/>
          </w:tcPr>
          <w:p w:rsidR="00B649D8" w:rsidRDefault="00B649D8"/>
          <w:p w:rsidR="00B649D8" w:rsidRDefault="00491119">
            <w:r>
              <w:rPr>
                <w:rFonts w:ascii="宋体" w:hAnsi="宋体" w:hint="eastAsia"/>
                <w:kern w:val="0"/>
                <w:szCs w:val="21"/>
              </w:rPr>
              <w:t>交银施罗德上证180公司治理交易型开放式指数证券投资基金联接基金</w:t>
            </w:r>
          </w:p>
        </w:tc>
        <w:tc>
          <w:tcPr>
            <w:tcW w:w="991" w:type="dxa"/>
            <w:vAlign w:val="center"/>
          </w:tcPr>
          <w:p w:rsidR="00B649D8" w:rsidRDefault="00491119">
            <w:pPr>
              <w:jc w:val="center"/>
            </w:pPr>
            <w:r>
              <w:rPr>
                <w:rFonts w:ascii="宋体" w:hAnsi="宋体" w:hint="eastAsia"/>
                <w:bCs/>
                <w:color w:val="000000"/>
                <w:kern w:val="0"/>
                <w:szCs w:val="21"/>
              </w:rPr>
              <w:t>1</w:t>
            </w:r>
          </w:p>
        </w:tc>
        <w:tc>
          <w:tcPr>
            <w:tcW w:w="1843" w:type="dxa"/>
            <w:vAlign w:val="center"/>
          </w:tcPr>
          <w:p w:rsidR="00B649D8" w:rsidRDefault="00491119">
            <w:pPr>
              <w:jc w:val="center"/>
            </w:pPr>
            <w:r>
              <w:rPr>
                <w:rFonts w:ascii="宋体" w:hAnsi="宋体" w:hint="eastAsia"/>
                <w:bCs/>
                <w:color w:val="000000"/>
                <w:kern w:val="0"/>
                <w:szCs w:val="21"/>
              </w:rPr>
              <w:t>2020/1/1-2020/3/31</w:t>
            </w:r>
          </w:p>
        </w:tc>
        <w:tc>
          <w:tcPr>
            <w:tcW w:w="851" w:type="dxa"/>
            <w:vAlign w:val="center"/>
          </w:tcPr>
          <w:p w:rsidR="00B649D8" w:rsidRDefault="00491119">
            <w:pPr>
              <w:jc w:val="center"/>
            </w:pPr>
            <w:r>
              <w:rPr>
                <w:rFonts w:ascii="宋体" w:hAnsi="宋体" w:hint="eastAsia"/>
                <w:bCs/>
                <w:color w:val="000000"/>
                <w:kern w:val="0"/>
                <w:szCs w:val="21"/>
              </w:rPr>
              <w:t>272,424,699.00</w:t>
            </w:r>
          </w:p>
        </w:tc>
        <w:tc>
          <w:tcPr>
            <w:tcW w:w="850" w:type="dxa"/>
            <w:vAlign w:val="center"/>
          </w:tcPr>
          <w:p w:rsidR="00B649D8" w:rsidRDefault="00491119">
            <w:pPr>
              <w:jc w:val="center"/>
            </w:pPr>
            <w:r>
              <w:rPr>
                <w:rFonts w:ascii="宋体" w:hAnsi="宋体" w:hint="eastAsia"/>
                <w:bCs/>
                <w:color w:val="000000"/>
                <w:kern w:val="0"/>
                <w:szCs w:val="21"/>
              </w:rPr>
              <w:t>-</w:t>
            </w:r>
          </w:p>
        </w:tc>
        <w:tc>
          <w:tcPr>
            <w:tcW w:w="1134" w:type="dxa"/>
            <w:vAlign w:val="center"/>
          </w:tcPr>
          <w:p w:rsidR="00B649D8" w:rsidRDefault="00491119">
            <w:pPr>
              <w:jc w:val="center"/>
            </w:pPr>
            <w:r>
              <w:rPr>
                <w:rFonts w:ascii="宋体" w:hAnsi="宋体" w:hint="eastAsia"/>
                <w:bCs/>
                <w:color w:val="000000"/>
                <w:kern w:val="0"/>
                <w:szCs w:val="21"/>
              </w:rPr>
              <w:t>27,000,000.00</w:t>
            </w:r>
          </w:p>
        </w:tc>
        <w:tc>
          <w:tcPr>
            <w:tcW w:w="1419" w:type="dxa"/>
            <w:vAlign w:val="center"/>
          </w:tcPr>
          <w:p w:rsidR="00B649D8" w:rsidRDefault="00491119">
            <w:pPr>
              <w:jc w:val="center"/>
            </w:pPr>
            <w:r>
              <w:rPr>
                <w:rFonts w:ascii="宋体" w:hAnsi="宋体" w:hint="eastAsia"/>
                <w:bCs/>
                <w:color w:val="000000"/>
                <w:kern w:val="0"/>
                <w:szCs w:val="21"/>
              </w:rPr>
              <w:t>245,424,699.00</w:t>
            </w:r>
          </w:p>
        </w:tc>
        <w:tc>
          <w:tcPr>
            <w:tcW w:w="1130" w:type="dxa"/>
            <w:vAlign w:val="center"/>
          </w:tcPr>
          <w:p w:rsidR="00B649D8" w:rsidRDefault="00491119">
            <w:pPr>
              <w:jc w:val="center"/>
            </w:pPr>
            <w:r>
              <w:rPr>
                <w:rFonts w:ascii="宋体" w:hAnsi="宋体" w:hint="eastAsia"/>
                <w:bCs/>
                <w:color w:val="000000"/>
                <w:kern w:val="0"/>
                <w:szCs w:val="21"/>
              </w:rPr>
              <w:t>93.49%</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F00F0" w:rsidRDefault="00BF00F0" w:rsidP="00BF00F0">
      <w:pPr>
        <w:spacing w:line="360" w:lineRule="auto"/>
        <w:ind w:firstLineChars="200" w:firstLine="420"/>
        <w:rPr>
          <w:rFonts w:ascii="宋体" w:hAnsi="宋体"/>
          <w:color w:val="000000"/>
          <w:szCs w:val="21"/>
        </w:rPr>
      </w:pPr>
      <w:r>
        <w:rPr>
          <w:rFonts w:ascii="宋体" w:hAnsi="宋体" w:hint="eastAsia"/>
          <w:color w:val="000000"/>
          <w:szCs w:val="21"/>
        </w:rPr>
        <w:t>根据中证指数有限公司下发的《关于国内市场A股ETF收费调整的通知》，本基金管理人经与基金托管人中国农业银行股份有限公司协商一致，并报中国证券监督管理委员会备案，自2020年4月1日（含当日）起调整本基金的标的指数许可使用费，并对相关基金法律文件进行相应修改。详情请查阅本基金管理人于2020年3月31日发布的《交银施罗德基金管理有限公司关于调整上证180公司治理交易型开放式指数证券投资基金标的指数许可使用费并修改法律文件的公告》。</w:t>
      </w:r>
    </w:p>
    <w:p w:rsidR="00BF5A17" w:rsidRPr="0036023B" w:rsidRDefault="00BF5A17" w:rsidP="0099526C">
      <w:pPr>
        <w:spacing w:before="29" w:line="288" w:lineRule="auto"/>
        <w:ind w:firstLineChars="200" w:firstLine="480"/>
        <w:rPr>
          <w:color w:val="000000"/>
          <w:sz w:val="24"/>
        </w:rPr>
      </w:pPr>
    </w:p>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B649D8" w:rsidRDefault="00491119">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B649D8" w:rsidRDefault="00491119">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B649D8" w:rsidRDefault="00491119">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B649D8" w:rsidRDefault="00491119">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B649D8" w:rsidRDefault="00491119">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B649D8" w:rsidRDefault="0049111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649D8" w:rsidRDefault="0049111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B649D8" w:rsidRDefault="0049111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0F6EE7">
      <w:rPr>
        <w:noProof/>
        <w:kern w:val="0"/>
        <w:szCs w:val="21"/>
      </w:rPr>
      <w:t>10</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0F6EE7">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FA" w:rsidRDefault="007C45FA">
      <w:r>
        <w:separator/>
      </w:r>
    </w:p>
  </w:footnote>
  <w:footnote w:type="continuationSeparator" w:id="0">
    <w:p w:rsidR="007C45FA" w:rsidRDefault="007C4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0F6EE7"/>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119"/>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49D8"/>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14</Pages>
  <Words>1223</Words>
  <Characters>6976</Characters>
  <Application>Microsoft Office Word</Application>
  <DocSecurity>0</DocSecurity>
  <Lines>58</Lines>
  <Paragraphs>16</Paragraphs>
  <ScaleCrop>false</ScaleCrop>
  <Company>TRT. Ltd. Co.</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412</cp:revision>
  <cp:lastPrinted>2007-07-19T00:46:00Z</cp:lastPrinted>
  <dcterms:created xsi:type="dcterms:W3CDTF">2012-11-21T04:46:00Z</dcterms:created>
  <dcterms:modified xsi:type="dcterms:W3CDTF">2020-04-20T06:07:00Z</dcterms:modified>
</cp:coreProperties>
</file>